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bookmarkStart w:id="51" w:name="_GoBack"/>
      <w:bookmarkEnd w:id="51"/>
      <w:r>
        <w:rPr>
          <w:rFonts w:hint="eastAsia" w:ascii="黑体" w:hAnsi="黑体" w:eastAsia="黑体" w:cs="黑体"/>
          <w:bCs/>
          <w:sz w:val="32"/>
          <w:szCs w:val="32"/>
        </w:rPr>
        <w:t>附件</w:t>
      </w:r>
      <w:r>
        <w:rPr>
          <w:rFonts w:ascii="黑体" w:hAnsi="黑体" w:eastAsia="黑体" w:cs="黑体"/>
          <w:bCs/>
          <w:sz w:val="32"/>
          <w:szCs w:val="32"/>
        </w:rPr>
        <w:t>1</w:t>
      </w:r>
    </w:p>
    <w:p>
      <w:pPr>
        <w:jc w:val="center"/>
        <w:rPr>
          <w:rFonts w:ascii="宋体" w:hAnsi="宋体" w:cs="宋体"/>
          <w:b/>
          <w:sz w:val="72"/>
          <w:szCs w:val="72"/>
        </w:rPr>
      </w:pPr>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22"/>
        <w:ind w:firstLine="420"/>
        <w:rPr>
          <w:rFonts w:ascii="宋体" w:hAnsi="宋体" w:cs="宋体"/>
        </w:rPr>
      </w:pPr>
    </w:p>
    <w:p>
      <w:pPr>
        <w:pStyle w:val="22"/>
        <w:ind w:firstLine="420"/>
        <w:rPr>
          <w:rFonts w:ascii="宋体" w:hAnsi="宋体" w:cs="宋体"/>
        </w:rPr>
      </w:pPr>
    </w:p>
    <w:p>
      <w:pPr>
        <w:rPr>
          <w:rFonts w:ascii="宋体" w:hAnsi="宋体" w:cs="宋体"/>
          <w:b/>
          <w:sz w:val="44"/>
        </w:rPr>
      </w:pPr>
    </w:p>
    <w:p>
      <w:pPr>
        <w:ind w:right="-319" w:rightChars="-152"/>
        <w:rPr>
          <w:rFonts w:ascii="宋体" w:hAnsi="宋体" w:cs="宋体"/>
          <w:b/>
          <w:sz w:val="36"/>
          <w:szCs w:val="36"/>
        </w:rPr>
      </w:pPr>
      <w:r>
        <w:rPr>
          <w:rFonts w:hint="eastAsia" w:ascii="宋体" w:hAnsi="宋体" w:cs="宋体"/>
          <w:b/>
          <w:sz w:val="36"/>
          <w:szCs w:val="36"/>
        </w:rPr>
        <w:t>招标编号：QH2023113</w:t>
      </w:r>
    </w:p>
    <w:p>
      <w:pPr>
        <w:ind w:firstLine="723" w:firstLineChars="200"/>
        <w:rPr>
          <w:rFonts w:ascii="宋体" w:hAnsi="宋体" w:cs="宋体"/>
          <w:b/>
          <w:sz w:val="36"/>
          <w:szCs w:val="36"/>
        </w:rPr>
      </w:pPr>
    </w:p>
    <w:p>
      <w:pPr>
        <w:ind w:firstLine="723" w:firstLineChars="200"/>
        <w:rPr>
          <w:rFonts w:ascii="宋体" w:hAnsi="宋体" w:cs="宋体"/>
          <w:b/>
          <w:sz w:val="36"/>
          <w:szCs w:val="36"/>
        </w:rPr>
      </w:pPr>
    </w:p>
    <w:p>
      <w:pPr>
        <w:pStyle w:val="22"/>
        <w:ind w:firstLine="420"/>
        <w:rPr>
          <w:rFonts w:ascii="宋体" w:hAnsi="宋体" w:cs="宋体"/>
        </w:rPr>
      </w:pPr>
    </w:p>
    <w:p>
      <w:pPr>
        <w:pStyle w:val="22"/>
        <w:ind w:firstLine="420"/>
        <w:rPr>
          <w:rFonts w:ascii="宋体" w:hAnsi="宋体" w:cs="宋体"/>
        </w:rPr>
      </w:pPr>
    </w:p>
    <w:p>
      <w:pPr>
        <w:ind w:right="-319" w:rightChars="-152"/>
        <w:rPr>
          <w:rFonts w:ascii="宋体" w:hAnsi="宋体" w:cs="宋体"/>
          <w:b/>
          <w:sz w:val="36"/>
          <w:szCs w:val="36"/>
        </w:rPr>
      </w:pPr>
      <w:r>
        <w:rPr>
          <w:rFonts w:hint="eastAsia" w:ascii="宋体" w:hAnsi="宋体" w:cs="宋体"/>
          <w:b/>
          <w:sz w:val="36"/>
          <w:szCs w:val="36"/>
        </w:rPr>
        <w:t>招标项目：《</w:t>
      </w:r>
      <w:r>
        <w:rPr>
          <w:rFonts w:ascii="宋体" w:hAnsi="宋体" w:cs="宋体"/>
          <w:b/>
          <w:sz w:val="36"/>
          <w:szCs w:val="36"/>
        </w:rPr>
        <w:t>文化软实力基地建设的路径探索：深圳前海文物艺术品“国内国际双循环”交易流通可行性研究</w:t>
      </w:r>
      <w:r>
        <w:rPr>
          <w:rFonts w:hint="eastAsia" w:ascii="宋体" w:hAnsi="宋体" w:cs="宋体"/>
          <w:b/>
          <w:sz w:val="36"/>
          <w:szCs w:val="36"/>
        </w:rPr>
        <w:t>》课题研究项目</w:t>
      </w:r>
    </w:p>
    <w:p>
      <w:pPr>
        <w:ind w:firstLine="3264" w:firstLineChars="739"/>
        <w:rPr>
          <w:rFonts w:ascii="宋体" w:hAnsi="宋体" w:cs="宋体"/>
          <w:b/>
          <w:sz w:val="44"/>
        </w:rPr>
      </w:pPr>
    </w:p>
    <w:p>
      <w:pPr>
        <w:pStyle w:val="22"/>
        <w:ind w:firstLine="0" w:firstLineChars="0"/>
        <w:rPr>
          <w:rFonts w:ascii="宋体" w:hAnsi="宋体" w:cs="宋体"/>
        </w:rPr>
      </w:pPr>
    </w:p>
    <w:p>
      <w:pPr>
        <w:rPr>
          <w:rFonts w:ascii="宋体" w:hAnsi="宋体" w:cs="宋体"/>
          <w:b/>
          <w:sz w:val="44"/>
        </w:rPr>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w:t>
      </w:r>
      <w:r>
        <w:rPr>
          <w:rFonts w:ascii="宋体" w:hAnsi="宋体" w:cs="宋体"/>
          <w:b/>
          <w:bCs/>
          <w:sz w:val="36"/>
          <w:szCs w:val="36"/>
        </w:rPr>
        <w:t>3</w:t>
      </w:r>
      <w:r>
        <w:rPr>
          <w:rFonts w:hint="eastAsia" w:ascii="宋体" w:hAnsi="宋体" w:cs="宋体"/>
          <w:b/>
          <w:bCs/>
          <w:sz w:val="36"/>
          <w:szCs w:val="36"/>
        </w:rPr>
        <w:t>年</w:t>
      </w:r>
      <w:r>
        <w:rPr>
          <w:rFonts w:ascii="宋体" w:hAnsi="宋体" w:cs="宋体"/>
          <w:b/>
          <w:bCs/>
          <w:sz w:val="36"/>
          <w:szCs w:val="36"/>
        </w:rPr>
        <w:t>9</w:t>
      </w:r>
      <w:r>
        <w:rPr>
          <w:rFonts w:hint="eastAsia" w:ascii="宋体" w:hAnsi="宋体" w:cs="宋体"/>
          <w:b/>
          <w:bCs/>
          <w:sz w:val="36"/>
          <w:szCs w:val="36"/>
        </w:rPr>
        <w:t>月</w:t>
      </w:r>
    </w:p>
    <w:p>
      <w:pPr>
        <w:autoSpaceDE w:val="0"/>
        <w:autoSpaceDN w:val="0"/>
        <w:adjustRightInd w:val="0"/>
        <w:spacing w:line="360" w:lineRule="auto"/>
        <w:jc w:val="center"/>
        <w:rPr>
          <w:rFonts w:ascii="宋体" w:hAnsi="宋体"/>
          <w:b/>
          <w:bCs/>
          <w:sz w:val="32"/>
          <w:szCs w:val="40"/>
          <w:u w:val="single"/>
        </w:rPr>
        <w:sectPr>
          <w:footerReference r:id="rId3" w:type="even"/>
          <w:pgSz w:w="11906" w:h="16838"/>
          <w:pgMar w:top="1440" w:right="1800" w:bottom="1440" w:left="1800" w:header="851" w:footer="992" w:gutter="0"/>
          <w:cols w:space="720" w:num="1"/>
          <w:docGrid w:type="lines" w:linePitch="312" w:charSpace="0"/>
        </w:sectPr>
      </w:pPr>
      <w:bookmarkStart w:id="0" w:name="_Toc12932"/>
    </w:p>
    <w:p>
      <w:pPr>
        <w:autoSpaceDE w:val="0"/>
        <w:autoSpaceDN w:val="0"/>
        <w:adjustRightInd w:val="0"/>
        <w:spacing w:line="560" w:lineRule="exact"/>
        <w:jc w:val="center"/>
        <w:rPr>
          <w:rFonts w:ascii="宋体" w:hAnsi="宋体" w:cs="宋体"/>
          <w:b/>
          <w:bCs/>
          <w:kern w:val="0"/>
          <w:sz w:val="36"/>
          <w:szCs w:val="36"/>
        </w:rPr>
      </w:pPr>
      <w:r>
        <w:rPr>
          <w:rFonts w:hint="eastAsia" w:ascii="宋体" w:hAnsi="宋体" w:cs="宋体"/>
          <w:b/>
          <w:bCs/>
          <w:kern w:val="0"/>
          <w:sz w:val="36"/>
          <w:szCs w:val="36"/>
        </w:rPr>
        <w:t>特别警示条款</w:t>
      </w:r>
    </w:p>
    <w:p>
      <w:pPr>
        <w:pStyle w:val="6"/>
        <w:spacing w:after="0" w:line="560" w:lineRule="exact"/>
      </w:pP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（一）在采购活动中应当回避而未回避的；</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（二）未按本条例规定签订、履行采购合同，造成严重后果的；</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（三）隐瞒真实情况，提供虚假资料的；</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（四）以非法手段排斥其他供应商参与竞争的；</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（五）与其他采购参加人串通投标的；</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（六）恶意投诉的；</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（七）向采购项目相关人行贿或者提供其他不当利益的；</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（八）阻碍、抗拒主管部门监督检查的；</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（九）其他违反本条例规定的行为。</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二、《深圳经济特区政府采购条例实施细则》第七十五条 供应商有下列情形之一的，属于采购条例所称的串通投标行为，按照采购条例第五十七条有关规定处理：</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（一）投标供应商之间相互约定给予未中标的供应商利益补偿。</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（二）不同投标供应商的法定代表人、主要经营负责人、项目投标授权代表人、项目负责人、主要技术人员为同一人、属同一单位或者在同一单位缴纳社会保险。</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（三）不同投标供应商的投标文件由同一单位或者同一人编制，或者由同一人分阶段参与编制的。</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（四）不同投标供应商的投标文件或部分投标文件相互混装。</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（五）不同投标供应商的投标文件内容存在非正常一致。</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（六）由同一单位工作人员为两家以上（含两家）供应商进行同一项投标活动的。</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（七）主管部门依照法律、法规认定的其他情形。</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三、《深圳经济特区政府采购条例实施细则》第七十七条 供应商有下列情形之一的，属于隐瞒真实情况，提供虚假资料，按照采购条例第五十七条的有关规定处理：</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（一）通过转让或者租借等方式从其他单位获取资格或者资质证书投标的。</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（二）由其他单位或者其他单位负责人在投标供应商编制的投标文件上加盖印章或者签字的。</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（三）项目负责人或者主要技术人员不是本单位人员的。</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（四）投标保证金不是从投标供应商基本账户转出的。</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（五）其他隐瞒真实情况、提供虚假资料的行为。</w:t>
      </w:r>
    </w:p>
    <w:p>
      <w:pPr>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投标供应商不能提供项目负责人或者主要技术人员的劳动合同、社会保险等劳动关系证明材料的，视为存在前款第（三）项规定的情形。</w:t>
      </w:r>
    </w:p>
    <w:p>
      <w:pPr>
        <w:spacing w:line="560" w:lineRule="exact"/>
        <w:outlineLvl w:val="0"/>
        <w:rPr>
          <w:rFonts w:ascii="宋体" w:hAnsi="宋体"/>
          <w:b/>
          <w:bCs/>
          <w:sz w:val="32"/>
          <w:szCs w:val="32"/>
          <w:u w:val="single"/>
        </w:rPr>
        <w:sectPr>
          <w:footerReference r:id="rId4" w:type="default"/>
          <w:pgSz w:w="11906" w:h="16838"/>
          <w:pgMar w:top="1440" w:right="1800" w:bottom="1440" w:left="1800" w:header="851" w:footer="992" w:gutter="0"/>
          <w:pgNumType w:start="1"/>
          <w:cols w:space="720" w:num="1"/>
          <w:docGrid w:type="lines" w:linePitch="312" w:charSpace="0"/>
        </w:sectPr>
      </w:pPr>
      <w:bookmarkStart w:id="1" w:name="_Toc30761"/>
    </w:p>
    <w:p>
      <w:pPr>
        <w:spacing w:line="560" w:lineRule="exact"/>
        <w:jc w:val="center"/>
        <w:outlineLvl w:val="0"/>
        <w:rPr>
          <w:rFonts w:ascii="宋体" w:hAnsi="宋体"/>
          <w:b/>
          <w:bCs/>
          <w:sz w:val="44"/>
          <w:szCs w:val="44"/>
        </w:rPr>
      </w:pPr>
      <w:bookmarkStart w:id="2" w:name="_Toc53043917"/>
      <w:bookmarkStart w:id="3" w:name="_Toc1999843150"/>
    </w:p>
    <w:p>
      <w:pPr>
        <w:spacing w:line="560" w:lineRule="exact"/>
        <w:jc w:val="center"/>
        <w:outlineLvl w:val="0"/>
        <w:rPr>
          <w:rFonts w:ascii="宋体" w:hAnsi="宋体"/>
          <w:b/>
          <w:bCs/>
          <w:sz w:val="44"/>
          <w:szCs w:val="44"/>
        </w:rPr>
      </w:pPr>
      <w:r>
        <w:rPr>
          <w:rFonts w:ascii="宋体" w:hAnsi="宋体"/>
          <w:b/>
          <w:bCs/>
          <w:sz w:val="44"/>
          <w:szCs w:val="44"/>
        </w:rPr>
        <w:t>目录</w:t>
      </w:r>
      <w:bookmarkEnd w:id="0"/>
      <w:bookmarkEnd w:id="1"/>
      <w:bookmarkEnd w:id="2"/>
      <w:bookmarkEnd w:id="3"/>
    </w:p>
    <w:p>
      <w:pPr>
        <w:spacing w:line="560" w:lineRule="exact"/>
        <w:jc w:val="center"/>
        <w:outlineLvl w:val="0"/>
        <w:rPr>
          <w:rFonts w:ascii="宋体" w:hAnsi="宋体"/>
          <w:b/>
          <w:bCs/>
          <w:sz w:val="44"/>
          <w:szCs w:val="44"/>
        </w:rPr>
      </w:pPr>
    </w:p>
    <w:p>
      <w:pPr>
        <w:pStyle w:val="13"/>
        <w:tabs>
          <w:tab w:val="right" w:leader="dot" w:pos="8306"/>
        </w:tabs>
        <w:spacing w:line="56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TOC \o "1-1" \h \u </w:instrText>
      </w:r>
      <w:r>
        <w:rPr>
          <w:rFonts w:hint="eastAsia" w:ascii="仿宋_GB2312" w:hAnsi="仿宋_GB2312" w:eastAsia="仿宋_GB2312" w:cs="仿宋_GB2312"/>
          <w:b/>
          <w:bCs/>
          <w:sz w:val="32"/>
          <w:szCs w:val="32"/>
        </w:rPr>
        <w:fldChar w:fldCharType="separate"/>
      </w:r>
      <w:r>
        <w:fldChar w:fldCharType="begin"/>
      </w:r>
      <w:r>
        <w:instrText xml:space="preserve"> HYPERLINK \l "_Toc2033421555" </w:instrText>
      </w:r>
      <w:r>
        <w:fldChar w:fldCharType="separate"/>
      </w:r>
      <w:r>
        <w:rPr>
          <w:rFonts w:hint="eastAsia" w:ascii="仿宋_GB2312" w:hAnsi="仿宋_GB2312" w:eastAsia="仿宋_GB2312" w:cs="仿宋_GB2312"/>
          <w:bCs/>
          <w:sz w:val="32"/>
          <w:szCs w:val="32"/>
        </w:rPr>
        <w:t>第一章  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_Toc2033421555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s>
        <w:spacing w:line="560" w:lineRule="exact"/>
        <w:rPr>
          <w:rFonts w:ascii="仿宋_GB2312" w:hAnsi="仿宋_GB2312" w:eastAsia="仿宋_GB2312" w:cs="仿宋_GB2312"/>
          <w:sz w:val="32"/>
          <w:szCs w:val="32"/>
        </w:rPr>
      </w:pPr>
      <w:r>
        <w:fldChar w:fldCharType="begin"/>
      </w:r>
      <w:r>
        <w:instrText xml:space="preserve"> HYPERLINK \l "_Toc9248330" </w:instrText>
      </w:r>
      <w:r>
        <w:fldChar w:fldCharType="separate"/>
      </w:r>
      <w:r>
        <w:rPr>
          <w:rFonts w:hint="eastAsia" w:ascii="仿宋_GB2312" w:hAnsi="仿宋_GB2312" w:eastAsia="仿宋_GB2312" w:cs="仿宋_GB2312"/>
          <w:bCs/>
          <w:sz w:val="32"/>
          <w:szCs w:val="32"/>
        </w:rPr>
        <w:t>第二章 投标须知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_Toc9248330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s>
        <w:spacing w:line="560" w:lineRule="exact"/>
        <w:rPr>
          <w:rFonts w:ascii="仿宋_GB2312" w:hAnsi="仿宋_GB2312" w:eastAsia="仿宋_GB2312" w:cs="仿宋_GB2312"/>
          <w:sz w:val="32"/>
          <w:szCs w:val="32"/>
        </w:rPr>
      </w:pPr>
      <w:r>
        <w:fldChar w:fldCharType="begin"/>
      </w:r>
      <w:r>
        <w:instrText xml:space="preserve"> HYPERLINK \l "_Toc1115704740" </w:instrText>
      </w:r>
      <w:r>
        <w:fldChar w:fldCharType="separate"/>
      </w:r>
      <w:r>
        <w:rPr>
          <w:rFonts w:hint="eastAsia" w:ascii="仿宋_GB2312" w:hAnsi="仿宋_GB2312" w:eastAsia="仿宋_GB2312" w:cs="仿宋_GB2312"/>
          <w:bCs/>
          <w:sz w:val="32"/>
          <w:szCs w:val="32"/>
        </w:rPr>
        <w:t>第三章 评标程序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_Toc1115704740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s>
        <w:spacing w:line="560" w:lineRule="exact"/>
        <w:rPr>
          <w:rFonts w:ascii="仿宋_GB2312" w:hAnsi="仿宋_GB2312" w:eastAsia="仿宋_GB2312" w:cs="仿宋_GB2312"/>
          <w:sz w:val="32"/>
          <w:szCs w:val="32"/>
        </w:rPr>
      </w:pPr>
      <w:r>
        <w:fldChar w:fldCharType="begin"/>
      </w:r>
      <w:r>
        <w:instrText xml:space="preserve"> HYPERLINK \l "_Toc1273902338" </w:instrText>
      </w:r>
      <w:r>
        <w:fldChar w:fldCharType="separate"/>
      </w:r>
      <w:r>
        <w:rPr>
          <w:rFonts w:hint="eastAsia" w:ascii="仿宋_GB2312" w:hAnsi="仿宋_GB2312" w:eastAsia="仿宋_GB2312" w:cs="仿宋_GB2312"/>
          <w:bCs/>
          <w:sz w:val="32"/>
          <w:szCs w:val="32"/>
        </w:rPr>
        <w:t>第四章 合同格式及合同条款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_Toc1273902338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s>
        <w:spacing w:line="560" w:lineRule="exact"/>
        <w:rPr>
          <w:rFonts w:ascii="仿宋_GB2312" w:hAnsi="仿宋_GB2312" w:eastAsia="仿宋_GB2312" w:cs="仿宋_GB2312"/>
          <w:sz w:val="32"/>
          <w:szCs w:val="32"/>
        </w:rPr>
      </w:pPr>
      <w:r>
        <w:fldChar w:fldCharType="begin"/>
      </w:r>
      <w:r>
        <w:instrText xml:space="preserve"> HYPERLINK \l "_Toc838053707" </w:instrText>
      </w:r>
      <w:r>
        <w:fldChar w:fldCharType="separate"/>
      </w:r>
      <w:r>
        <w:rPr>
          <w:rFonts w:hint="eastAsia" w:ascii="仿宋_GB2312" w:hAnsi="仿宋_GB2312" w:eastAsia="仿宋_GB2312" w:cs="仿宋_GB2312"/>
          <w:bCs/>
          <w:sz w:val="32"/>
          <w:szCs w:val="32"/>
        </w:rPr>
        <w:t>第五章 用户需求书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_Toc838053707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s>
        <w:spacing w:line="560" w:lineRule="exact"/>
        <w:rPr>
          <w:rFonts w:ascii="仿宋_GB2312" w:hAnsi="仿宋_GB2312" w:eastAsia="仿宋_GB2312" w:cs="仿宋_GB2312"/>
          <w:sz w:val="32"/>
          <w:szCs w:val="32"/>
        </w:rPr>
      </w:pPr>
      <w:r>
        <w:fldChar w:fldCharType="begin"/>
      </w:r>
      <w:r>
        <w:instrText xml:space="preserve"> HYPERLINK \l "_Toc824278181" </w:instrText>
      </w:r>
      <w:r>
        <w:fldChar w:fldCharType="separate"/>
      </w:r>
      <w:r>
        <w:rPr>
          <w:rFonts w:hint="eastAsia" w:ascii="仿宋_GB2312" w:hAnsi="仿宋_GB2312" w:eastAsia="仿宋_GB2312" w:cs="仿宋_GB2312"/>
          <w:bCs/>
          <w:sz w:val="32"/>
          <w:szCs w:val="32"/>
        </w:rPr>
        <w:t>第六章 投标文件初审及招标项目评分表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_Toc824278181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s>
        <w:spacing w:line="560" w:lineRule="exact"/>
        <w:rPr>
          <w:rFonts w:ascii="仿宋_GB2312" w:hAnsi="仿宋_GB2312" w:eastAsia="仿宋_GB2312" w:cs="仿宋_GB2312"/>
          <w:sz w:val="32"/>
          <w:szCs w:val="32"/>
        </w:rPr>
      </w:pPr>
      <w:r>
        <w:fldChar w:fldCharType="begin"/>
      </w:r>
      <w:r>
        <w:instrText xml:space="preserve"> HYPERLINK \l "_Toc912061579" </w:instrText>
      </w:r>
      <w:r>
        <w:fldChar w:fldCharType="separate"/>
      </w:r>
      <w:r>
        <w:rPr>
          <w:rFonts w:hint="eastAsia" w:ascii="仿宋_GB2312" w:hAnsi="仿宋_GB2312" w:eastAsia="仿宋_GB2312" w:cs="仿宋_GB2312"/>
          <w:bCs/>
          <w:sz w:val="32"/>
          <w:szCs w:val="32"/>
        </w:rPr>
        <w:t>第七章 附件（投标文件格式）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_Toc912061579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s>
        <w:spacing w:line="560" w:lineRule="exact"/>
        <w:rPr>
          <w:rFonts w:ascii="仿宋_GB2312" w:hAnsi="仿宋_GB2312" w:eastAsia="仿宋_GB2312" w:cs="仿宋_GB2312"/>
          <w:sz w:val="32"/>
          <w:szCs w:val="32"/>
        </w:rPr>
      </w:pPr>
      <w:r>
        <w:fldChar w:fldCharType="begin"/>
      </w:r>
      <w:r>
        <w:instrText xml:space="preserve"> HYPERLINK \l "_Toc1706584748" </w:instrText>
      </w:r>
      <w:r>
        <w:fldChar w:fldCharType="separate"/>
      </w:r>
      <w:r>
        <w:rPr>
          <w:rFonts w:hint="eastAsia" w:ascii="仿宋_GB2312" w:hAnsi="仿宋_GB2312" w:eastAsia="仿宋_GB2312" w:cs="仿宋_GB2312"/>
          <w:bCs/>
          <w:sz w:val="32"/>
          <w:szCs w:val="32"/>
        </w:rPr>
        <w:t>附件：相关政策</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_Toc1706584748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spacing w:line="560" w:lineRule="exact"/>
      </w:pPr>
      <w:r>
        <w:rPr>
          <w:rFonts w:hint="eastAsia" w:ascii="仿宋_GB2312" w:hAnsi="仿宋_GB2312" w:eastAsia="仿宋_GB2312" w:cs="仿宋_GB2312"/>
          <w:b/>
          <w:bCs/>
          <w:sz w:val="32"/>
          <w:szCs w:val="32"/>
        </w:rPr>
        <w:fldChar w:fldCharType="end"/>
      </w:r>
    </w:p>
    <w:p>
      <w:pPr>
        <w:numPr>
          <w:ilvl w:val="0"/>
          <w:numId w:val="1"/>
        </w:numPr>
        <w:spacing w:line="360" w:lineRule="auto"/>
        <w:jc w:val="center"/>
        <w:outlineLvl w:val="0"/>
        <w:rPr>
          <w:rFonts w:ascii="宋体" w:hAnsi="宋体" w:cs="宋体"/>
          <w:b/>
          <w:bCs/>
          <w:sz w:val="24"/>
        </w:rPr>
        <w:sectPr>
          <w:footerReference r:id="rId5" w:type="default"/>
          <w:pgSz w:w="11906" w:h="16838"/>
          <w:pgMar w:top="1440" w:right="1800" w:bottom="1440" w:left="1800" w:header="851" w:footer="992" w:gutter="0"/>
          <w:pgNumType w:start="1"/>
          <w:cols w:space="720" w:num="1"/>
          <w:docGrid w:type="lines" w:linePitch="312" w:charSpace="0"/>
        </w:sectPr>
      </w:pPr>
    </w:p>
    <w:p>
      <w:pPr>
        <w:numPr>
          <w:ilvl w:val="255"/>
          <w:numId w:val="0"/>
        </w:numPr>
        <w:spacing w:line="360" w:lineRule="auto"/>
        <w:jc w:val="center"/>
        <w:outlineLvl w:val="0"/>
        <w:rPr>
          <w:rFonts w:ascii="宋体" w:hAnsi="宋体" w:cs="宋体"/>
          <w:b/>
          <w:bCs/>
          <w:sz w:val="36"/>
          <w:szCs w:val="36"/>
        </w:rPr>
      </w:pPr>
      <w:bookmarkStart w:id="4" w:name="_Toc2033421555"/>
      <w:r>
        <w:rPr>
          <w:rFonts w:ascii="宋体" w:hAnsi="宋体" w:cs="宋体"/>
          <w:b/>
          <w:bCs/>
          <w:sz w:val="36"/>
          <w:szCs w:val="36"/>
        </w:rPr>
        <w:t xml:space="preserve">第一章  </w:t>
      </w:r>
      <w:bookmarkStart w:id="5" w:name="_Toc28255"/>
      <w:bookmarkStart w:id="6" w:name="_Toc156081019"/>
      <w:r>
        <w:rPr>
          <w:rFonts w:ascii="宋体" w:hAnsi="宋体" w:cs="宋体"/>
          <w:b/>
          <w:bCs/>
          <w:sz w:val="36"/>
          <w:szCs w:val="36"/>
        </w:rPr>
        <w:t>招标公告</w:t>
      </w:r>
      <w:bookmarkEnd w:id="4"/>
      <w:bookmarkEnd w:id="5"/>
      <w:bookmarkEnd w:id="6"/>
    </w:p>
    <w:p>
      <w:pPr>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《文化软实力基地建设的路径探索：深圳前海文物艺术品“国内国际双循环”交易流通可行性研究》课题研究项目（招标编号：QH2023113）项目采用公开征集供应商简易招标方式采购，欢迎符合投标</w:t>
      </w:r>
      <w:r>
        <w:rPr>
          <w:rFonts w:hint="eastAsia" w:ascii="仿宋_GB2312" w:hAnsi="仿宋_GB2312" w:eastAsia="仿宋_GB2312" w:cs="仿宋_GB2312"/>
          <w:kern w:val="0"/>
          <w:sz w:val="24"/>
          <w:szCs w:val="20"/>
        </w:rPr>
        <w:t>单位</w:t>
      </w:r>
      <w:r>
        <w:rPr>
          <w:rFonts w:hint="eastAsia" w:ascii="仿宋_GB2312" w:hAnsi="仿宋_GB2312" w:eastAsia="仿宋_GB2312" w:cs="仿宋_GB2312"/>
          <w:sz w:val="24"/>
        </w:rPr>
        <w:t>资格要求的专业供应商积极参加投标。</w:t>
      </w:r>
    </w:p>
    <w:tbl>
      <w:tblPr>
        <w:tblStyle w:val="18"/>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00" w:lineRule="exact"/>
              <w:jc w:val="center"/>
              <w:rPr>
                <w:sz w:val="24"/>
              </w:rPr>
            </w:pPr>
            <w:r>
              <w:rPr>
                <w:rFonts w:hint="eastAsia" w:ascii="宋体" w:hAnsi="宋体" w:cs="宋体"/>
                <w:sz w:val="24"/>
              </w:rPr>
              <w:t>招标文件编号</w:t>
            </w:r>
          </w:p>
        </w:tc>
        <w:tc>
          <w:tcPr>
            <w:tcW w:w="7015" w:type="dxa"/>
            <w:vAlign w:val="center"/>
          </w:tcPr>
          <w:p>
            <w:pPr>
              <w:spacing w:line="400" w:lineRule="exact"/>
              <w:rPr>
                <w:rFonts w:ascii="宋体" w:hAnsi="宋体" w:cs="宋体"/>
                <w:sz w:val="24"/>
              </w:rPr>
            </w:pPr>
            <w:r>
              <w:rPr>
                <w:rFonts w:hint="eastAsia" w:ascii="宋体" w:hAnsi="宋体" w:cs="宋体"/>
                <w:sz w:val="24"/>
              </w:rPr>
              <w:t>QH2023113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00" w:lineRule="exact"/>
              <w:jc w:val="center"/>
              <w:rPr>
                <w:rFonts w:ascii="宋体" w:hAnsi="宋体" w:cs="宋体"/>
                <w:sz w:val="24"/>
              </w:rPr>
            </w:pPr>
            <w:r>
              <w:rPr>
                <w:rFonts w:hint="eastAsia" w:ascii="宋体" w:hAnsi="宋体" w:cs="宋体"/>
                <w:sz w:val="24"/>
              </w:rPr>
              <w:t>招标项目名称</w:t>
            </w:r>
          </w:p>
        </w:tc>
        <w:tc>
          <w:tcPr>
            <w:tcW w:w="7015" w:type="dxa"/>
            <w:vAlign w:val="center"/>
          </w:tcPr>
          <w:p>
            <w:pPr>
              <w:spacing w:line="400" w:lineRule="exact"/>
              <w:rPr>
                <w:rFonts w:ascii="宋体" w:hAnsi="宋体" w:cs="宋体"/>
                <w:sz w:val="24"/>
              </w:rPr>
            </w:pPr>
            <w:r>
              <w:rPr>
                <w:rFonts w:hint="eastAsia" w:ascii="宋体" w:hAnsi="宋体" w:cs="宋体"/>
                <w:sz w:val="24"/>
              </w:rPr>
              <w:t>《</w:t>
            </w:r>
            <w:r>
              <w:rPr>
                <w:rFonts w:ascii="宋体" w:hAnsi="宋体" w:cs="宋体"/>
                <w:sz w:val="24"/>
              </w:rPr>
              <w:t>文化软实力基地建设的路径探索：深圳前海文物艺术品“国内国际双循环”交易流通可行性研究</w:t>
            </w:r>
            <w:r>
              <w:rPr>
                <w:rFonts w:hint="eastAsia" w:ascii="宋体" w:hAnsi="宋体" w:cs="宋体"/>
                <w:sz w:val="24"/>
              </w:rPr>
              <w:t>》课题研究项目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1676" w:type="dxa"/>
            <w:vAlign w:val="center"/>
          </w:tcPr>
          <w:p>
            <w:pPr>
              <w:spacing w:line="500" w:lineRule="exact"/>
              <w:jc w:val="center"/>
              <w:rPr>
                <w:rFonts w:ascii="宋体" w:hAnsi="宋体" w:cs="宋体"/>
                <w:sz w:val="24"/>
              </w:rPr>
            </w:pPr>
            <w:r>
              <w:rPr>
                <w:rFonts w:hint="eastAsia" w:ascii="宋体" w:hAnsi="宋体" w:cs="宋体"/>
                <w:sz w:val="24"/>
              </w:rPr>
              <w:t>标的内容</w:t>
            </w:r>
          </w:p>
        </w:tc>
        <w:tc>
          <w:tcPr>
            <w:tcW w:w="7015" w:type="dxa"/>
            <w:vAlign w:val="center"/>
          </w:tcPr>
          <w:p>
            <w:pPr>
              <w:widowControl/>
              <w:spacing w:line="400" w:lineRule="exact"/>
              <w:jc w:val="left"/>
              <w:rPr>
                <w:sz w:val="24"/>
              </w:rPr>
            </w:pPr>
            <w:bookmarkStart w:id="7" w:name="_Hlk109907681"/>
            <w:r>
              <w:rPr>
                <w:rFonts w:hint="eastAsia"/>
                <w:b/>
                <w:bCs/>
                <w:sz w:val="24"/>
              </w:rPr>
              <w:t>项目背景</w:t>
            </w:r>
            <w:r>
              <w:rPr>
                <w:rFonts w:hint="eastAsia"/>
                <w:sz w:val="24"/>
              </w:rPr>
              <w:t>：</w:t>
            </w:r>
          </w:p>
          <w:p>
            <w:pPr>
              <w:widowControl/>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sz w:val="24"/>
              </w:rPr>
              <w:t>党的二十大报告强调,不断提升国家文化软实力和中华文化影响力,大力发展文化事业和文化产业。在粤港澳大湾区的战略指引下, 《全面深化前海深港现代服务业合作区改革开放方案》提出“稳妥有序扩大文化领域对外开放, 建设多种文化开放共荣的文化交流互鉴平台,打造文化软实力基地”,为前海文化建设提供了根本遵循和重要支撑。根据前海合作区党工委 深圳市前海管理局印发《前海合作区党工委 深圳市前海管理局2023年度课题研究计划》部署安排，</w:t>
            </w:r>
            <w:r>
              <w:rPr>
                <w:rFonts w:hint="eastAsia" w:ascii="仿宋_GB2312" w:hAnsi="仿宋_GB2312" w:eastAsia="仿宋_GB2312" w:cs="仿宋_GB2312"/>
                <w:sz w:val="24"/>
                <w:lang w:val="zh-CN"/>
              </w:rPr>
              <w:t>拟开展《</w:t>
            </w:r>
            <w:r>
              <w:rPr>
                <w:rFonts w:hint="eastAsia" w:ascii="仿宋_GB2312" w:hAnsi="仿宋_GB2312" w:eastAsia="仿宋_GB2312" w:cs="仿宋_GB2312"/>
                <w:sz w:val="24"/>
              </w:rPr>
              <w:t>文化软实力基地建设的路径探索：深圳前海文物艺术品“国内国际双循环”交易流通可行性研究</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课题研究</w:t>
            </w:r>
            <w:r>
              <w:rPr>
                <w:rFonts w:hint="eastAsia" w:ascii="仿宋_GB2312" w:hAnsi="仿宋_GB2312" w:eastAsia="仿宋_GB2312" w:cs="仿宋_GB2312"/>
                <w:sz w:val="24"/>
                <w:lang w:val="zh-CN"/>
              </w:rPr>
              <w:t>项目，</w:t>
            </w:r>
            <w:r>
              <w:rPr>
                <w:rFonts w:hint="eastAsia" w:ascii="仿宋_GB2312" w:hAnsi="仿宋_GB2312" w:eastAsia="仿宋_GB2312" w:cs="仿宋_GB2312"/>
                <w:sz w:val="24"/>
              </w:rPr>
              <w:t>结合打造文化软实力基地的战略任务,探讨前海建立国际艺术品交易中心的可行性与必要性,探索打造国际艺术品交易流通高地的方法与途径,研究实现前海“建设国际艺术品交易中心、建立多种文化交流互鉴平台、打造文化软实力基地”目标的策略与建议, 促进国际艺术品依法交易、规范流通、有序发展。</w:t>
            </w:r>
          </w:p>
          <w:p>
            <w:pPr>
              <w:widowControl/>
              <w:spacing w:line="400" w:lineRule="exact"/>
              <w:jc w:val="left"/>
              <w:rPr>
                <w:sz w:val="24"/>
              </w:rPr>
            </w:pPr>
            <w:r>
              <w:rPr>
                <w:rFonts w:hint="eastAsia"/>
                <w:b/>
                <w:bCs/>
                <w:sz w:val="24"/>
              </w:rPr>
              <w:t>项目目标</w:t>
            </w:r>
            <w:r>
              <w:rPr>
                <w:rFonts w:hint="eastAsia"/>
                <w:sz w:val="24"/>
              </w:rPr>
              <w:t>：</w:t>
            </w:r>
          </w:p>
          <w:p>
            <w:pPr>
              <w:widowControl/>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研究实现前海“建设国际艺术品交易中心、建立多种文化交流互鉴平台、打造文化软实力基地”目标的策略与建议, 促进国际艺术品依法交易、规范流通、有序发展。</w:t>
            </w:r>
          </w:p>
          <w:p>
            <w:pPr>
              <w:widowControl/>
              <w:spacing w:line="400" w:lineRule="exact"/>
              <w:jc w:val="left"/>
              <w:rPr>
                <w:sz w:val="24"/>
              </w:rPr>
            </w:pPr>
            <w:r>
              <w:rPr>
                <w:rFonts w:hint="eastAsia"/>
                <w:b/>
                <w:bCs/>
                <w:sz w:val="24"/>
              </w:rPr>
              <w:t>项目内容（包括但不限于）：</w:t>
            </w:r>
          </w:p>
          <w:bookmarkEnd w:id="7"/>
          <w:p>
            <w:pPr>
              <w:widowControl/>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1.梳理国内外艺术品市场的基本情况、政策环境及发展趋势,概括艺术品市场对于推动文化事业与文化产业共同发展的重要意义。</w:t>
            </w:r>
          </w:p>
          <w:p>
            <w:pPr>
              <w:widowControl/>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2.总结国际艺术品流通的先进经验与成熟做法,为前海建设国际艺术品集散地提供借鉴参考。</w:t>
            </w:r>
          </w:p>
          <w:p>
            <w:pPr>
              <w:widowControl/>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3.探索构建前海国际艺术品交易流通平台与体制机制,提 出促进国际艺术品交易流通的政策建议。</w:t>
            </w:r>
          </w:p>
          <w:p>
            <w:pPr>
              <w:widowControl/>
              <w:spacing w:line="400" w:lineRule="exact"/>
              <w:jc w:val="left"/>
              <w:rPr>
                <w:b/>
                <w:bCs/>
                <w:sz w:val="24"/>
              </w:rPr>
            </w:pPr>
            <w:r>
              <w:rPr>
                <w:rFonts w:hint="eastAsia"/>
                <w:b/>
                <w:bCs/>
                <w:sz w:val="24"/>
              </w:rPr>
              <w:t>项目成果（包括但不限于）：</w:t>
            </w:r>
          </w:p>
          <w:p>
            <w:pPr>
              <w:widowControl/>
              <w:spacing w:line="400" w:lineRule="exact"/>
              <w:jc w:val="left"/>
              <w:rPr>
                <w:sz w:val="24"/>
              </w:rPr>
            </w:pPr>
            <w:r>
              <w:rPr>
                <w:rFonts w:hint="eastAsia" w:ascii="仿宋_GB2312" w:hAnsi="仿宋_GB2312" w:eastAsia="仿宋_GB2312" w:cs="仿宋_GB2312"/>
                <w:sz w:val="24"/>
              </w:rPr>
              <w:t>最终提交《文化软实力基地建设的路径探索：深圳前海文物艺术品“国内国际双循环”交易流通可行性研究》课题研究报告1套，分别以书面形式和电子文件形式提交，且经中期抽查及第三方查重系统查重后课题内容重复率不得超过20%，最后由采购单位组织有关外部专家评审验收，验收依据为合同及国家和行业有关规范、规程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00" w:lineRule="exact"/>
              <w:jc w:val="center"/>
              <w:rPr>
                <w:rFonts w:ascii="宋体" w:hAnsi="宋体" w:cs="宋体"/>
                <w:sz w:val="24"/>
              </w:rPr>
            </w:pPr>
            <w:r>
              <w:rPr>
                <w:rFonts w:hint="eastAsia" w:ascii="宋体" w:hAnsi="宋体" w:cs="宋体"/>
                <w:sz w:val="24"/>
              </w:rPr>
              <w:t>项目预算</w:t>
            </w:r>
          </w:p>
        </w:tc>
        <w:tc>
          <w:tcPr>
            <w:tcW w:w="7015" w:type="dxa"/>
            <w:vAlign w:val="center"/>
          </w:tcPr>
          <w:p>
            <w:pPr>
              <w:widowControl/>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￥600000.00（人民币）</w:t>
            </w:r>
          </w:p>
          <w:p>
            <w:pPr>
              <w:widowControl/>
              <w:spacing w:line="400" w:lineRule="exact"/>
              <w:jc w:val="left"/>
              <w:rPr>
                <w:rFonts w:ascii="宋体" w:hAnsi="宋体" w:cs="宋体"/>
                <w:sz w:val="24"/>
              </w:rPr>
            </w:pPr>
            <w:r>
              <w:rPr>
                <w:rFonts w:hint="eastAsia" w:ascii="仿宋_GB2312" w:hAnsi="仿宋_GB2312" w:eastAsia="仿宋_GB2312" w:cs="仿宋_GB2312"/>
                <w:sz w:val="24"/>
              </w:rPr>
              <w:t>大写：陆拾万元整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400" w:lineRule="exact"/>
              <w:rPr>
                <w:rFonts w:ascii="宋体" w:hAnsi="宋体" w:cs="宋体"/>
                <w:kern w:val="0"/>
                <w:sz w:val="24"/>
              </w:rPr>
            </w:pPr>
            <w:r>
              <w:rPr>
                <w:rFonts w:hint="eastAsia" w:ascii="仿宋_GB2312" w:hAnsi="仿宋_GB2312" w:eastAsia="仿宋_GB2312" w:cs="仿宋_GB2312"/>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spacing w:line="400" w:lineRule="exact"/>
              <w:jc w:val="left"/>
              <w:rPr>
                <w:rFonts w:ascii="仿宋_GB2312" w:hAnsi="仿宋_GB2312" w:eastAsia="仿宋_GB2312" w:cs="仿宋_GB2312"/>
                <w:b/>
                <w:kern w:val="0"/>
                <w:sz w:val="24"/>
              </w:rPr>
            </w:pPr>
            <w:r>
              <w:rPr>
                <w:rFonts w:hint="eastAsia" w:ascii="仿宋_GB2312" w:hAnsi="仿宋_GB2312" w:eastAsia="仿宋_GB2312" w:cs="仿宋_GB2312"/>
                <w:kern w:val="0"/>
                <w:sz w:val="24"/>
                <w:lang w:bidi="ar"/>
              </w:rPr>
              <w:t>将投标文件（一式五份，正本1份，副本4份，附电子版，电子版是以光盘、U盘或硬盘等移动存储介质提交的加盖公章的PDF电子投标文件）密封并在</w:t>
            </w:r>
            <w:r>
              <w:rPr>
                <w:rFonts w:hint="eastAsia" w:ascii="仿宋_GB2312" w:hAnsi="仿宋_GB2312" w:eastAsia="仿宋_GB2312" w:cs="仿宋_GB2312"/>
                <w:b/>
                <w:kern w:val="0"/>
                <w:sz w:val="24"/>
                <w:lang w:bidi="ar"/>
              </w:rPr>
              <w:t>2023年</w:t>
            </w:r>
            <w:r>
              <w:rPr>
                <w:rFonts w:ascii="仿宋_GB2312" w:hAnsi="仿宋_GB2312" w:eastAsia="仿宋_GB2312" w:cs="仿宋_GB2312"/>
                <w:b/>
                <w:kern w:val="0"/>
                <w:sz w:val="24"/>
                <w:lang w:bidi="ar"/>
              </w:rPr>
              <w:t>10</w:t>
            </w:r>
            <w:r>
              <w:rPr>
                <w:rFonts w:hint="eastAsia" w:ascii="仿宋_GB2312" w:hAnsi="仿宋_GB2312" w:eastAsia="仿宋_GB2312" w:cs="仿宋_GB2312"/>
                <w:b/>
                <w:kern w:val="0"/>
                <w:sz w:val="24"/>
                <w:lang w:bidi="ar"/>
              </w:rPr>
              <w:t>月7日下午17:00时（北京时间）前送达</w:t>
            </w:r>
            <w:r>
              <w:rPr>
                <w:rFonts w:hint="eastAsia" w:ascii="仿宋_GB2312" w:hAnsi="仿宋_GB2312" w:eastAsia="仿宋_GB2312" w:cs="仿宋_GB2312"/>
                <w:kern w:val="0"/>
                <w:sz w:val="24"/>
                <w:lang w:bidi="ar"/>
              </w:rPr>
              <w:t>至</w:t>
            </w:r>
            <w:r>
              <w:rPr>
                <w:rFonts w:hint="eastAsia" w:ascii="仿宋_GB2312" w:hAnsi="仿宋_GB2312" w:eastAsia="仿宋_GB2312" w:cs="仿宋_GB2312"/>
                <w:b/>
                <w:kern w:val="0"/>
                <w:sz w:val="24"/>
                <w:lang w:bidi="ar"/>
              </w:rPr>
              <w:t>深圳市前海深港现代服务业合作区桂湾五路123号前海大厦T1栋2506室。</w:t>
            </w:r>
          </w:p>
          <w:p>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lang w:bidi="ar"/>
              </w:rPr>
              <w:t>联系人：</w:t>
            </w:r>
            <w:r>
              <w:rPr>
                <w:rFonts w:hint="eastAsia" w:ascii="仿宋_GB2312" w:hAnsi="仿宋_GB2312" w:eastAsia="仿宋_GB2312" w:cs="仿宋_GB2312"/>
                <w:kern w:val="0"/>
                <w:sz w:val="24"/>
              </w:rPr>
              <w:t>裴飞翔</w:t>
            </w:r>
          </w:p>
          <w:p>
            <w:pPr>
              <w:spacing w:line="400" w:lineRule="exact"/>
              <w:jc w:val="left"/>
              <w:rPr>
                <w:rFonts w:ascii="宋体" w:hAnsi="宋体" w:cs="宋体"/>
                <w:kern w:val="0"/>
                <w:sz w:val="24"/>
              </w:rPr>
            </w:pPr>
            <w:r>
              <w:rPr>
                <w:rFonts w:hint="eastAsia" w:ascii="仿宋_GB2312" w:hAnsi="仿宋_GB2312" w:eastAsia="仿宋_GB2312" w:cs="仿宋_GB2312"/>
                <w:kern w:val="0"/>
                <w:sz w:val="24"/>
                <w:lang w:bidi="ar"/>
              </w:rPr>
              <w:t>联系电话：0755-88105110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255"/>
                <w:numId w:val="0"/>
              </w:numPr>
              <w:spacing w:line="4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1.在中华人民共和国境内注册的具有独立法人资格或具有独立承担民事责任的能力的其它组织（提供营业证照或事业单位法人证等证明复印件加盖投标人公章）。</w:t>
            </w:r>
          </w:p>
          <w:p>
            <w:pPr>
              <w:numPr>
                <w:ilvl w:val="255"/>
                <w:numId w:val="0"/>
              </w:numPr>
              <w:spacing w:line="4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2.参与政府采购项目投标的供应商近三年内</w:t>
            </w:r>
            <w:r>
              <w:rPr>
                <w:rFonts w:hint="eastAsia" w:ascii="仿宋_GB2312" w:hAnsi="仿宋_GB2312" w:eastAsia="仿宋_GB2312" w:cs="仿宋_GB2312"/>
                <w:b/>
                <w:bCs/>
                <w:kern w:val="0"/>
                <w:sz w:val="24"/>
              </w:rPr>
              <w:t>（投标人成立不足三年的可从成立之日起算）</w:t>
            </w:r>
            <w:r>
              <w:rPr>
                <w:rFonts w:hint="eastAsia" w:ascii="仿宋_GB2312" w:hAnsi="仿宋_GB2312" w:eastAsia="仿宋_GB2312" w:cs="仿宋_GB2312"/>
                <w:kern w:val="0"/>
                <w:sz w:val="24"/>
              </w:rPr>
              <w:t>无行贿犯罪记录</w:t>
            </w:r>
            <w:r>
              <w:rPr>
                <w:rFonts w:hint="eastAsia" w:ascii="仿宋_GB2312" w:hAnsi="仿宋_GB2312" w:eastAsia="仿宋_GB2312" w:cs="仿宋_GB2312"/>
                <w:b/>
                <w:bCs/>
                <w:kern w:val="0"/>
                <w:sz w:val="24"/>
              </w:rPr>
              <w:t>（由投标人在《政府采购投标及履约承诺函》中作出声明）</w:t>
            </w:r>
            <w:r>
              <w:rPr>
                <w:rFonts w:hint="eastAsia" w:ascii="仿宋_GB2312" w:hAnsi="仿宋_GB2312" w:eastAsia="仿宋_GB2312" w:cs="仿宋_GB2312"/>
                <w:kern w:val="0"/>
                <w:sz w:val="24"/>
              </w:rPr>
              <w:t>；</w:t>
            </w:r>
          </w:p>
          <w:p>
            <w:pPr>
              <w:numPr>
                <w:ilvl w:val="255"/>
                <w:numId w:val="0"/>
              </w:numPr>
              <w:spacing w:line="4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w:t>
            </w:r>
            <w:r>
              <w:rPr>
                <w:rFonts w:hint="eastAsia" w:ascii="仿宋_GB2312" w:hAnsi="仿宋_GB2312" w:eastAsia="仿宋_GB2312" w:cs="仿宋_GB2312"/>
                <w:b/>
                <w:bCs/>
                <w:kern w:val="0"/>
                <w:sz w:val="24"/>
              </w:rPr>
              <w:t>（投标人成立不足三年的可从成立之日起算）</w:t>
            </w:r>
            <w:r>
              <w:rPr>
                <w:rFonts w:hint="eastAsia" w:ascii="仿宋_GB2312" w:hAnsi="仿宋_GB2312" w:eastAsia="仿宋_GB2312" w:cs="仿宋_GB2312"/>
                <w:kern w:val="0"/>
                <w:sz w:val="24"/>
              </w:rPr>
              <w:t>，在经营活动中没有重大违法记录、以及不存在被有关部门禁止参与政府采购活动且在有效期内的情况</w:t>
            </w:r>
            <w:r>
              <w:rPr>
                <w:rFonts w:hint="eastAsia" w:ascii="仿宋_GB2312" w:hAnsi="仿宋_GB2312" w:eastAsia="仿宋_GB2312" w:cs="仿宋_GB2312"/>
                <w:b/>
                <w:bCs/>
                <w:kern w:val="0"/>
                <w:sz w:val="24"/>
              </w:rPr>
              <w:t>（由投标人在《政府采购投标及履约承诺函》中作出声明）</w:t>
            </w:r>
            <w:r>
              <w:rPr>
                <w:rFonts w:hint="eastAsia" w:ascii="仿宋_GB2312" w:hAnsi="仿宋_GB2312" w:eastAsia="仿宋_GB2312" w:cs="仿宋_GB2312"/>
                <w:kern w:val="0"/>
                <w:sz w:val="24"/>
              </w:rPr>
              <w:t>；</w:t>
            </w:r>
          </w:p>
          <w:p>
            <w:pPr>
              <w:numPr>
                <w:ilvl w:val="255"/>
                <w:numId w:val="0"/>
              </w:numPr>
              <w:spacing w:line="4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4.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r>
              <w:rPr>
                <w:rFonts w:hint="eastAsia" w:ascii="仿宋_GB2312" w:hAnsi="仿宋_GB2312" w:eastAsia="仿宋_GB2312" w:cs="仿宋_GB2312"/>
                <w:b/>
                <w:bCs/>
                <w:kern w:val="0"/>
                <w:sz w:val="24"/>
              </w:rPr>
              <w:t>（由投标人在《政府采购投标及履约承诺函》中作出声明）</w:t>
            </w:r>
            <w:r>
              <w:rPr>
                <w:rFonts w:hint="eastAsia" w:ascii="仿宋_GB2312" w:hAnsi="仿宋_GB2312" w:eastAsia="仿宋_GB2312" w:cs="仿宋_GB2312"/>
                <w:kern w:val="0"/>
                <w:sz w:val="24"/>
              </w:rPr>
              <w:t>；</w:t>
            </w:r>
          </w:p>
          <w:p>
            <w:pPr>
              <w:spacing w:line="400" w:lineRule="exact"/>
              <w:rPr>
                <w:rFonts w:ascii="宋体" w:hAnsi="宋体" w:cs="宋体"/>
                <w:kern w:val="0"/>
                <w:sz w:val="24"/>
              </w:rPr>
            </w:pPr>
            <w:r>
              <w:rPr>
                <w:rFonts w:hint="eastAsia" w:ascii="仿宋_GB2312" w:hAnsi="仿宋_GB2312" w:eastAsia="仿宋_GB2312" w:cs="仿宋_GB2312"/>
                <w:kern w:val="0"/>
                <w:sz w:val="24"/>
              </w:rPr>
              <w:t>5.本项目接受联合体投标，但不允许转包、分包。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spacing w:line="400" w:lineRule="exact"/>
              <w:rPr>
                <w:rFonts w:ascii="仿宋_GB2312" w:hAnsi="仿宋_GB2312" w:eastAsia="仿宋_GB2312" w:cs="仿宋_GB2312"/>
                <w:kern w:val="0"/>
                <w:sz w:val="24"/>
              </w:rPr>
            </w:pPr>
            <w:r>
              <w:rPr>
                <w:rFonts w:hint="eastAsia" w:ascii="仿宋_GB2312" w:hAnsi="仿宋_GB2312" w:eastAsia="仿宋_GB2312" w:cs="仿宋_GB2312"/>
                <w:sz w:val="24"/>
              </w:rPr>
              <w:t>1.本次投标为总价包干，投标报价总价作为中标单位与采购单位签订的合同金额。投标单位</w:t>
            </w:r>
            <w:r>
              <w:rPr>
                <w:rFonts w:hint="eastAsia" w:ascii="仿宋_GB2312" w:hAnsi="仿宋_GB2312" w:eastAsia="仿宋_GB2312" w:cs="仿宋_GB2312"/>
                <w:sz w:val="24"/>
                <w:lang w:val="zh-CN"/>
              </w:rPr>
              <w:t>的报价不可高于限价，否则</w:t>
            </w:r>
            <w:r>
              <w:rPr>
                <w:rFonts w:hint="eastAsia" w:ascii="仿宋_GB2312" w:hAnsi="仿宋_GB2312" w:eastAsia="仿宋_GB2312" w:cs="仿宋_GB2312"/>
                <w:sz w:val="24"/>
              </w:rPr>
              <w:t>投标单位</w:t>
            </w:r>
            <w:r>
              <w:rPr>
                <w:rFonts w:hint="eastAsia" w:ascii="仿宋_GB2312" w:hAnsi="仿宋_GB2312" w:eastAsia="仿宋_GB2312" w:cs="仿宋_GB2312"/>
                <w:sz w:val="24"/>
                <w:lang w:val="zh-CN"/>
              </w:rPr>
              <w:t>的投标文件视同无效。</w:t>
            </w:r>
            <w:r>
              <w:rPr>
                <w:rFonts w:hint="eastAsia" w:ascii="仿宋_GB2312" w:hAnsi="仿宋_GB2312" w:eastAsia="仿宋_GB2312" w:cs="仿宋_GB2312"/>
                <w:sz w:val="24"/>
              </w:rPr>
              <w:t>本</w:t>
            </w:r>
            <w:r>
              <w:rPr>
                <w:rFonts w:hint="eastAsia" w:ascii="仿宋_GB2312" w:hAnsi="仿宋_GB2312" w:eastAsia="仿宋_GB2312" w:cs="仿宋_GB2312"/>
                <w:sz w:val="24"/>
                <w:lang w:val="zh-CN"/>
              </w:rPr>
              <w:t>项目服务费包括</w:t>
            </w:r>
            <w:r>
              <w:rPr>
                <w:rFonts w:hint="eastAsia" w:ascii="仿宋_GB2312" w:hAnsi="仿宋_GB2312" w:eastAsia="仿宋_GB2312" w:cs="仿宋_GB2312"/>
                <w:kern w:val="0"/>
                <w:sz w:val="24"/>
              </w:rPr>
              <w:t>投标人完成本招标项目而发生的全部费用，包括服务费、中标服务费、各种资料费、保险、税金、出差（如需）等所有费用，并提供合同要求的报告、全部成果文件和全部相关资料，以及其它相关服务的全部费用。</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2.投标单位应根据本机构的成本自行决定报价，不得以低于服务成本的报价投标。</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投标单位不得期望通过索赔等方式获取补偿，否则，除可能遭到拒绝外，还可能将被作为不良行为记录在案，并可能影响其以后参加政府采购的项目投标。各投标单位在投标报价时，应充分考虑投标报价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4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采购单位信息：</w:t>
            </w:r>
          </w:p>
          <w:p>
            <w:pPr>
              <w:spacing w:line="4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名      称： 深圳市前海深港现代服务业合作区管理局</w:t>
            </w:r>
          </w:p>
          <w:p>
            <w:pPr>
              <w:spacing w:line="4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联  系  人：裴飞翔 </w:t>
            </w:r>
          </w:p>
          <w:p>
            <w:pPr>
              <w:spacing w:line="4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电      话： 0755-88105110</w:t>
            </w:r>
          </w:p>
          <w:p>
            <w:pPr>
              <w:spacing w:line="4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采购代理机构信息：</w:t>
            </w:r>
          </w:p>
          <w:p>
            <w:pPr>
              <w:spacing w:line="4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名      称： 深圳交易咨询集团有限公司</w:t>
            </w:r>
          </w:p>
          <w:p>
            <w:pPr>
              <w:spacing w:line="4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地      址： 深圳市南山区沙河西路 3157 号南山智谷产业园 A 座21楼</w:t>
            </w:r>
          </w:p>
          <w:p>
            <w:pPr>
              <w:spacing w:line="4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联  系  人：黎先生、温先生</w:t>
            </w:r>
          </w:p>
          <w:p>
            <w:pPr>
              <w:spacing w:line="4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电      话：</w:t>
            </w:r>
            <w:r>
              <w:rPr>
                <w:rFonts w:ascii="仿宋_GB2312" w:hAnsi="仿宋_GB2312" w:eastAsia="仿宋_GB2312" w:cs="仿宋_GB2312"/>
                <w:sz w:val="24"/>
              </w:rPr>
              <w:t>18598091126、</w:t>
            </w:r>
            <w:r>
              <w:rPr>
                <w:rFonts w:hint="eastAsia" w:ascii="仿宋_GB2312" w:hAnsi="仿宋_GB2312" w:eastAsia="仿宋_GB2312" w:cs="仿宋_GB2312"/>
                <w:kern w:val="0"/>
                <w:sz w:val="24"/>
              </w:rPr>
              <w:t>13590182490</w:t>
            </w:r>
          </w:p>
        </w:tc>
      </w:tr>
    </w:tbl>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202</w:t>
      </w:r>
      <w:r>
        <w:rPr>
          <w:rFonts w:ascii="宋体" w:hAnsi="宋体" w:cs="宋体"/>
          <w:sz w:val="24"/>
        </w:rPr>
        <w:t>3</w:t>
      </w:r>
      <w:r>
        <w:rPr>
          <w:rFonts w:hint="eastAsia" w:ascii="宋体" w:hAnsi="宋体" w:cs="宋体"/>
          <w:sz w:val="24"/>
        </w:rPr>
        <w:t>年</w:t>
      </w:r>
      <w:r>
        <w:rPr>
          <w:rFonts w:ascii="宋体" w:hAnsi="宋体" w:cs="宋体"/>
          <w:sz w:val="24"/>
        </w:rPr>
        <w:t>9</w:t>
      </w:r>
      <w:r>
        <w:rPr>
          <w:rFonts w:hint="eastAsia" w:ascii="宋体" w:hAnsi="宋体" w:cs="宋体"/>
          <w:sz w:val="24"/>
        </w:rPr>
        <w:t>月</w:t>
      </w:r>
      <w:r>
        <w:rPr>
          <w:rFonts w:ascii="宋体" w:hAnsi="宋体" w:cs="宋体"/>
          <w:sz w:val="24"/>
        </w:rPr>
        <w:t>22</w:t>
      </w:r>
      <w:r>
        <w:rPr>
          <w:rFonts w:hint="eastAsia" w:ascii="宋体" w:hAnsi="宋体" w:cs="宋体"/>
          <w:sz w:val="24"/>
        </w:rPr>
        <w:t>日</w:t>
      </w:r>
    </w:p>
    <w:p>
      <w:pPr>
        <w:numPr>
          <w:ilvl w:val="255"/>
          <w:numId w:val="0"/>
        </w:numPr>
        <w:spacing w:line="360" w:lineRule="auto"/>
        <w:jc w:val="center"/>
        <w:outlineLvl w:val="0"/>
        <w:rPr>
          <w:rFonts w:ascii="宋体" w:hAnsi="宋体" w:cs="宋体"/>
          <w:b/>
          <w:bCs/>
          <w:sz w:val="24"/>
        </w:rPr>
      </w:pPr>
      <w:r>
        <w:rPr>
          <w:rFonts w:hint="eastAsia" w:ascii="宋体" w:hAnsi="宋体" w:cs="宋体"/>
          <w:b/>
          <w:bCs/>
          <w:sz w:val="24"/>
        </w:rPr>
        <w:br w:type="page"/>
      </w:r>
      <w:bookmarkStart w:id="8" w:name="_Toc9248330"/>
      <w:r>
        <w:rPr>
          <w:rFonts w:ascii="宋体" w:hAnsi="宋体" w:cs="宋体"/>
          <w:b/>
          <w:bCs/>
          <w:sz w:val="36"/>
          <w:szCs w:val="36"/>
        </w:rPr>
        <w:t xml:space="preserve">第二章 </w:t>
      </w:r>
      <w:bookmarkStart w:id="9" w:name="_Toc1935729947"/>
      <w:bookmarkStart w:id="10" w:name="_Toc16734"/>
      <w:r>
        <w:rPr>
          <w:rFonts w:ascii="宋体" w:hAnsi="宋体" w:cs="宋体"/>
          <w:b/>
          <w:bCs/>
          <w:sz w:val="36"/>
          <w:szCs w:val="36"/>
        </w:rPr>
        <w:t>投标须知</w:t>
      </w:r>
      <w:bookmarkEnd w:id="8"/>
      <w:bookmarkEnd w:id="9"/>
      <w:bookmarkEnd w:id="10"/>
    </w:p>
    <w:p>
      <w:pPr>
        <w:spacing w:line="40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本项目是深圳市前海深港现代服务业合作区管理局的《</w:t>
      </w:r>
      <w:r>
        <w:rPr>
          <w:rFonts w:ascii="宋体" w:hAnsi="宋体" w:cs="宋体"/>
          <w:sz w:val="24"/>
        </w:rPr>
        <w:t>文化软实力基地建设的路径探索：深圳前海文物艺术品“国内国际双循环”交易流通可行性研究</w:t>
      </w:r>
      <w:r>
        <w:rPr>
          <w:rFonts w:hint="eastAsia" w:ascii="宋体" w:hAnsi="宋体" w:cs="宋体"/>
          <w:sz w:val="24"/>
        </w:rPr>
        <w:t>》课题研究项目。</w:t>
      </w:r>
    </w:p>
    <w:p>
      <w:pPr>
        <w:spacing w:line="40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本项目不属于《深圳市2023—2024年政府集中采购目录及限额标准》规定应集中采购项目，根据《中华人民共和国政府采购法》、《深圳经济特区政府采购条例》及采购单位的有关规定，深圳交易咨询集团有限公司受深圳市前海深港现代服务业合作区管理局委托以简易招标方式组织采购，本次采购公开征集供应商，报名且符合招标文件初审的供应商有3家或以上的，采用综合评分法的方式进行。报名且符合招标文件初审的供应商不足3家而致招标失败的，按以下流程执行：</w:t>
      </w:r>
    </w:p>
    <w:p>
      <w:pPr>
        <w:spacing w:line="40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有效投标人为2家的，可在2家有效投标人中取得分最高者为中标供应商；</w:t>
      </w:r>
    </w:p>
    <w:p>
      <w:pPr>
        <w:spacing w:line="40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如参与投标且符合招标文件要求的供应商仅有1家，评审委员会应与投标供应商进行谈判，原则上成交价应为最初报价的95%。</w:t>
      </w:r>
    </w:p>
    <w:p>
      <w:pPr>
        <w:spacing w:line="40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本项目根据项目的实际情况，公开征集符合投标</w:t>
      </w:r>
      <w:r>
        <w:rPr>
          <w:rFonts w:ascii="宋体" w:hAnsi="宋体" w:cs="宋体"/>
          <w:sz w:val="24"/>
        </w:rPr>
        <w:t>单位</w:t>
      </w:r>
      <w:r>
        <w:rPr>
          <w:rFonts w:hint="eastAsia" w:ascii="宋体" w:hAnsi="宋体" w:cs="宋体"/>
          <w:sz w:val="24"/>
        </w:rPr>
        <w:t>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400" w:lineRule="exact"/>
        <w:ind w:firstLine="482" w:firstLineChars="200"/>
        <w:rPr>
          <w:sz w:val="24"/>
        </w:rPr>
      </w:pPr>
      <w:r>
        <w:rPr>
          <w:rFonts w:hint="eastAsia" w:ascii="宋体" w:hAnsi="宋体" w:cs="宋体"/>
          <w:b/>
          <w:bCs/>
          <w:color w:val="FF0000"/>
          <w:sz w:val="24"/>
        </w:rPr>
        <w:t>注：投标文件需根据目录内容编写页码，正本不得活页装订。</w:t>
      </w:r>
    </w:p>
    <w:p>
      <w:pPr>
        <w:spacing w:line="400" w:lineRule="exact"/>
        <w:ind w:firstLine="480" w:firstLineChars="200"/>
        <w:rPr>
          <w:rFonts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本招标文件已对本次采购项目的商务条件和货物或服务的质量、技术要求、成果要求、交货要求、售后服务作出了明确的规定。</w:t>
      </w:r>
    </w:p>
    <w:p>
      <w:pPr>
        <w:snapToGrid w:val="0"/>
        <w:spacing w:line="400" w:lineRule="exact"/>
        <w:ind w:firstLine="480" w:firstLineChars="200"/>
        <w:rPr>
          <w:rFonts w:ascii="宋体" w:hAnsi="宋体" w:cs="宋体"/>
          <w:sz w:val="24"/>
        </w:rPr>
      </w:pPr>
      <w:r>
        <w:rPr>
          <w:rFonts w:hint="eastAsia" w:ascii="宋体" w:hAnsi="宋体" w:cs="宋体"/>
          <w:sz w:val="24"/>
        </w:rPr>
        <w:t>5</w:t>
      </w:r>
      <w:r>
        <w:rPr>
          <w:rFonts w:ascii="宋体" w:hAnsi="宋体" w:cs="宋体"/>
          <w:sz w:val="24"/>
        </w:rPr>
        <w:t>.</w:t>
      </w:r>
      <w:r>
        <w:rPr>
          <w:rFonts w:hint="eastAsia" w:ascii="宋体" w:hAnsi="宋体" w:cs="宋体"/>
          <w:sz w:val="24"/>
        </w:rPr>
        <w:t>响应文件要包括如下内容：</w:t>
      </w:r>
    </w:p>
    <w:p>
      <w:pPr>
        <w:numPr>
          <w:ilvl w:val="255"/>
          <w:numId w:val="0"/>
        </w:numPr>
        <w:snapToGrid w:val="0"/>
        <w:spacing w:line="400" w:lineRule="exact"/>
        <w:ind w:left="420" w:leftChars="200"/>
        <w:rPr>
          <w:rFonts w:ascii="宋体" w:hAnsi="宋体" w:cs="宋体"/>
          <w:sz w:val="24"/>
        </w:rPr>
      </w:pPr>
      <w:r>
        <w:rPr>
          <w:rFonts w:ascii="宋体" w:hAnsi="宋体" w:cs="宋体"/>
          <w:sz w:val="24"/>
        </w:rPr>
        <w:t>（1）</w:t>
      </w:r>
      <w:r>
        <w:rPr>
          <w:rFonts w:hint="eastAsia" w:ascii="宋体" w:hAnsi="宋体" w:cs="宋体"/>
          <w:sz w:val="24"/>
        </w:rPr>
        <w:t>价格部分；</w:t>
      </w:r>
    </w:p>
    <w:p>
      <w:pPr>
        <w:numPr>
          <w:ilvl w:val="255"/>
          <w:numId w:val="0"/>
        </w:numPr>
        <w:snapToGrid w:val="0"/>
        <w:spacing w:line="400" w:lineRule="exact"/>
        <w:ind w:left="420" w:leftChars="200"/>
        <w:rPr>
          <w:rFonts w:ascii="宋体" w:hAnsi="宋体" w:cs="宋体"/>
          <w:sz w:val="24"/>
        </w:rPr>
      </w:pPr>
      <w:r>
        <w:rPr>
          <w:rFonts w:ascii="宋体" w:hAnsi="宋体" w:cs="宋体"/>
          <w:sz w:val="24"/>
        </w:rPr>
        <w:t>（2）</w:t>
      </w:r>
      <w:r>
        <w:rPr>
          <w:rFonts w:hint="eastAsia" w:ascii="宋体" w:hAnsi="宋体" w:cs="宋体"/>
          <w:sz w:val="24"/>
        </w:rPr>
        <w:t>商务部分；</w:t>
      </w:r>
    </w:p>
    <w:p>
      <w:pPr>
        <w:numPr>
          <w:ilvl w:val="255"/>
          <w:numId w:val="0"/>
        </w:numPr>
        <w:snapToGrid w:val="0"/>
        <w:spacing w:line="400" w:lineRule="exact"/>
        <w:ind w:left="420" w:leftChars="200"/>
        <w:rPr>
          <w:rFonts w:ascii="宋体" w:hAnsi="宋体" w:cs="宋体"/>
          <w:sz w:val="24"/>
        </w:rPr>
      </w:pPr>
      <w:r>
        <w:rPr>
          <w:rFonts w:ascii="宋体" w:hAnsi="宋体" w:cs="宋体"/>
          <w:sz w:val="24"/>
        </w:rPr>
        <w:t>（3）</w:t>
      </w:r>
      <w:r>
        <w:rPr>
          <w:rFonts w:hint="eastAsia" w:ascii="宋体" w:hAnsi="宋体" w:cs="宋体"/>
          <w:sz w:val="24"/>
        </w:rPr>
        <w:t>技术部分。</w:t>
      </w:r>
    </w:p>
    <w:p>
      <w:pPr>
        <w:snapToGrid w:val="0"/>
        <w:spacing w:line="40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项目的报价要求。</w:t>
      </w:r>
      <w:r>
        <w:rPr>
          <w:rFonts w:ascii="宋体" w:hAnsi="宋体" w:cs="宋体"/>
          <w:sz w:val="24"/>
        </w:rPr>
        <w:t>本</w:t>
      </w:r>
      <w:r>
        <w:rPr>
          <w:rFonts w:hint="eastAsia" w:ascii="宋体" w:hAnsi="宋体" w:cs="宋体"/>
          <w:sz w:val="24"/>
          <w:lang w:val="zh-CN"/>
        </w:rPr>
        <w:t>项目服务费包括</w:t>
      </w:r>
      <w:r>
        <w:rPr>
          <w:rFonts w:hint="eastAsia" w:ascii="宋体" w:hAnsi="宋体" w:cs="宋体"/>
          <w:kern w:val="0"/>
          <w:sz w:val="24"/>
        </w:rPr>
        <w:t>投标人完成本招标项目而发生的全部费用，包括服务费、中标服务费、各种资料费、保险、税金、出差（如需）等所有费用，并提供合同要求的报告、全部成果文件和全部相关资料，以及其它相关服务的全部费用。</w:t>
      </w:r>
      <w:r>
        <w:rPr>
          <w:rFonts w:hint="eastAsia" w:ascii="宋体" w:hAnsi="宋体" w:cs="宋体"/>
          <w:sz w:val="24"/>
        </w:rPr>
        <w:t>由企业根据招标文件所提供的资料自行测算投标报价；一经中标，投标报价总价作为中标单位与</w:t>
      </w:r>
      <w:r>
        <w:rPr>
          <w:rFonts w:ascii="宋体" w:hAnsi="宋体" w:cs="宋体"/>
          <w:sz w:val="24"/>
        </w:rPr>
        <w:t>采购单位</w:t>
      </w:r>
      <w:r>
        <w:rPr>
          <w:rFonts w:hint="eastAsia" w:ascii="宋体" w:hAnsi="宋体" w:cs="宋体"/>
          <w:sz w:val="24"/>
        </w:rPr>
        <w:t>签定的合同金额，合同期限内不做调整。</w:t>
      </w:r>
    </w:p>
    <w:p>
      <w:pPr>
        <w:snapToGrid w:val="0"/>
        <w:spacing w:line="400" w:lineRule="exact"/>
        <w:ind w:firstLine="480" w:firstLineChars="200"/>
        <w:rPr>
          <w:rFonts w:ascii="宋体" w:hAnsi="宋体" w:cs="宋体"/>
          <w:b/>
          <w:sz w:val="24"/>
        </w:rPr>
      </w:pPr>
      <w:r>
        <w:rPr>
          <w:rFonts w:hint="eastAsia" w:ascii="宋体" w:hAnsi="宋体" w:cs="宋体"/>
          <w:sz w:val="24"/>
        </w:rPr>
        <w:t>7</w:t>
      </w:r>
      <w:r>
        <w:rPr>
          <w:rFonts w:ascii="宋体" w:hAnsi="宋体" w:cs="宋体"/>
          <w:sz w:val="24"/>
        </w:rPr>
        <w:t>.</w:t>
      </w:r>
      <w:r>
        <w:rPr>
          <w:rFonts w:hint="eastAsia" w:ascii="宋体" w:hAnsi="宋体" w:cs="宋体"/>
          <w:bCs/>
          <w:sz w:val="24"/>
        </w:rPr>
        <w:t>采购</w:t>
      </w:r>
      <w:r>
        <w:rPr>
          <w:rFonts w:ascii="宋体" w:hAnsi="宋体" w:cs="宋体"/>
          <w:sz w:val="24"/>
        </w:rPr>
        <w:t>单位</w:t>
      </w:r>
      <w:r>
        <w:rPr>
          <w:rFonts w:hint="eastAsia" w:ascii="宋体" w:hAnsi="宋体" w:cs="宋体"/>
          <w:bCs/>
          <w:sz w:val="24"/>
        </w:rPr>
        <w:t>会对本次招标的项目确定一个最高限价，最终成交价格超出最高限价将会被当作无效投标处理。</w:t>
      </w:r>
    </w:p>
    <w:p>
      <w:pPr>
        <w:snapToGrid w:val="0"/>
        <w:spacing w:line="400" w:lineRule="exact"/>
        <w:ind w:firstLine="480" w:firstLineChars="200"/>
        <w:rPr>
          <w:rFonts w:ascii="宋体" w:hAnsi="宋体" w:cs="宋体"/>
          <w:sz w:val="24"/>
        </w:rPr>
      </w:pPr>
      <w:r>
        <w:rPr>
          <w:rFonts w:hint="eastAsia" w:ascii="宋体" w:hAnsi="宋体" w:cs="宋体"/>
          <w:sz w:val="24"/>
        </w:rPr>
        <w:t>8</w:t>
      </w:r>
      <w:r>
        <w:rPr>
          <w:rFonts w:ascii="宋体" w:hAnsi="宋体" w:cs="宋体"/>
          <w:sz w:val="24"/>
        </w:rPr>
        <w:t>.</w:t>
      </w:r>
      <w:r>
        <w:rPr>
          <w:rFonts w:hint="eastAsia" w:ascii="宋体" w:hAnsi="宋体" w:cs="宋体"/>
          <w:sz w:val="24"/>
        </w:rPr>
        <w:t>如采购</w:t>
      </w:r>
      <w:r>
        <w:rPr>
          <w:rFonts w:ascii="宋体" w:hAnsi="宋体" w:cs="宋体"/>
          <w:sz w:val="24"/>
        </w:rPr>
        <w:t>单位</w:t>
      </w:r>
      <w:r>
        <w:rPr>
          <w:rFonts w:hint="eastAsia" w:ascii="宋体" w:hAnsi="宋体" w:cs="宋体"/>
          <w:sz w:val="24"/>
        </w:rPr>
        <w:t>要求参加投标的供应商需在现场述标时，要派出熟悉本项目情况的项目负责人和对报价有决策权的代表参加，供应商代表要有法人代表的授权，同时要提供法人代表证明。</w:t>
      </w:r>
    </w:p>
    <w:p>
      <w:pPr>
        <w:snapToGrid w:val="0"/>
        <w:spacing w:line="40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采购</w:t>
      </w:r>
      <w:r>
        <w:rPr>
          <w:rFonts w:ascii="宋体" w:hAnsi="宋体" w:cs="宋体"/>
          <w:sz w:val="24"/>
        </w:rPr>
        <w:t>单位</w:t>
      </w:r>
      <w:r>
        <w:rPr>
          <w:rFonts w:hint="eastAsia" w:ascii="宋体" w:hAnsi="宋体" w:cs="宋体"/>
          <w:sz w:val="24"/>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40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本次采购凡涉及知识产权问题，由项目供应商负责。</w:t>
      </w:r>
    </w:p>
    <w:p>
      <w:pPr>
        <w:snapToGrid w:val="0"/>
        <w:spacing w:line="400" w:lineRule="exact"/>
        <w:ind w:firstLine="480" w:firstLineChars="200"/>
        <w:rPr>
          <w:rFonts w:ascii="宋体" w:hAnsi="宋体" w:cs="宋体"/>
          <w:sz w:val="24"/>
        </w:rPr>
      </w:pPr>
      <w:r>
        <w:rPr>
          <w:rFonts w:hint="eastAsia" w:ascii="宋体" w:hAnsi="宋体" w:cs="宋体"/>
          <w:sz w:val="24"/>
        </w:rPr>
        <w:t>11</w:t>
      </w:r>
      <w:r>
        <w:rPr>
          <w:rFonts w:ascii="宋体" w:hAnsi="宋体" w:cs="宋体"/>
          <w:sz w:val="24"/>
        </w:rPr>
        <w:t>.</w:t>
      </w:r>
      <w:r>
        <w:rPr>
          <w:rFonts w:hint="eastAsia" w:ascii="宋体" w:hAnsi="宋体" w:cs="宋体"/>
          <w:sz w:val="24"/>
        </w:rPr>
        <w:t>采购</w:t>
      </w:r>
      <w:r>
        <w:rPr>
          <w:rFonts w:ascii="宋体" w:hAnsi="宋体" w:cs="宋体"/>
          <w:sz w:val="24"/>
        </w:rPr>
        <w:t>单位</w:t>
      </w:r>
      <w:r>
        <w:rPr>
          <w:rFonts w:hint="eastAsia" w:ascii="宋体" w:hAnsi="宋体" w:cs="宋体"/>
          <w:sz w:val="24"/>
        </w:rPr>
        <w:t>将组成评审委员会，评审工作由评审委员会独立负责。</w:t>
      </w:r>
    </w:p>
    <w:p>
      <w:pPr>
        <w:snapToGrid w:val="0"/>
        <w:spacing w:line="400" w:lineRule="exact"/>
        <w:ind w:firstLine="480" w:firstLineChars="200"/>
        <w:rPr>
          <w:rFonts w:ascii="宋体" w:hAnsi="宋体" w:cs="宋体"/>
          <w:sz w:val="24"/>
        </w:rPr>
      </w:pPr>
      <w:r>
        <w:rPr>
          <w:rFonts w:hint="eastAsia" w:ascii="宋体" w:hAnsi="宋体" w:cs="宋体"/>
          <w:sz w:val="24"/>
        </w:rPr>
        <w:t>12</w:t>
      </w:r>
      <w:r>
        <w:rPr>
          <w:rFonts w:ascii="宋体" w:hAnsi="宋体" w:cs="宋体"/>
          <w:sz w:val="24"/>
        </w:rPr>
        <w:t>.</w:t>
      </w:r>
      <w:r>
        <w:rPr>
          <w:rFonts w:hint="eastAsia" w:ascii="宋体" w:hAnsi="宋体" w:cs="宋体"/>
          <w:sz w:val="24"/>
        </w:rPr>
        <w:t>供应商应在规定的时间内现场递交投标文件，采购代理机构在投标截止时间前半小时开始接收投标文件。</w:t>
      </w:r>
    </w:p>
    <w:p>
      <w:pPr>
        <w:snapToGrid w:val="0"/>
        <w:spacing w:line="400" w:lineRule="exact"/>
        <w:ind w:firstLine="480" w:firstLineChars="200"/>
        <w:rPr>
          <w:rFonts w:ascii="宋体" w:hAnsi="宋体" w:cs="宋体"/>
          <w:sz w:val="24"/>
        </w:rPr>
      </w:pPr>
      <w:r>
        <w:rPr>
          <w:rFonts w:hint="eastAsia" w:ascii="宋体" w:hAnsi="宋体" w:cs="宋体"/>
          <w:sz w:val="24"/>
        </w:rPr>
        <w:t>13</w:t>
      </w:r>
      <w:r>
        <w:rPr>
          <w:rFonts w:ascii="宋体" w:hAnsi="宋体" w:cs="宋体"/>
          <w:sz w:val="24"/>
        </w:rPr>
        <w:t>.</w:t>
      </w:r>
      <w:r>
        <w:rPr>
          <w:rFonts w:hint="eastAsia" w:ascii="宋体" w:hAnsi="宋体" w:cs="宋体"/>
          <w:sz w:val="24"/>
        </w:rPr>
        <w:t>采用综合评分法的情况：评审委员会将分别对供应商递交的投标文件进行评审。</w:t>
      </w:r>
    </w:p>
    <w:p>
      <w:pPr>
        <w:pStyle w:val="22"/>
        <w:numPr>
          <w:ilvl w:val="255"/>
          <w:numId w:val="0"/>
        </w:numPr>
        <w:snapToGrid w:val="0"/>
        <w:spacing w:line="400" w:lineRule="exact"/>
        <w:ind w:firstLine="480" w:firstLineChars="200"/>
        <w:rPr>
          <w:rFonts w:ascii="宋体" w:hAnsi="宋体" w:cs="宋体"/>
          <w:sz w:val="24"/>
          <w:szCs w:val="24"/>
        </w:rPr>
      </w:pPr>
      <w:r>
        <w:rPr>
          <w:rFonts w:ascii="宋体" w:hAnsi="宋体" w:cs="宋体"/>
          <w:kern w:val="2"/>
          <w:sz w:val="24"/>
          <w:szCs w:val="24"/>
        </w:rPr>
        <w:t>（1）</w:t>
      </w: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22"/>
        <w:numPr>
          <w:ilvl w:val="255"/>
          <w:numId w:val="0"/>
        </w:numPr>
        <w:snapToGrid w:val="0"/>
        <w:spacing w:line="40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如果二个及以上供应商的综合评分相同时，取投标价格低者为第一中标候选人；</w:t>
      </w:r>
    </w:p>
    <w:p>
      <w:pPr>
        <w:numPr>
          <w:ilvl w:val="255"/>
          <w:numId w:val="0"/>
        </w:numPr>
        <w:snapToGrid w:val="0"/>
        <w:spacing w:line="40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如果二个及以上供应商的综合评分相同，且投标价格也相同时，取技术部分得分高者为第一中标候选人。</w:t>
      </w:r>
    </w:p>
    <w:p>
      <w:pPr>
        <w:snapToGrid w:val="0"/>
        <w:spacing w:line="400" w:lineRule="exact"/>
        <w:ind w:firstLine="480" w:firstLineChars="200"/>
        <w:rPr>
          <w:rFonts w:ascii="宋体" w:hAnsi="宋体" w:cs="宋体"/>
          <w:sz w:val="24"/>
        </w:rPr>
      </w:pPr>
      <w:r>
        <w:rPr>
          <w:rFonts w:hint="eastAsia" w:ascii="宋体" w:hAnsi="宋体" w:cs="宋体"/>
          <w:sz w:val="24"/>
        </w:rPr>
        <w:t>14</w:t>
      </w:r>
      <w:r>
        <w:rPr>
          <w:rFonts w:ascii="宋体" w:hAnsi="宋体" w:cs="宋体"/>
          <w:sz w:val="24"/>
        </w:rPr>
        <w:t>.</w:t>
      </w:r>
      <w:r>
        <w:rPr>
          <w:rFonts w:hint="eastAsia" w:ascii="宋体" w:hAnsi="宋体" w:cs="宋体"/>
          <w:sz w:val="24"/>
        </w:rPr>
        <w:t>采用谈判的情况：评审委员会将与投标供应商进行谈判。</w:t>
      </w:r>
    </w:p>
    <w:p>
      <w:pPr>
        <w:numPr>
          <w:ilvl w:val="255"/>
          <w:numId w:val="0"/>
        </w:numPr>
        <w:snapToGrid w:val="0"/>
        <w:spacing w:line="40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供应商在谈判时由项目负责人与评审委员会进行谈判；</w:t>
      </w:r>
    </w:p>
    <w:p>
      <w:pPr>
        <w:numPr>
          <w:ilvl w:val="255"/>
          <w:numId w:val="0"/>
        </w:numPr>
        <w:snapToGrid w:val="0"/>
        <w:spacing w:line="40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原则上成交价应在最初报价基础上自动下浮5%。</w:t>
      </w:r>
    </w:p>
    <w:p>
      <w:pPr>
        <w:snapToGrid w:val="0"/>
        <w:spacing w:line="400" w:lineRule="exact"/>
        <w:ind w:firstLine="480" w:firstLineChars="200"/>
        <w:rPr>
          <w:rFonts w:ascii="宋体" w:hAnsi="宋体" w:cs="宋体"/>
          <w:sz w:val="24"/>
        </w:rPr>
      </w:pPr>
      <w:r>
        <w:rPr>
          <w:rFonts w:hint="eastAsia" w:ascii="宋体" w:hAnsi="宋体" w:cs="宋体"/>
          <w:sz w:val="24"/>
        </w:rPr>
        <w:t>15</w:t>
      </w:r>
      <w:r>
        <w:rPr>
          <w:rFonts w:ascii="宋体" w:hAnsi="宋体" w:cs="宋体"/>
          <w:sz w:val="24"/>
        </w:rPr>
        <w:t>.</w:t>
      </w:r>
      <w:r>
        <w:rPr>
          <w:rFonts w:hint="eastAsia" w:ascii="宋体" w:hAnsi="宋体" w:cs="宋体"/>
          <w:sz w:val="24"/>
        </w:rPr>
        <w:t>供应商不得将本项目转包给其他人。</w:t>
      </w:r>
    </w:p>
    <w:p>
      <w:pPr>
        <w:snapToGrid w:val="0"/>
        <w:spacing w:line="400" w:lineRule="exact"/>
        <w:ind w:firstLine="480" w:firstLineChars="200"/>
        <w:rPr>
          <w:rFonts w:ascii="宋体" w:hAnsi="宋体" w:cs="宋体"/>
          <w:sz w:val="24"/>
        </w:rPr>
      </w:pPr>
      <w:r>
        <w:rPr>
          <w:rFonts w:hint="eastAsia" w:ascii="宋体" w:hAnsi="宋体" w:cs="宋体"/>
          <w:sz w:val="24"/>
        </w:rPr>
        <w:t>16</w:t>
      </w:r>
      <w:r>
        <w:rPr>
          <w:rFonts w:ascii="宋体" w:hAnsi="宋体" w:cs="宋体"/>
          <w:sz w:val="24"/>
        </w:rPr>
        <w:t>.</w:t>
      </w:r>
      <w:r>
        <w:rPr>
          <w:rFonts w:hint="eastAsia" w:ascii="宋体" w:hAnsi="宋体" w:cs="宋体"/>
          <w:sz w:val="24"/>
        </w:rPr>
        <w:t>所有的评审/谈判内容都必须保密。</w:t>
      </w:r>
    </w:p>
    <w:p>
      <w:pPr>
        <w:snapToGrid w:val="0"/>
        <w:spacing w:line="400" w:lineRule="exact"/>
        <w:ind w:firstLine="480" w:firstLineChars="200"/>
        <w:rPr>
          <w:rFonts w:ascii="宋体" w:hAnsi="宋体" w:cs="宋体"/>
          <w:sz w:val="24"/>
        </w:rPr>
      </w:pPr>
      <w:r>
        <w:rPr>
          <w:rFonts w:hint="eastAsia" w:ascii="宋体" w:hAnsi="宋体" w:cs="宋体"/>
          <w:sz w:val="24"/>
        </w:rPr>
        <w:t>17</w:t>
      </w:r>
      <w:r>
        <w:rPr>
          <w:rFonts w:ascii="宋体" w:hAnsi="宋体" w:cs="宋体"/>
          <w:sz w:val="24"/>
        </w:rPr>
        <w:t>.</w:t>
      </w:r>
      <w:r>
        <w:rPr>
          <w:rFonts w:hint="eastAsia" w:ascii="宋体" w:hAnsi="宋体" w:cs="宋体"/>
          <w:sz w:val="24"/>
        </w:rPr>
        <w:t>招标代理服务收费：</w:t>
      </w:r>
    </w:p>
    <w:p>
      <w:pPr>
        <w:snapToGrid w:val="0"/>
        <w:spacing w:line="400" w:lineRule="exact"/>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400" w:lineRule="exact"/>
        <w:jc w:val="left"/>
        <w:rPr>
          <w:rFonts w:ascii="宋体" w:hAnsi="宋体" w:cs="宋体"/>
          <w:sz w:val="24"/>
        </w:rPr>
      </w:pPr>
      <w:r>
        <w:rPr>
          <w:rFonts w:hint="eastAsia" w:ascii="宋体" w:hAnsi="宋体" w:cs="宋体"/>
          <w:sz w:val="24"/>
        </w:rPr>
        <w:t xml:space="preserve">   具体计取费率标准如下表所示：</w:t>
      </w:r>
    </w:p>
    <w:tbl>
      <w:tblPr>
        <w:tblStyle w:val="18"/>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400" w:lineRule="exact"/>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400" w:lineRule="exact"/>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400" w:lineRule="exact"/>
              <w:jc w:val="center"/>
              <w:rPr>
                <w:rFonts w:ascii="宋体" w:hAnsi="宋体" w:cs="宋体"/>
                <w:b/>
                <w:bCs/>
                <w:sz w:val="24"/>
              </w:rPr>
            </w:pPr>
          </w:p>
        </w:tc>
        <w:tc>
          <w:tcPr>
            <w:tcW w:w="1843" w:type="dxa"/>
            <w:shd w:val="clear" w:color="auto" w:fill="D7D7D7"/>
            <w:vAlign w:val="center"/>
          </w:tcPr>
          <w:p>
            <w:pPr>
              <w:adjustRightInd w:val="0"/>
              <w:snapToGrid w:val="0"/>
              <w:spacing w:line="400" w:lineRule="exact"/>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400" w:lineRule="exact"/>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400" w:lineRule="exact"/>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400" w:lineRule="exact"/>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400" w:lineRule="exact"/>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400" w:lineRule="exact"/>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400" w:lineRule="exact"/>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400" w:lineRule="exact"/>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400" w:lineRule="exact"/>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400" w:lineRule="exact"/>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400" w:lineRule="exact"/>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400" w:lineRule="exact"/>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400" w:lineRule="exact"/>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400" w:lineRule="exact"/>
              <w:jc w:val="center"/>
              <w:rPr>
                <w:rFonts w:ascii="宋体" w:hAnsi="宋体" w:cs="宋体"/>
                <w:sz w:val="24"/>
              </w:rPr>
            </w:pPr>
            <w:r>
              <w:rPr>
                <w:rFonts w:hint="eastAsia" w:ascii="宋体" w:hAnsi="宋体" w:cs="宋体"/>
                <w:sz w:val="24"/>
              </w:rPr>
              <w:t>0.004%</w:t>
            </w:r>
          </w:p>
        </w:tc>
      </w:tr>
    </w:tbl>
    <w:p>
      <w:pPr>
        <w:spacing w:line="400" w:lineRule="exact"/>
        <w:rPr>
          <w:rFonts w:ascii="宋体" w:hAnsi="宋体" w:cs="宋体"/>
          <w:sz w:val="24"/>
        </w:rPr>
      </w:pPr>
      <w:r>
        <w:rPr>
          <w:rFonts w:hint="eastAsia" w:ascii="宋体" w:hAnsi="宋体" w:cs="宋体"/>
          <w:sz w:val="24"/>
        </w:rPr>
        <w:t>招标代理服务费缴纳至：</w:t>
      </w:r>
    </w:p>
    <w:p>
      <w:pPr>
        <w:spacing w:line="400" w:lineRule="exact"/>
        <w:rPr>
          <w:rFonts w:ascii="宋体" w:hAnsi="宋体" w:cs="宋体"/>
          <w:sz w:val="24"/>
        </w:rPr>
      </w:pPr>
      <w:r>
        <w:rPr>
          <w:rFonts w:hint="eastAsia" w:ascii="宋体" w:hAnsi="宋体" w:cs="宋体"/>
          <w:sz w:val="24"/>
        </w:rPr>
        <w:t>开户名称：</w:t>
      </w:r>
      <w:r>
        <w:rPr>
          <w:rFonts w:hint="eastAsia" w:ascii="宋体" w:hAnsi="宋体" w:cs="宋体"/>
          <w:kern w:val="0"/>
          <w:sz w:val="24"/>
        </w:rPr>
        <w:t>深圳交易咨询集团有限公司</w:t>
      </w:r>
    </w:p>
    <w:p>
      <w:pPr>
        <w:spacing w:line="400" w:lineRule="exact"/>
        <w:rPr>
          <w:rFonts w:ascii="宋体" w:hAnsi="宋体" w:cs="宋体"/>
          <w:sz w:val="24"/>
        </w:rPr>
      </w:pPr>
      <w:r>
        <w:rPr>
          <w:rFonts w:hint="eastAsia" w:ascii="宋体" w:hAnsi="宋体" w:cs="宋体"/>
          <w:sz w:val="24"/>
        </w:rPr>
        <w:t>银行帐号：</w:t>
      </w:r>
      <w:r>
        <w:rPr>
          <w:rFonts w:ascii="宋体" w:hAnsi="宋体" w:cs="宋体"/>
          <w:sz w:val="24"/>
        </w:rPr>
        <w:t>11002982389701</w:t>
      </w:r>
    </w:p>
    <w:p>
      <w:pPr>
        <w:spacing w:line="400" w:lineRule="exact"/>
        <w:rPr>
          <w:rFonts w:ascii="宋体" w:hAnsi="宋体" w:cs="宋体"/>
          <w:b/>
          <w:bCs/>
          <w:sz w:val="24"/>
        </w:rPr>
        <w:sectPr>
          <w:footerReference r:id="rId6" w:type="default"/>
          <w:pgSz w:w="11906" w:h="16838"/>
          <w:pgMar w:top="1440" w:right="1800" w:bottom="1440" w:left="1800" w:header="851" w:footer="992" w:gutter="0"/>
          <w:pgNumType w:start="1"/>
          <w:cols w:space="720" w:num="1"/>
          <w:docGrid w:type="lines" w:linePitch="312" w:charSpace="0"/>
        </w:sectPr>
      </w:pPr>
      <w:r>
        <w:rPr>
          <w:rFonts w:hint="eastAsia" w:ascii="宋体" w:hAnsi="宋体" w:cs="宋体"/>
          <w:sz w:val="24"/>
        </w:rPr>
        <w:t>开户银行：平安银行深圳江苏大厦支行</w:t>
      </w:r>
    </w:p>
    <w:p>
      <w:pPr>
        <w:numPr>
          <w:ilvl w:val="255"/>
          <w:numId w:val="0"/>
        </w:numPr>
        <w:spacing w:line="360" w:lineRule="auto"/>
        <w:jc w:val="center"/>
        <w:outlineLvl w:val="0"/>
        <w:rPr>
          <w:rFonts w:ascii="宋体" w:hAnsi="宋体" w:cs="宋体"/>
          <w:b/>
          <w:bCs/>
          <w:sz w:val="36"/>
          <w:szCs w:val="36"/>
        </w:rPr>
      </w:pPr>
      <w:bookmarkStart w:id="11" w:name="_Toc1115704740"/>
      <w:r>
        <w:rPr>
          <w:rFonts w:ascii="宋体" w:hAnsi="宋体" w:cs="宋体"/>
          <w:b/>
          <w:bCs/>
          <w:sz w:val="36"/>
          <w:szCs w:val="36"/>
        </w:rPr>
        <w:t xml:space="preserve">第三章 </w:t>
      </w:r>
      <w:bookmarkStart w:id="12" w:name="_Toc18857"/>
      <w:bookmarkStart w:id="13" w:name="_Toc1136813055"/>
      <w:r>
        <w:rPr>
          <w:rFonts w:ascii="宋体" w:hAnsi="宋体" w:cs="宋体"/>
          <w:b/>
          <w:bCs/>
          <w:sz w:val="36"/>
          <w:szCs w:val="36"/>
        </w:rPr>
        <w:t>评标程序</w:t>
      </w:r>
      <w:bookmarkEnd w:id="11"/>
      <w:bookmarkEnd w:id="12"/>
      <w:bookmarkEnd w:id="13"/>
    </w:p>
    <w:p>
      <w:pPr>
        <w:numPr>
          <w:ilvl w:val="255"/>
          <w:numId w:val="0"/>
        </w:numPr>
        <w:spacing w:line="400" w:lineRule="exact"/>
        <w:ind w:firstLine="482" w:firstLineChars="200"/>
        <w:rPr>
          <w:rFonts w:ascii="仿宋_GB2312" w:hAnsi="仿宋_GB2312" w:eastAsia="仿宋_GB2312" w:cs="仿宋_GB2312"/>
          <w:sz w:val="24"/>
        </w:rPr>
      </w:pPr>
      <w:r>
        <w:rPr>
          <w:rFonts w:ascii="仿宋_GB2312" w:hAnsi="仿宋_GB2312" w:eastAsia="仿宋_GB2312" w:cs="仿宋_GB2312"/>
          <w:b/>
          <w:bCs/>
          <w:sz w:val="24"/>
        </w:rPr>
        <w:t>一、</w:t>
      </w:r>
      <w:r>
        <w:rPr>
          <w:rFonts w:hint="eastAsia" w:ascii="仿宋_GB2312" w:hAnsi="仿宋_GB2312" w:eastAsia="仿宋_GB2312" w:cs="仿宋_GB2312"/>
          <w:b/>
          <w:bCs/>
          <w:sz w:val="24"/>
        </w:rPr>
        <w:t>依法成立评审委员会。</w:t>
      </w:r>
      <w:r>
        <w:rPr>
          <w:rFonts w:hint="eastAsia" w:ascii="仿宋_GB2312" w:hAnsi="仿宋_GB2312" w:eastAsia="仿宋_GB2312" w:cs="仿宋_GB2312"/>
          <w:sz w:val="24"/>
        </w:rPr>
        <w:t>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400" w:lineRule="exact"/>
        <w:ind w:firstLine="482" w:firstLineChars="200"/>
        <w:rPr>
          <w:rFonts w:ascii="仿宋_GB2312" w:hAnsi="仿宋_GB2312" w:eastAsia="仿宋_GB2312" w:cs="仿宋_GB2312"/>
          <w:sz w:val="24"/>
        </w:rPr>
      </w:pPr>
      <w:r>
        <w:rPr>
          <w:rFonts w:ascii="仿宋_GB2312" w:hAnsi="仿宋_GB2312" w:eastAsia="仿宋_GB2312" w:cs="仿宋_GB2312"/>
          <w:b/>
          <w:bCs/>
          <w:sz w:val="24"/>
        </w:rPr>
        <w:t>二、参加会议人员：</w:t>
      </w:r>
      <w:r>
        <w:rPr>
          <w:rFonts w:hint="eastAsia" w:ascii="仿宋_GB2312" w:hAnsi="仿宋_GB2312" w:eastAsia="仿宋_GB2312" w:cs="仿宋_GB2312"/>
          <w:sz w:val="24"/>
        </w:rPr>
        <w:t>项目负责代表、评审委员会成员、监督部门代表。</w:t>
      </w:r>
    </w:p>
    <w:p>
      <w:pPr>
        <w:spacing w:line="400" w:lineRule="exact"/>
        <w:ind w:firstLine="482" w:firstLineChars="200"/>
        <w:rPr>
          <w:rFonts w:ascii="仿宋_GB2312" w:hAnsi="仿宋_GB2312" w:eastAsia="仿宋_GB2312" w:cs="仿宋_GB2312"/>
          <w:sz w:val="24"/>
        </w:rPr>
      </w:pPr>
      <w:r>
        <w:rPr>
          <w:rFonts w:ascii="仿宋_GB2312" w:hAnsi="仿宋_GB2312" w:eastAsia="仿宋_GB2312" w:cs="仿宋_GB2312"/>
          <w:b/>
          <w:bCs/>
          <w:sz w:val="24"/>
        </w:rPr>
        <w:t>三、会议主持人：</w:t>
      </w:r>
      <w:r>
        <w:rPr>
          <w:rFonts w:hint="eastAsia" w:ascii="仿宋_GB2312" w:hAnsi="仿宋_GB2312" w:eastAsia="仿宋_GB2312" w:cs="仿宋_GB2312"/>
          <w:kern w:val="0"/>
          <w:sz w:val="24"/>
        </w:rPr>
        <w:t>开标评标会议由招标代理机构主持</w:t>
      </w:r>
      <w:r>
        <w:rPr>
          <w:rFonts w:hint="eastAsia" w:ascii="仿宋_GB2312" w:hAnsi="仿宋_GB2312" w:eastAsia="仿宋_GB2312" w:cs="仿宋_GB2312"/>
          <w:sz w:val="24"/>
        </w:rPr>
        <w:t>。</w:t>
      </w:r>
    </w:p>
    <w:p>
      <w:pPr>
        <w:spacing w:line="400" w:lineRule="exact"/>
        <w:ind w:firstLine="482" w:firstLineChars="200"/>
        <w:rPr>
          <w:rFonts w:ascii="仿宋_GB2312" w:hAnsi="仿宋_GB2312" w:eastAsia="仿宋_GB2312" w:cs="仿宋_GB2312"/>
          <w:sz w:val="24"/>
        </w:rPr>
      </w:pPr>
      <w:r>
        <w:rPr>
          <w:rFonts w:ascii="仿宋_GB2312" w:hAnsi="仿宋_GB2312" w:eastAsia="仿宋_GB2312" w:cs="仿宋_GB2312"/>
          <w:b/>
          <w:bCs/>
          <w:sz w:val="24"/>
        </w:rPr>
        <w:t>四、投标截止时间：2</w:t>
      </w:r>
      <w:r>
        <w:rPr>
          <w:rFonts w:hint="eastAsia" w:ascii="仿宋_GB2312" w:hAnsi="仿宋_GB2312" w:eastAsia="仿宋_GB2312" w:cs="仿宋_GB2312"/>
          <w:sz w:val="24"/>
        </w:rPr>
        <w:t>023年10月7日下午17:00时（北京时间）。</w:t>
      </w:r>
    </w:p>
    <w:p>
      <w:pPr>
        <w:spacing w:line="400" w:lineRule="exact"/>
        <w:ind w:firstLine="482" w:firstLineChars="200"/>
        <w:rPr>
          <w:rFonts w:ascii="仿宋_GB2312" w:hAnsi="仿宋_GB2312" w:eastAsia="仿宋_GB2312" w:cs="仿宋_GB2312"/>
          <w:sz w:val="24"/>
        </w:rPr>
      </w:pPr>
      <w:r>
        <w:rPr>
          <w:rFonts w:ascii="仿宋_GB2312" w:hAnsi="仿宋_GB2312" w:eastAsia="仿宋_GB2312" w:cs="仿宋_GB2312"/>
          <w:b/>
          <w:bCs/>
          <w:sz w:val="24"/>
        </w:rPr>
        <w:t>五、投标文件的递交。</w:t>
      </w:r>
      <w:r>
        <w:rPr>
          <w:rFonts w:hint="eastAsia" w:ascii="仿宋_GB2312" w:hAnsi="仿宋_GB2312" w:eastAsia="仿宋_GB2312" w:cs="仿宋_GB2312"/>
          <w:sz w:val="24"/>
        </w:rPr>
        <w:t>投标单位应将投标文件正本和副本密封，并标明项目编号、招标项目名称及“正本”或“副本”，采购单位业务处室工作人员接收投标单位递交的投标文件，投标单位应在2023年10月7日下午17:00时（北京时间）前送达（现场递交前海大厦T1栋2506室）。截标后不再接收任何投标文件。</w:t>
      </w:r>
    </w:p>
    <w:p>
      <w:pPr>
        <w:spacing w:line="400" w:lineRule="exact"/>
        <w:ind w:firstLine="482" w:firstLineChars="200"/>
        <w:rPr>
          <w:rFonts w:ascii="仿宋_GB2312" w:hAnsi="仿宋_GB2312" w:eastAsia="仿宋_GB2312" w:cs="仿宋_GB2312"/>
          <w:sz w:val="24"/>
        </w:rPr>
      </w:pPr>
      <w:r>
        <w:rPr>
          <w:rFonts w:ascii="仿宋_GB2312" w:hAnsi="仿宋_GB2312" w:eastAsia="仿宋_GB2312" w:cs="仿宋_GB2312"/>
          <w:b/>
          <w:bCs/>
          <w:sz w:val="24"/>
        </w:rPr>
        <w:t>六、开标：</w:t>
      </w:r>
      <w:r>
        <w:rPr>
          <w:rFonts w:hint="eastAsia" w:ascii="仿宋_GB2312" w:hAnsi="仿宋_GB2312" w:eastAsia="仿宋_GB2312" w:cs="仿宋_GB2312"/>
          <w:sz w:val="24"/>
        </w:rPr>
        <w:t>招标代理机构组织开标会。投标单位如需委派代表参加，参加开标的代表应签名报到以证明出席。开标时，招标代理机构将当众宣读投标单位名称、开标一览表（以招标文件规定的开标一览表内容为准）并做开标记录。</w:t>
      </w:r>
    </w:p>
    <w:p>
      <w:pPr>
        <w:spacing w:line="400" w:lineRule="exact"/>
        <w:ind w:firstLine="482" w:firstLineChars="200"/>
        <w:rPr>
          <w:rFonts w:ascii="仿宋_GB2312" w:hAnsi="仿宋_GB2312" w:eastAsia="仿宋_GB2312" w:cs="仿宋_GB2312"/>
          <w:sz w:val="24"/>
        </w:rPr>
      </w:pPr>
      <w:r>
        <w:rPr>
          <w:rFonts w:ascii="仿宋_GB2312" w:hAnsi="仿宋_GB2312" w:eastAsia="仿宋_GB2312" w:cs="仿宋_GB2312"/>
          <w:b/>
          <w:bCs/>
          <w:sz w:val="24"/>
        </w:rPr>
        <w:t>七、投标文件的资格审查。</w:t>
      </w:r>
      <w:r>
        <w:rPr>
          <w:rFonts w:hint="eastAsia" w:ascii="仿宋_GB2312" w:hAnsi="仿宋_GB2312" w:eastAsia="仿宋_GB2312" w:cs="仿宋_GB2312"/>
          <w:sz w:val="24"/>
        </w:rPr>
        <w:t>开标后，招标机构（或授权评标委员会）就投标文件中的资格证明等内容对投标供应商进行资格核查，核查不合格的，视为投标无效；核查内容均合格的，其投标文件将由评标委员会进行评审。</w:t>
      </w:r>
    </w:p>
    <w:p>
      <w:pPr>
        <w:spacing w:line="400" w:lineRule="exact"/>
        <w:ind w:firstLine="482" w:firstLineChars="200"/>
        <w:rPr>
          <w:rFonts w:ascii="仿宋_GB2312" w:hAnsi="仿宋_GB2312" w:eastAsia="仿宋_GB2312" w:cs="仿宋_GB2312"/>
          <w:sz w:val="24"/>
        </w:rPr>
      </w:pPr>
      <w:r>
        <w:rPr>
          <w:rFonts w:ascii="仿宋_GB2312" w:hAnsi="仿宋_GB2312" w:eastAsia="仿宋_GB2312" w:cs="仿宋_GB2312"/>
          <w:b/>
          <w:bCs/>
          <w:sz w:val="24"/>
        </w:rPr>
        <w:t>八、</w:t>
      </w:r>
      <w:r>
        <w:rPr>
          <w:rFonts w:hint="eastAsia" w:ascii="仿宋_GB2312" w:hAnsi="仿宋_GB2312" w:eastAsia="仿宋_GB2312" w:cs="仿宋_GB2312"/>
          <w:sz w:val="24"/>
        </w:rPr>
        <w:t>评审委员会审查供应商的投标文件，工作人员记录审查的情况。</w:t>
      </w:r>
    </w:p>
    <w:p>
      <w:pPr>
        <w:spacing w:line="400" w:lineRule="exact"/>
        <w:ind w:firstLine="482" w:firstLineChars="200"/>
        <w:rPr>
          <w:rFonts w:ascii="仿宋_GB2312" w:hAnsi="仿宋_GB2312" w:eastAsia="仿宋_GB2312" w:cs="仿宋_GB2312"/>
          <w:sz w:val="24"/>
        </w:rPr>
      </w:pPr>
      <w:r>
        <w:rPr>
          <w:rFonts w:ascii="仿宋_GB2312" w:hAnsi="仿宋_GB2312" w:eastAsia="仿宋_GB2312" w:cs="仿宋_GB2312"/>
          <w:b/>
          <w:bCs/>
          <w:sz w:val="24"/>
        </w:rPr>
        <w:t>九、</w:t>
      </w:r>
      <w:r>
        <w:rPr>
          <w:rFonts w:hint="eastAsia" w:ascii="仿宋_GB2312" w:hAnsi="仿宋_GB2312" w:eastAsia="仿宋_GB2312" w:cs="仿宋_GB2312"/>
          <w:sz w:val="24"/>
        </w:rPr>
        <w:t>评审委员会按以下工作程序进行：</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评标委员会对各供应商的投标文件进行初审，对未能通过初审的投标文件作投标无效处理。</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对通过初审的供应商的投标文件进行详细的比较和评价。如需要，进行必要的澄清/说明工作。</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根据参与投标且符合招标文件要求的供应商数量情况，确定本项目的评审方法。</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采用综合评分法的情况：评审委员会将分别对供应商递交的投标文件进行评审。</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4.2如果二个及以上供应商的综合评分相同时，取投标价格低者为第一中标候选人。</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4.3如果二个及以上供应商的综合评分相同，且投标价格也相同时，取技术部分得分高者为第一中标候选人。</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w:t>
      </w:r>
      <w:r>
        <w:rPr>
          <w:rFonts w:hint="eastAsia" w:ascii="仿宋_GB2312" w:hAnsi="仿宋_GB2312" w:eastAsia="仿宋_GB2312" w:cs="仿宋_GB2312"/>
          <w:sz w:val="24"/>
        </w:rPr>
        <w:t>采用谈判的情况：评审委员会将与投标供应商进行谈判。</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5.1供应商在谈判时由项目负责人与评审委员会进行谈判；</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5.2原则上成交价应为最初报价的95%。</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w:t>
      </w:r>
      <w:r>
        <w:rPr>
          <w:rFonts w:ascii="仿宋_GB2312" w:hAnsi="仿宋_GB2312" w:eastAsia="仿宋_GB2312" w:cs="仿宋_GB2312"/>
          <w:sz w:val="24"/>
        </w:rPr>
        <w:t>.</w:t>
      </w:r>
      <w:r>
        <w:rPr>
          <w:rFonts w:hint="eastAsia" w:ascii="仿宋_GB2312" w:hAnsi="仿宋_GB2312" w:eastAsia="仿宋_GB2312" w:cs="仿宋_GB2312"/>
          <w:sz w:val="24"/>
        </w:rPr>
        <w:t>评审委员会按照本项目招标文件中规定的评标方法确定中标供应商。</w:t>
      </w:r>
    </w:p>
    <w:p>
      <w:pPr>
        <w:spacing w:line="400" w:lineRule="exact"/>
        <w:ind w:firstLine="482" w:firstLineChars="200"/>
        <w:rPr>
          <w:rFonts w:ascii="仿宋_GB2312" w:hAnsi="仿宋_GB2312" w:eastAsia="仿宋_GB2312" w:cs="仿宋_GB2312"/>
          <w:sz w:val="24"/>
        </w:rPr>
      </w:pPr>
      <w:r>
        <w:rPr>
          <w:rFonts w:ascii="仿宋_GB2312" w:hAnsi="仿宋_GB2312" w:eastAsia="仿宋_GB2312" w:cs="仿宋_GB2312"/>
          <w:b/>
          <w:bCs/>
          <w:sz w:val="24"/>
        </w:rPr>
        <w:t>十、根</w:t>
      </w:r>
      <w:r>
        <w:rPr>
          <w:rFonts w:hint="eastAsia" w:ascii="仿宋_GB2312" w:hAnsi="仿宋_GB2312" w:eastAsia="仿宋_GB2312" w:cs="仿宋_GB2312"/>
          <w:sz w:val="24"/>
        </w:rPr>
        <w:t>据本次采购的结果，10个工作日内与中标供应商签订合同。</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widowControl/>
        <w:jc w:val="left"/>
        <w:rPr>
          <w:rFonts w:ascii="宋体" w:hAnsi="宋体" w:cs="宋体"/>
          <w:sz w:val="24"/>
        </w:rPr>
      </w:pPr>
      <w:r>
        <w:rPr>
          <w:rFonts w:ascii="宋体" w:hAnsi="宋体" w:cs="宋体"/>
          <w:sz w:val="24"/>
        </w:rPr>
        <w:br w:type="page"/>
      </w:r>
    </w:p>
    <w:p>
      <w:pPr>
        <w:numPr>
          <w:ilvl w:val="255"/>
          <w:numId w:val="0"/>
        </w:numPr>
        <w:spacing w:line="360" w:lineRule="auto"/>
        <w:jc w:val="center"/>
        <w:outlineLvl w:val="0"/>
        <w:rPr>
          <w:rFonts w:ascii="宋体" w:hAnsi="宋体" w:cs="宋体"/>
          <w:b/>
          <w:bCs/>
          <w:sz w:val="36"/>
          <w:szCs w:val="36"/>
        </w:rPr>
      </w:pPr>
      <w:bookmarkStart w:id="14" w:name="_Toc1273902338"/>
      <w:r>
        <w:rPr>
          <w:rFonts w:ascii="宋体" w:hAnsi="宋体" w:cs="宋体"/>
          <w:b/>
          <w:bCs/>
          <w:sz w:val="36"/>
          <w:szCs w:val="36"/>
        </w:rPr>
        <w:t xml:space="preserve">第四章 </w:t>
      </w:r>
      <w:bookmarkStart w:id="15" w:name="_Toc474350124"/>
      <w:bookmarkStart w:id="16" w:name="_Toc1635"/>
      <w:r>
        <w:rPr>
          <w:rFonts w:ascii="宋体" w:hAnsi="宋体" w:cs="宋体"/>
          <w:b/>
          <w:bCs/>
          <w:sz w:val="36"/>
          <w:szCs w:val="36"/>
        </w:rPr>
        <w:t>合同格式及合同条款</w:t>
      </w:r>
      <w:bookmarkEnd w:id="14"/>
      <w:bookmarkEnd w:id="15"/>
      <w:bookmarkEnd w:id="16"/>
    </w:p>
    <w:p>
      <w:pPr>
        <w:spacing w:line="360" w:lineRule="auto"/>
        <w:ind w:firstLine="470" w:firstLineChars="196"/>
        <w:jc w:val="center"/>
        <w:rPr>
          <w:rFonts w:ascii="宋体" w:hAnsi="宋体" w:cs="宋体"/>
          <w:sz w:val="24"/>
        </w:rPr>
      </w:pPr>
      <w:bookmarkStart w:id="17" w:name="_Toc73521592"/>
      <w:bookmarkStart w:id="18" w:name="_Toc73518163"/>
      <w:bookmarkStart w:id="19" w:name="_Toc101074886"/>
      <w:bookmarkStart w:id="20" w:name="_Toc84303603"/>
      <w:bookmarkStart w:id="21" w:name="_Toc73517685"/>
      <w:bookmarkStart w:id="22" w:name="_Toc100052414"/>
      <w:bookmarkStart w:id="23" w:name="_Toc73521680"/>
    </w:p>
    <w:bookmarkEnd w:id="17"/>
    <w:bookmarkEnd w:id="18"/>
    <w:bookmarkEnd w:id="19"/>
    <w:bookmarkEnd w:id="20"/>
    <w:bookmarkEnd w:id="21"/>
    <w:bookmarkEnd w:id="22"/>
    <w:bookmarkEnd w:id="23"/>
    <w:p>
      <w:pPr>
        <w:spacing w:line="360" w:lineRule="auto"/>
        <w:ind w:firstLine="470" w:firstLineChars="196"/>
        <w:rPr>
          <w:rFonts w:ascii="宋体" w:hAnsi="宋体" w:cs="宋体"/>
          <w:sz w:val="24"/>
        </w:rPr>
      </w:pPr>
    </w:p>
    <w:p>
      <w:pPr>
        <w:pStyle w:val="22"/>
        <w:spacing w:line="360" w:lineRule="auto"/>
        <w:ind w:left="1475" w:right="1470" w:hanging="1475" w:hangingChars="612"/>
        <w:rPr>
          <w:rFonts w:ascii="宋体" w:hAnsi="宋体" w:cs="宋体"/>
          <w:b/>
          <w:sz w:val="24"/>
          <w:szCs w:val="24"/>
        </w:rPr>
      </w:pPr>
      <w:r>
        <w:rPr>
          <w:rFonts w:hint="eastAsia" w:ascii="宋体" w:hAnsi="宋体" w:cs="宋体"/>
          <w:b/>
          <w:sz w:val="24"/>
          <w:szCs w:val="24"/>
        </w:rPr>
        <w:t xml:space="preserve">       合同编号（甲方）：            </w:t>
      </w:r>
    </w:p>
    <w:p>
      <w:pPr>
        <w:pStyle w:val="22"/>
        <w:spacing w:line="360" w:lineRule="auto"/>
        <w:ind w:left="1675" w:right="1470" w:hanging="1675" w:hangingChars="695"/>
        <w:rPr>
          <w:rFonts w:ascii="宋体" w:hAnsi="宋体" w:cs="宋体"/>
          <w:b/>
          <w:sz w:val="24"/>
          <w:szCs w:val="24"/>
        </w:rPr>
      </w:pPr>
      <w:r>
        <w:rPr>
          <w:rFonts w:hint="eastAsia" w:ascii="宋体" w:hAnsi="宋体" w:cs="宋体"/>
          <w:b/>
          <w:sz w:val="24"/>
          <w:szCs w:val="24"/>
        </w:rPr>
        <w:t xml:space="preserve">       合同编号（乙方）：            </w:t>
      </w:r>
    </w:p>
    <w:p>
      <w:pPr>
        <w:pStyle w:val="22"/>
        <w:spacing w:line="360" w:lineRule="auto"/>
        <w:ind w:left="1470" w:right="1470" w:firstLine="482"/>
        <w:jc w:val="center"/>
        <w:rPr>
          <w:rFonts w:ascii="宋体" w:hAnsi="宋体" w:cs="宋体"/>
          <w:b/>
          <w:sz w:val="24"/>
          <w:szCs w:val="24"/>
        </w:rPr>
      </w:pPr>
    </w:p>
    <w:p>
      <w:pPr>
        <w:pStyle w:val="22"/>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2"/>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2"/>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rPr>
          <w:rFonts w:ascii="宋体" w:hAnsi="宋体" w:cs="宋体"/>
          <w:b/>
          <w:sz w:val="28"/>
          <w:szCs w:val="28"/>
        </w:rPr>
      </w:pPr>
      <w:r>
        <w:rPr>
          <w:rFonts w:hint="eastAsia" w:ascii="宋体" w:hAnsi="宋体" w:cs="宋体"/>
          <w:b/>
          <w:sz w:val="28"/>
          <w:szCs w:val="28"/>
        </w:rPr>
        <w:t>《</w:t>
      </w:r>
      <w:r>
        <w:rPr>
          <w:rFonts w:ascii="宋体" w:hAnsi="宋体" w:cs="宋体"/>
          <w:b/>
          <w:sz w:val="28"/>
          <w:szCs w:val="28"/>
        </w:rPr>
        <w:t>文化软实力基地建设的路径探索：深圳前海文物艺术品“国内国际双循环”交易流通可行性研究</w:t>
      </w:r>
      <w:r>
        <w:rPr>
          <w:rFonts w:hint="eastAsia" w:ascii="宋体" w:hAnsi="宋体" w:cs="宋体"/>
          <w:b/>
          <w:sz w:val="28"/>
          <w:szCs w:val="28"/>
        </w:rPr>
        <w:t>》课题研究项目委托合同</w:t>
      </w:r>
    </w:p>
    <w:p>
      <w:pPr>
        <w:spacing w:line="360" w:lineRule="auto"/>
        <w:rPr>
          <w:rFonts w:ascii="宋体" w:hAnsi="宋体" w:cs="宋体"/>
          <w:sz w:val="24"/>
        </w:rPr>
      </w:pPr>
      <w:r>
        <w:rPr>
          <w:rFonts w:hint="eastAsia" w:ascii="宋体" w:hAnsi="宋体" w:cs="宋体"/>
          <w:sz w:val="24"/>
        </w:rPr>
        <w:t xml:space="preserve"> </w:t>
      </w:r>
    </w:p>
    <w:p>
      <w:pPr>
        <w:pStyle w:val="22"/>
        <w:spacing w:line="360" w:lineRule="auto"/>
        <w:ind w:right="1470" w:firstLine="482"/>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项目名称：</w:t>
      </w:r>
      <w:r>
        <w:rPr>
          <w:rFonts w:hint="eastAsia" w:ascii="宋体" w:hAnsi="宋体" w:cs="宋体"/>
          <w:b/>
          <w:sz w:val="28"/>
          <w:szCs w:val="28"/>
        </w:rPr>
        <w:t>《</w:t>
      </w:r>
      <w:r>
        <w:rPr>
          <w:rFonts w:ascii="宋体" w:hAnsi="宋体" w:cs="宋体"/>
          <w:b/>
          <w:sz w:val="28"/>
          <w:szCs w:val="28"/>
        </w:rPr>
        <w:t>文化软实力基地建设的路径探索：深圳前海文物艺术品“国内国际双循环”交易流通可行性研究</w:t>
      </w:r>
      <w:r>
        <w:rPr>
          <w:rFonts w:hint="eastAsia" w:ascii="宋体" w:hAnsi="宋体" w:cs="宋体"/>
          <w:b/>
          <w:sz w:val="28"/>
          <w:szCs w:val="28"/>
        </w:rPr>
        <w:t>》课题研究项目</w:t>
      </w:r>
    </w:p>
    <w:p>
      <w:pPr>
        <w:spacing w:line="360" w:lineRule="auto"/>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sz w:val="24"/>
        </w:rPr>
        <w:t xml:space="preserve"> </w:t>
      </w:r>
    </w:p>
    <w:p>
      <w:pPr>
        <w:spacing w:line="360" w:lineRule="auto"/>
        <w:jc w:val="center"/>
        <w:rPr>
          <w:rFonts w:ascii="宋体" w:hAnsi="宋体" w:cs="宋体"/>
          <w:sz w:val="24"/>
        </w:rPr>
      </w:pPr>
      <w:r>
        <w:rPr>
          <w:rFonts w:hint="eastAsia" w:ascii="宋体" w:hAnsi="宋体" w:cs="宋体"/>
          <w:sz w:val="24"/>
        </w:rPr>
        <w:t>二〇二</w:t>
      </w:r>
      <w:r>
        <w:rPr>
          <w:rFonts w:hint="eastAsia" w:ascii="宋体" w:hAnsi="宋体" w:cs="宋体"/>
          <w:sz w:val="24"/>
          <w:lang w:eastAsia="zh-Hans"/>
        </w:rPr>
        <w:t>三</w:t>
      </w:r>
      <w:r>
        <w:rPr>
          <w:rFonts w:hint="eastAsia" w:ascii="宋体" w:hAnsi="宋体" w:cs="宋体"/>
          <w:sz w:val="24"/>
        </w:rPr>
        <w:t>年  月</w:t>
      </w:r>
    </w:p>
    <w:p>
      <w:pPr>
        <w:spacing w:line="400" w:lineRule="exact"/>
        <w:rPr>
          <w:rFonts w:ascii="仿宋_GB2312" w:hAnsi="仿宋_GB2312" w:eastAsia="仿宋_GB2312" w:cs="仿宋_GB2312"/>
          <w:b/>
          <w:bCs/>
          <w:sz w:val="24"/>
        </w:rPr>
      </w:pPr>
      <w:r>
        <w:rPr>
          <w:rFonts w:hint="eastAsia" w:ascii="宋体" w:hAnsi="宋体" w:cs="宋体"/>
          <w:b/>
          <w:bCs/>
          <w:sz w:val="24"/>
        </w:rPr>
        <w:br w:type="page"/>
      </w:r>
      <w:r>
        <w:rPr>
          <w:rFonts w:hint="eastAsia" w:ascii="仿宋_GB2312" w:hAnsi="仿宋_GB2312" w:eastAsia="仿宋_GB2312" w:cs="仿宋_GB2312"/>
          <w:b/>
          <w:bCs/>
          <w:sz w:val="24"/>
        </w:rPr>
        <w:t xml:space="preserve">甲方： </w:t>
      </w:r>
      <w:r>
        <w:rPr>
          <w:rFonts w:hint="eastAsia" w:ascii="仿宋_GB2312" w:hAnsi="仿宋_GB2312" w:eastAsia="仿宋_GB2312" w:cs="仿宋_GB2312"/>
          <w:sz w:val="24"/>
          <w:u w:val="single"/>
        </w:rPr>
        <w:t>深圳市前海深港现代服务业合作区管理局</w:t>
      </w: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 xml:space="preserve">地址： </w:t>
      </w:r>
      <w:r>
        <w:rPr>
          <w:rFonts w:hint="eastAsia" w:ascii="仿宋_GB2312" w:hAnsi="仿宋_GB2312" w:eastAsia="仿宋_GB2312" w:cs="仿宋_GB2312"/>
          <w:sz w:val="24"/>
          <w:u w:val="single"/>
        </w:rPr>
        <w:t>深圳市前海深港现代服务业合作区桂湾五路123号前海大厦T1栋</w:t>
      </w: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 xml:space="preserve">法定代表人： </w:t>
      </w:r>
    </w:p>
    <w:p>
      <w:pPr>
        <w:pStyle w:val="9"/>
        <w:spacing w:line="400" w:lineRule="exact"/>
        <w:rPr>
          <w:rFonts w:ascii="仿宋_GB2312" w:hAnsi="仿宋_GB2312" w:eastAsia="仿宋_GB2312" w:cs="仿宋_GB2312"/>
        </w:rPr>
      </w:pPr>
      <w:r>
        <w:rPr>
          <w:rFonts w:hint="eastAsia" w:ascii="仿宋_GB2312" w:hAnsi="仿宋_GB2312" w:eastAsia="仿宋_GB2312" w:cs="仿宋_GB2312"/>
        </w:rPr>
        <w:t>联系人：</w:t>
      </w:r>
    </w:p>
    <w:p>
      <w:pPr>
        <w:pStyle w:val="9"/>
        <w:spacing w:line="400" w:lineRule="exact"/>
        <w:rPr>
          <w:rFonts w:ascii="仿宋_GB2312" w:hAnsi="仿宋_GB2312" w:eastAsia="仿宋_GB2312" w:cs="仿宋_GB2312"/>
        </w:rPr>
      </w:pPr>
      <w:r>
        <w:rPr>
          <w:rFonts w:hint="eastAsia" w:ascii="仿宋_GB2312" w:hAnsi="仿宋_GB2312" w:eastAsia="仿宋_GB2312" w:cs="仿宋_GB2312"/>
        </w:rPr>
        <w:t>联系方式：</w:t>
      </w: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 xml:space="preserve"> </w:t>
      </w: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乙方：</w:t>
      </w: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lang w:eastAsia="zh-CN"/>
        </w:rPr>
        <w:t>统一社会信用代码</w:t>
      </w:r>
      <w:r>
        <w:rPr>
          <w:rFonts w:hint="eastAsia" w:ascii="仿宋_GB2312" w:hAnsi="仿宋_GB2312" w:eastAsia="仿宋_GB2312" w:cs="仿宋_GB2312"/>
          <w:b/>
          <w:bCs/>
          <w:sz w:val="24"/>
        </w:rPr>
        <w:t>：</w:t>
      </w: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地址：</w:t>
      </w: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法定代表人：</w:t>
      </w:r>
    </w:p>
    <w:p>
      <w:pPr>
        <w:pStyle w:val="9"/>
        <w:spacing w:line="400" w:lineRule="exact"/>
        <w:rPr>
          <w:rFonts w:ascii="仿宋_GB2312" w:hAnsi="仿宋_GB2312" w:eastAsia="仿宋_GB2312" w:cs="仿宋_GB2312"/>
        </w:rPr>
      </w:pPr>
      <w:r>
        <w:rPr>
          <w:rFonts w:hint="eastAsia" w:ascii="仿宋_GB2312" w:hAnsi="仿宋_GB2312" w:eastAsia="仿宋_GB2312" w:cs="仿宋_GB2312"/>
        </w:rPr>
        <w:t>联系人：</w:t>
      </w:r>
    </w:p>
    <w:p>
      <w:pPr>
        <w:pStyle w:val="9"/>
        <w:spacing w:line="400" w:lineRule="exact"/>
        <w:rPr>
          <w:rFonts w:ascii="仿宋_GB2312" w:hAnsi="仿宋_GB2312" w:eastAsia="仿宋_GB2312" w:cs="仿宋_GB2312"/>
        </w:rPr>
      </w:pPr>
      <w:r>
        <w:rPr>
          <w:rFonts w:hint="eastAsia" w:ascii="仿宋_GB2312" w:hAnsi="仿宋_GB2312" w:eastAsia="仿宋_GB2312" w:cs="仿宋_GB2312"/>
        </w:rPr>
        <w:t>联系方式：</w:t>
      </w: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 xml:space="preserve"> </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以下甲方和乙方合称“双方”。</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根据《中华人民共和国民法典》等法律、法规的相关规定和编号为【QH2023113】招标项目的中标结果，由【   】单位（以下简称乙方）为中标单位。按照《中华人民共和国民法典》和《深圳经济特区政府采购条例》，经深圳市前海深港现代服务业合作区管理局（以下简称甲方）和【   】单位（以下简称乙方）协商，就甲方委托乙方共同承担</w:t>
      </w:r>
      <w:r>
        <w:rPr>
          <w:rFonts w:hint="eastAsia" w:ascii="仿宋_GB2312" w:hAnsi="仿宋_GB2312" w:eastAsia="仿宋_GB2312" w:cs="仿宋_GB2312"/>
          <w:sz w:val="24"/>
          <w:u w:val="single"/>
        </w:rPr>
        <w:t>《文化软实力基地建设的路径探索：深圳前海文物艺术品“国内国际双循环”交易流通可行性研究》课题研究项目</w:t>
      </w:r>
      <w:r>
        <w:rPr>
          <w:rFonts w:hint="eastAsia" w:ascii="仿宋_GB2312" w:hAnsi="仿宋_GB2312" w:eastAsia="仿宋_GB2312" w:cs="仿宋_GB2312"/>
          <w:b/>
          <w:bCs/>
          <w:kern w:val="0"/>
          <w:sz w:val="24"/>
          <w:u w:val="single"/>
        </w:rPr>
        <w:t>（以下简称本项目）</w:t>
      </w:r>
      <w:r>
        <w:rPr>
          <w:rFonts w:hint="eastAsia" w:ascii="仿宋_GB2312" w:hAnsi="仿宋_GB2312" w:eastAsia="仿宋_GB2312" w:cs="仿宋_GB2312"/>
          <w:sz w:val="24"/>
        </w:rPr>
        <w:t>，达成以下合同条款：</w:t>
      </w:r>
    </w:p>
    <w:p>
      <w:pPr>
        <w:spacing w:line="400" w:lineRule="exact"/>
        <w:ind w:firstLine="480" w:firstLineChars="200"/>
        <w:rPr>
          <w:rFonts w:ascii="黑体" w:hAnsi="黑体" w:eastAsia="黑体" w:cs="黑体"/>
          <w:sz w:val="24"/>
        </w:rPr>
      </w:pPr>
      <w:r>
        <w:rPr>
          <w:rFonts w:hint="eastAsia" w:ascii="黑体" w:hAnsi="黑体" w:eastAsia="黑体" w:cs="黑体"/>
          <w:sz w:val="24"/>
        </w:rPr>
        <w:t>第一条</w:t>
      </w:r>
      <w:r>
        <w:rPr>
          <w:rFonts w:ascii="黑体" w:hAnsi="黑体" w:eastAsia="黑体" w:cs="黑体"/>
          <w:sz w:val="24"/>
        </w:rPr>
        <w:t xml:space="preserve">  </w:t>
      </w:r>
      <w:r>
        <w:rPr>
          <w:rFonts w:hint="eastAsia" w:ascii="黑体" w:hAnsi="黑体" w:eastAsia="黑体" w:cs="黑体"/>
          <w:sz w:val="24"/>
        </w:rPr>
        <w:t>项目研究内容</w:t>
      </w:r>
    </w:p>
    <w:p>
      <w:pPr>
        <w:spacing w:line="400" w:lineRule="exact"/>
        <w:ind w:firstLine="480" w:firstLineChars="200"/>
        <w:rPr>
          <w:rFonts w:ascii="仿宋_GB2312" w:hAnsi="仿宋_GB2312" w:eastAsia="仿宋_GB2312" w:cs="仿宋_GB2312"/>
          <w:b/>
          <w:bCs/>
          <w:sz w:val="24"/>
        </w:rPr>
      </w:pPr>
      <w:r>
        <w:rPr>
          <w:rFonts w:hint="eastAsia" w:ascii="仿宋_GB2312" w:hAnsi="仿宋_GB2312" w:eastAsia="仿宋_GB2312" w:cs="仿宋_GB2312"/>
          <w:sz w:val="24"/>
        </w:rPr>
        <w:t>项目名称：</w:t>
      </w:r>
      <w:r>
        <w:rPr>
          <w:rFonts w:hint="eastAsia" w:ascii="仿宋_GB2312" w:hAnsi="仿宋_GB2312" w:eastAsia="仿宋_GB2312" w:cs="仿宋_GB2312"/>
          <w:b/>
          <w:bCs/>
          <w:sz w:val="24"/>
        </w:rPr>
        <w:t>《文化软实力基地建设的路径探索：深圳前海文物艺术品“国内国际双循环”交易流通可行性研究》课题研究项目</w:t>
      </w:r>
    </w:p>
    <w:p>
      <w:pPr>
        <w:spacing w:line="400" w:lineRule="exact"/>
        <w:ind w:firstLine="480" w:firstLineChars="200"/>
        <w:rPr>
          <w:rFonts w:ascii="楷体GB2312" w:hAnsi="楷体GB2312" w:eastAsia="楷体GB2312" w:cs="楷体GB2312"/>
          <w:kern w:val="0"/>
          <w:sz w:val="24"/>
        </w:rPr>
      </w:pPr>
      <w:r>
        <w:rPr>
          <w:rFonts w:hint="eastAsia" w:ascii="楷体GB2312" w:hAnsi="楷体GB2312" w:eastAsia="楷体GB2312" w:cs="楷体GB2312"/>
          <w:kern w:val="0"/>
          <w:sz w:val="24"/>
        </w:rPr>
        <w:t>1</w:t>
      </w:r>
      <w:r>
        <w:rPr>
          <w:rFonts w:ascii="楷体GB2312" w:hAnsi="楷体GB2312" w:eastAsia="楷体GB2312" w:cs="楷体GB2312"/>
          <w:kern w:val="0"/>
          <w:sz w:val="24"/>
        </w:rPr>
        <w:t>.</w:t>
      </w:r>
      <w:r>
        <w:rPr>
          <w:rFonts w:hint="eastAsia" w:ascii="楷体GB2312" w:hAnsi="楷体GB2312" w:eastAsia="楷体GB2312" w:cs="楷体GB2312"/>
          <w:kern w:val="0"/>
          <w:sz w:val="24"/>
        </w:rPr>
        <w:t>项目背景</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党的二十大报告强调，不断提升国家文化软实力和中华文化影响力,大力发展文化事业和文化产业。在粤港澳大湾区的战略指引下, 《全面深化前海深港现代服务业合作区改革开放方案》提出“稳妥有序扩大文化领域对外开放, 建设多种文化开放共荣的文化交流互鉴平台,打造文化软实力基地”,为前海文化建设提供了根本遵循和重要支撑。根据前海合作区党工委 深圳市前海管理局印发《前海合作区党工委 深圳市前海管理局2023年度课题研究计划》部署安排，拟开展《文化软实力基地建设的路径探索：深圳前海文物艺术品“国内国际双循环”交易流通可行性研究》课题研究项目，结合打造文化软实力基地的战略任务,探讨前海建立国际艺术品交易中心的可行性与必要性,探索打造国际艺术品交易流通高地的方法与途径,研究实现前海“建设国际艺术品交易中心、建立多种文化交流互鉴平台、打造文化软实力基地”目标的策略与建议, 促进国际艺术品依法交易、规范流通、有序发展。</w:t>
      </w:r>
    </w:p>
    <w:p>
      <w:pPr>
        <w:pStyle w:val="22"/>
        <w:spacing w:line="400" w:lineRule="exact"/>
        <w:ind w:firstLine="480"/>
        <w:rPr>
          <w:rFonts w:ascii="仿宋_GB2312" w:hAnsi="仿宋_GB2312" w:eastAsia="仿宋_GB2312" w:cs="仿宋_GB2312"/>
          <w:sz w:val="24"/>
          <w:szCs w:val="24"/>
        </w:rPr>
      </w:pPr>
      <w:r>
        <w:rPr>
          <w:rFonts w:hint="eastAsia" w:ascii="楷体GB2312" w:hAnsi="楷体GB2312" w:eastAsia="楷体GB2312" w:cs="楷体GB2312"/>
          <w:sz w:val="24"/>
          <w:szCs w:val="24"/>
        </w:rPr>
        <w:t>2</w:t>
      </w:r>
      <w:r>
        <w:rPr>
          <w:rFonts w:ascii="楷体GB2312" w:hAnsi="楷体GB2312" w:eastAsia="楷体GB2312" w:cs="楷体GB2312"/>
          <w:sz w:val="24"/>
          <w:szCs w:val="24"/>
        </w:rPr>
        <w:t>.</w:t>
      </w:r>
      <w:r>
        <w:rPr>
          <w:rFonts w:hint="eastAsia" w:ascii="楷体GB2312" w:hAnsi="楷体GB2312" w:eastAsia="楷体GB2312" w:cs="楷体GB2312"/>
          <w:sz w:val="24"/>
          <w:szCs w:val="24"/>
        </w:rPr>
        <w:t>项目目标：</w:t>
      </w:r>
      <w:r>
        <w:rPr>
          <w:rFonts w:hint="eastAsia" w:ascii="仿宋_GB2312" w:hAnsi="仿宋_GB2312" w:eastAsia="仿宋_GB2312" w:cs="仿宋_GB2312"/>
          <w:sz w:val="24"/>
          <w:szCs w:val="24"/>
        </w:rPr>
        <w:t>研究实现前海“建设国际艺术品交易中心、建立多种文化交流互鉴平台、打造文化软实力基地”目标的策略与建议, 促进国际艺术品依法交易、规范流通、有序发展。</w:t>
      </w:r>
    </w:p>
    <w:p>
      <w:pPr>
        <w:spacing w:line="400" w:lineRule="exact"/>
        <w:ind w:firstLine="481"/>
        <w:rPr>
          <w:rFonts w:ascii="楷体GB2312" w:hAnsi="楷体GB2312" w:eastAsia="楷体GB2312" w:cs="楷体GB2312"/>
          <w:kern w:val="0"/>
          <w:sz w:val="24"/>
        </w:rPr>
      </w:pPr>
      <w:r>
        <w:rPr>
          <w:rFonts w:hint="eastAsia" w:ascii="楷体GB2312" w:hAnsi="楷体GB2312" w:eastAsia="楷体GB2312" w:cs="楷体GB2312"/>
          <w:kern w:val="0"/>
          <w:sz w:val="24"/>
        </w:rPr>
        <w:t>3</w:t>
      </w:r>
      <w:r>
        <w:rPr>
          <w:rFonts w:ascii="楷体GB2312" w:hAnsi="楷体GB2312" w:eastAsia="楷体GB2312" w:cs="楷体GB2312"/>
          <w:kern w:val="0"/>
          <w:sz w:val="24"/>
        </w:rPr>
        <w:t>.</w:t>
      </w:r>
      <w:r>
        <w:rPr>
          <w:rFonts w:hint="eastAsia" w:ascii="楷体GB2312" w:hAnsi="楷体GB2312" w:eastAsia="楷体GB2312" w:cs="楷体GB2312"/>
          <w:kern w:val="0"/>
          <w:sz w:val="24"/>
        </w:rPr>
        <w:t>项目内容（包括但不限于）：</w:t>
      </w:r>
    </w:p>
    <w:p>
      <w:pPr>
        <w:pStyle w:val="22"/>
        <w:spacing w:line="40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梳理国内外艺术品市场的基本情况、政策环境及发展趋势,概括艺术品市场对于推动文化事业与文化产业共同发展的重要意义。总结国际艺术品流通的先进经验与成熟做法,为前海建设国际艺术品集散地提供借鉴参考。探索构建前海国际艺术品交易流通平台与体制机制,提 出促进国际艺术品交易流通的政策建议。</w:t>
      </w:r>
    </w:p>
    <w:p>
      <w:pPr>
        <w:pStyle w:val="22"/>
        <w:spacing w:line="400" w:lineRule="exact"/>
        <w:ind w:firstLine="480"/>
        <w:rPr>
          <w:rFonts w:ascii="仿宋_GB2312" w:hAnsi="仿宋_GB2312" w:eastAsia="仿宋_GB2312" w:cs="仿宋_GB2312"/>
          <w:sz w:val="24"/>
          <w:szCs w:val="24"/>
        </w:rPr>
      </w:pPr>
      <w:r>
        <w:rPr>
          <w:rFonts w:hint="eastAsia" w:ascii="楷体GB2312" w:hAnsi="楷体GB2312" w:eastAsia="楷体GB2312" w:cs="楷体GB2312"/>
          <w:sz w:val="24"/>
          <w:szCs w:val="24"/>
        </w:rPr>
        <w:t>4</w:t>
      </w:r>
      <w:r>
        <w:rPr>
          <w:rFonts w:ascii="楷体GB2312" w:hAnsi="楷体GB2312" w:eastAsia="楷体GB2312" w:cs="楷体GB2312"/>
          <w:sz w:val="24"/>
          <w:szCs w:val="24"/>
        </w:rPr>
        <w:t>.</w:t>
      </w:r>
      <w:r>
        <w:rPr>
          <w:rFonts w:hint="eastAsia" w:ascii="楷体GB2312" w:hAnsi="楷体GB2312" w:eastAsia="楷体GB2312" w:cs="楷体GB2312"/>
          <w:sz w:val="24"/>
          <w:szCs w:val="24"/>
        </w:rPr>
        <w:t>项目成果及验收：</w:t>
      </w:r>
      <w:r>
        <w:rPr>
          <w:rFonts w:hint="eastAsia" w:ascii="仿宋_GB2312" w:hAnsi="仿宋_GB2312" w:eastAsia="仿宋_GB2312" w:cs="仿宋_GB2312"/>
          <w:sz w:val="24"/>
          <w:szCs w:val="24"/>
        </w:rPr>
        <w:t>最终提交《文化软实力基地建设的路径探索：深圳前海文物艺术品“国内国际双循环”交易流通可行性研究》课题研究报告1套，分别以书面形式和电子文件形式提交，且经中期抽查及第三方查重系统查重后课题内容重复率不得超过20%，最后由采购单位组织有关外部专家评审验收，验收依据为合同及国家和行业有关规范、规程和标准。</w:t>
      </w:r>
    </w:p>
    <w:p>
      <w:pPr>
        <w:spacing w:line="400" w:lineRule="exact"/>
        <w:ind w:firstLine="481"/>
        <w:rPr>
          <w:rFonts w:ascii="楷体GB2312" w:hAnsi="楷体GB2312" w:eastAsia="楷体GB2312" w:cs="楷体GB2312"/>
          <w:kern w:val="0"/>
          <w:sz w:val="24"/>
        </w:rPr>
      </w:pPr>
      <w:r>
        <w:rPr>
          <w:rFonts w:hint="eastAsia" w:ascii="楷体GB2312" w:hAnsi="楷体GB2312" w:eastAsia="楷体GB2312" w:cs="楷体GB2312"/>
          <w:kern w:val="0"/>
          <w:sz w:val="24"/>
        </w:rPr>
        <w:t>5</w:t>
      </w:r>
      <w:r>
        <w:rPr>
          <w:rFonts w:ascii="楷体GB2312" w:hAnsi="楷体GB2312" w:eastAsia="楷体GB2312" w:cs="楷体GB2312"/>
          <w:kern w:val="0"/>
          <w:sz w:val="24"/>
        </w:rPr>
        <w:t>.</w:t>
      </w:r>
      <w:r>
        <w:rPr>
          <w:rFonts w:hint="eastAsia" w:ascii="楷体GB2312" w:hAnsi="楷体GB2312" w:eastAsia="楷体GB2312" w:cs="楷体GB2312"/>
          <w:kern w:val="0"/>
          <w:sz w:val="24"/>
        </w:rPr>
        <w:t>服务期限及要求：</w:t>
      </w:r>
    </w:p>
    <w:p>
      <w:pPr>
        <w:pStyle w:val="22"/>
        <w:spacing w:line="40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（1）本项目工作期限为自合同签订之日起至课题研究报告验收合格当天止。</w:t>
      </w:r>
    </w:p>
    <w:p>
      <w:pPr>
        <w:pStyle w:val="22"/>
        <w:spacing w:line="40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（2）项目售后服务期限自最终成果通过甲方审查之日起的半年内，乙方须与甲方保持全面沟通，提供技术服务支持。</w:t>
      </w:r>
    </w:p>
    <w:p>
      <w:pPr>
        <w:spacing w:line="400" w:lineRule="exact"/>
        <w:ind w:firstLine="481"/>
        <w:rPr>
          <w:rFonts w:ascii="楷体GB2312" w:hAnsi="楷体GB2312" w:eastAsia="楷体GB2312" w:cs="楷体GB2312"/>
          <w:kern w:val="0"/>
          <w:sz w:val="24"/>
        </w:rPr>
      </w:pPr>
      <w:r>
        <w:rPr>
          <w:rFonts w:ascii="楷体GB2312" w:hAnsi="楷体GB2312" w:eastAsia="楷体GB2312" w:cs="楷体GB2312"/>
          <w:kern w:val="0"/>
          <w:sz w:val="24"/>
        </w:rPr>
        <w:t>6.</w:t>
      </w:r>
      <w:r>
        <w:rPr>
          <w:rFonts w:hint="eastAsia" w:ascii="楷体GB2312" w:hAnsi="楷体GB2312" w:eastAsia="楷体GB2312" w:cs="楷体GB2312"/>
          <w:kern w:val="0"/>
          <w:sz w:val="24"/>
        </w:rPr>
        <w:t>人员要求：</w:t>
      </w:r>
    </w:p>
    <w:p>
      <w:pPr>
        <w:spacing w:line="40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在服务期限内，项目人员应相对稳定，更换现场人员，须经甲方书面同意后方可更换。在服务期限内，项目人员应相对稳定，更换现场人员，须经甲方书面同意后方可更换。乙方须指定2名签收人，代表乙方签收甲方发出的任务书。签收人需持乙方法人授权委托书报甲方备案，授权有效期与双方签订的框架合同期限一致。更换授权签收人须提前30个工作日向甲方提出书面申请。</w:t>
      </w:r>
    </w:p>
    <w:p>
      <w:pPr>
        <w:spacing w:line="400" w:lineRule="exact"/>
        <w:ind w:firstLine="480" w:firstLineChars="200"/>
        <w:rPr>
          <w:rFonts w:ascii="黑体" w:hAnsi="黑体" w:eastAsia="黑体" w:cs="黑体"/>
          <w:sz w:val="24"/>
        </w:rPr>
      </w:pPr>
      <w:r>
        <w:rPr>
          <w:rFonts w:hint="eastAsia" w:ascii="黑体" w:hAnsi="黑体" w:eastAsia="黑体" w:cs="黑体"/>
          <w:sz w:val="24"/>
        </w:rPr>
        <w:t>第二条  甲方的义务</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负责与本项目有关的第三方的协调，提供开展项目服务工作的外部条件。</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向乙方提供与本项目服务工作有关的资料。</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负责组织项目验收。</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根据合同的条款按时支付合同价款。</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w:t>
      </w:r>
      <w:r>
        <w:rPr>
          <w:rFonts w:hint="eastAsia" w:ascii="仿宋_GB2312" w:hAnsi="仿宋_GB2312" w:eastAsia="仿宋_GB2312" w:cs="仿宋_GB2312"/>
          <w:sz w:val="24"/>
        </w:rPr>
        <w:t>甲方指定专人与乙方对接项目，并及时确认需求，在项目实施过程中，提出业务指导意见。</w:t>
      </w:r>
    </w:p>
    <w:p>
      <w:pPr>
        <w:spacing w:line="400" w:lineRule="exact"/>
        <w:ind w:firstLine="480" w:firstLineChars="200"/>
        <w:rPr>
          <w:rFonts w:ascii="黑体" w:hAnsi="黑体" w:eastAsia="黑体" w:cs="黑体"/>
          <w:sz w:val="24"/>
        </w:rPr>
      </w:pPr>
      <w:r>
        <w:rPr>
          <w:rFonts w:hint="eastAsia" w:ascii="黑体" w:hAnsi="黑体" w:eastAsia="黑体" w:cs="黑体"/>
          <w:sz w:val="24"/>
        </w:rPr>
        <w:t>第三条 乙方的义务</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应按照【QH2023113】号招标文件、乙方投标文件以及本合同的要求按期完成本项目服务工作。</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在履行合同期间或合同规定期限内，不得泄露与本合同规定业务活动有关的保密资料。</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乙方应按国家、省及深圳的有关法律法规、设计标准、技术规范以及本合同约定的工作内容、工作进度等要求提供数据分析服务，并对其提交的服务成果负责。</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乙方应接受甲方对工作进展的询问、监督和指导，严格按本合同约定的内容、标准和期限完成项目服务工作，并向甲方提交项目成果。项目工作完成后，乙方应按照甲方要求将完成本项目的工作总结和相关台账资料交给甲方。</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w:t>
      </w:r>
      <w:r>
        <w:rPr>
          <w:rFonts w:hint="eastAsia" w:ascii="仿宋_GB2312" w:hAnsi="仿宋_GB2312" w:eastAsia="仿宋_GB2312" w:cs="仿宋_GB2312"/>
          <w:sz w:val="24"/>
        </w:rPr>
        <w:t>乙方应配合甲方开展验收工作,对于验收过程中发现的问题，乙方应在发现问题之日起3天内进行改正，以符合甲方的需要。</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w:t>
      </w:r>
      <w:r>
        <w:rPr>
          <w:rFonts w:ascii="仿宋_GB2312" w:hAnsi="仿宋_GB2312" w:eastAsia="仿宋_GB2312" w:cs="仿宋_GB2312"/>
          <w:sz w:val="24"/>
        </w:rPr>
        <w:t>.</w:t>
      </w:r>
      <w:r>
        <w:rPr>
          <w:rFonts w:hint="eastAsia" w:ascii="仿宋_GB2312" w:hAnsi="仿宋_GB2312" w:eastAsia="仿宋_GB2312" w:cs="仿宋_GB2312"/>
          <w:sz w:val="24"/>
        </w:rPr>
        <w:t>如乙方提供的成果文件不符合本合同要求，必须在甲方提出要求后3天内无条件修改，其费用由乙方自行承担。修改期间，甲方付款时间相应顺延。</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w:t>
      </w:r>
      <w:r>
        <w:rPr>
          <w:rFonts w:ascii="仿宋_GB2312" w:hAnsi="仿宋_GB2312" w:eastAsia="仿宋_GB2312" w:cs="仿宋_GB2312"/>
          <w:sz w:val="24"/>
        </w:rPr>
        <w:t>.</w:t>
      </w:r>
      <w:r>
        <w:rPr>
          <w:rFonts w:hint="eastAsia" w:ascii="仿宋_GB2312" w:hAnsi="仿宋_GB2312" w:eastAsia="仿宋_GB2312" w:cs="仿宋_GB2312"/>
          <w:sz w:val="24"/>
        </w:rPr>
        <w:t>乙方应独立完成本项目。未经甲方书面在先同意，乙方不得向任何第三方全部或部分转让本项目。</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8</w:t>
      </w:r>
      <w:r>
        <w:rPr>
          <w:rFonts w:ascii="仿宋_GB2312" w:hAnsi="仿宋_GB2312" w:eastAsia="仿宋_GB2312" w:cs="仿宋_GB2312"/>
          <w:sz w:val="24"/>
        </w:rPr>
        <w:t>.</w:t>
      </w:r>
      <w:r>
        <w:rPr>
          <w:rFonts w:hint="eastAsia" w:ascii="仿宋_GB2312" w:hAnsi="仿宋_GB2312" w:eastAsia="仿宋_GB2312" w:cs="仿宋_GB2312"/>
          <w:sz w:val="24"/>
        </w:rPr>
        <w:t>乙方对其参与本项目的工作人员在合同履行期间的工作行为负责，期间发生的一切安全事故责任、其它人身损害及因此发生的人身损害赔偿和其他费用由乙方根据国家相关法律规定承担相应责任，与甲方无关。</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9</w:t>
      </w:r>
      <w:r>
        <w:rPr>
          <w:rFonts w:ascii="仿宋_GB2312" w:hAnsi="仿宋_GB2312" w:eastAsia="仿宋_GB2312" w:cs="仿宋_GB2312"/>
          <w:sz w:val="24"/>
        </w:rPr>
        <w:t>.</w:t>
      </w:r>
      <w:r>
        <w:rPr>
          <w:rFonts w:hint="eastAsia" w:ascii="仿宋_GB2312" w:hAnsi="仿宋_GB2312" w:eastAsia="仿宋_GB2312" w:cs="仿宋_GB2312"/>
          <w:sz w:val="24"/>
        </w:rPr>
        <w:t>为保证项目成果的质量，乙方在合同履行期间，应按照服务内容要求安排专门的项目服务团队，并保障项目正常交付及验收。</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10</w:t>
      </w:r>
      <w:r>
        <w:rPr>
          <w:rFonts w:ascii="仿宋_GB2312" w:hAnsi="仿宋_GB2312" w:eastAsia="仿宋_GB2312" w:cs="仿宋_GB2312"/>
          <w:sz w:val="24"/>
        </w:rPr>
        <w:t>.</w:t>
      </w:r>
      <w:r>
        <w:rPr>
          <w:rFonts w:hint="eastAsia" w:ascii="仿宋_GB2312" w:hAnsi="仿宋_GB2312" w:eastAsia="仿宋_GB2312" w:cs="仿宋_GB2312"/>
          <w:sz w:val="24"/>
        </w:rPr>
        <w:t>乙方有维护甲方声誉的义务，乙方不能以甲方名义从事与本项目无关的任何事务，否则甲方有权追究其相关责任。</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w:t>
      </w:r>
      <w:r>
        <w:rPr>
          <w:rFonts w:ascii="仿宋_GB2312" w:hAnsi="仿宋_GB2312" w:eastAsia="仿宋_GB2312" w:cs="仿宋_GB2312"/>
          <w:sz w:val="24"/>
        </w:rPr>
        <w:t>.</w:t>
      </w:r>
      <w:r>
        <w:rPr>
          <w:rFonts w:hint="eastAsia" w:ascii="仿宋_GB2312" w:hAnsi="仿宋_GB2312" w:eastAsia="仿宋_GB2312" w:cs="仿宋_GB2312"/>
          <w:sz w:val="24"/>
        </w:rPr>
        <w:t>本合同期满或提前解除、终止后，乙方应将甲方的档案资料、信息数据等交还甲方，并应销毁或删除所有备份。</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w:t>
      </w:r>
      <w:r>
        <w:rPr>
          <w:rFonts w:ascii="仿宋_GB2312" w:hAnsi="仿宋_GB2312" w:eastAsia="仿宋_GB2312" w:cs="仿宋_GB2312"/>
          <w:sz w:val="24"/>
        </w:rPr>
        <w:t>.</w:t>
      </w:r>
      <w:r>
        <w:rPr>
          <w:rFonts w:hint="eastAsia" w:ascii="仿宋_GB2312" w:hAnsi="仿宋_GB2312" w:eastAsia="仿宋_GB2312" w:cs="仿宋_GB2312"/>
          <w:sz w:val="24"/>
        </w:rPr>
        <w:t>乙方在完成本项目过程中，不得损害其他任何第三方的知识产权等合法权益，否则由此造成的相关责任应当由乙方自行承担，与甲方无关。</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13</w:t>
      </w:r>
      <w:r>
        <w:rPr>
          <w:rFonts w:ascii="仿宋_GB2312" w:hAnsi="仿宋_GB2312" w:eastAsia="仿宋_GB2312" w:cs="仿宋_GB2312"/>
          <w:sz w:val="24"/>
        </w:rPr>
        <w:t>.</w:t>
      </w:r>
      <w:r>
        <w:rPr>
          <w:rFonts w:hint="eastAsia" w:ascii="仿宋_GB2312" w:hAnsi="仿宋_GB2312" w:eastAsia="仿宋_GB2312" w:cs="仿宋_GB2312"/>
          <w:sz w:val="24"/>
        </w:rPr>
        <w:t>本项目在验收完毕后，乙方应提供相应的售后服务，为甲方提供后续的专业技术支持与咨询服务。</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14</w:t>
      </w:r>
      <w:r>
        <w:rPr>
          <w:rFonts w:ascii="仿宋_GB2312" w:hAnsi="仿宋_GB2312" w:eastAsia="仿宋_GB2312" w:cs="仿宋_GB2312"/>
          <w:sz w:val="24"/>
        </w:rPr>
        <w:t>.</w:t>
      </w:r>
      <w:r>
        <w:rPr>
          <w:rFonts w:hint="eastAsia" w:ascii="仿宋_GB2312" w:hAnsi="仿宋_GB2312" w:eastAsia="仿宋_GB2312" w:cs="仿宋_GB2312"/>
          <w:sz w:val="24"/>
        </w:rPr>
        <w:t>乙方指定项目联系人</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乙方： </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姓名： </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联系方式： </w:t>
      </w:r>
    </w:p>
    <w:p>
      <w:pPr>
        <w:pStyle w:val="8"/>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乙方变更项目联系人的，应当在5个工作日内以书面形式通知甲方。未及时通知并影响本合同履行或造成损失的，应承担相应的责任。</w:t>
      </w:r>
    </w:p>
    <w:p>
      <w:pPr>
        <w:spacing w:line="400" w:lineRule="exact"/>
        <w:ind w:firstLine="480" w:firstLineChars="200"/>
        <w:rPr>
          <w:rFonts w:ascii="黑体" w:hAnsi="黑体" w:eastAsia="黑体" w:cs="黑体"/>
          <w:sz w:val="24"/>
        </w:rPr>
      </w:pPr>
      <w:r>
        <w:rPr>
          <w:rFonts w:hint="eastAsia" w:ascii="黑体" w:hAnsi="黑体" w:eastAsia="黑体" w:cs="黑体"/>
          <w:sz w:val="24"/>
        </w:rPr>
        <w:t>第四条 甲方的权利</w:t>
      </w:r>
    </w:p>
    <w:p>
      <w:pPr>
        <w:pStyle w:val="8"/>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甲方对项目实施过程进行协调、监督和指导，按时进行项目成果验收。</w:t>
      </w:r>
    </w:p>
    <w:p>
      <w:pPr>
        <w:pStyle w:val="8"/>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甲方有权向乙方询问项目工作进展及相关情况，并要求乙方在指定时间内做出答复。</w:t>
      </w:r>
    </w:p>
    <w:p>
      <w:pPr>
        <w:pStyle w:val="8"/>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甲方有权对乙方提交的阶段性成果、最终成果送审稿等相关工作文件进行审核并提出修改意见。</w:t>
      </w:r>
    </w:p>
    <w:p>
      <w:pPr>
        <w:pStyle w:val="8"/>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如乙方所提供的实施方案及项目成果文件不满足甲方的工作要求，甲方有权要求乙方重新执行相应的工作服务，由此产生的全部费用由乙方自行承担。</w:t>
      </w:r>
    </w:p>
    <w:p>
      <w:pPr>
        <w:pStyle w:val="8"/>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w:t>
      </w:r>
      <w:r>
        <w:rPr>
          <w:rFonts w:hint="eastAsia" w:ascii="仿宋_GB2312" w:hAnsi="仿宋_GB2312" w:eastAsia="仿宋_GB2312" w:cs="仿宋_GB2312"/>
          <w:sz w:val="24"/>
        </w:rPr>
        <w:t>甲方对乙方在委托权限范围内完成委托事项有指导、监督权利。</w:t>
      </w:r>
    </w:p>
    <w:p>
      <w:pPr>
        <w:pStyle w:val="8"/>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w:t>
      </w:r>
      <w:r>
        <w:rPr>
          <w:rFonts w:ascii="仿宋_GB2312" w:hAnsi="仿宋_GB2312" w:eastAsia="仿宋_GB2312" w:cs="仿宋_GB2312"/>
          <w:sz w:val="24"/>
        </w:rPr>
        <w:t>.</w:t>
      </w:r>
      <w:r>
        <w:rPr>
          <w:rFonts w:hint="eastAsia" w:ascii="仿宋_GB2312" w:hAnsi="仿宋_GB2312" w:eastAsia="仿宋_GB2312" w:cs="仿宋_GB2312"/>
          <w:sz w:val="24"/>
        </w:rPr>
        <w:t>甲方有权要求乙方全面履行合同。甲方不接受部分履行，如本合同项下部分成果文件未能按时交付则视为整体延误。</w:t>
      </w:r>
    </w:p>
    <w:p>
      <w:pPr>
        <w:spacing w:line="400" w:lineRule="exact"/>
        <w:ind w:firstLine="480" w:firstLineChars="200"/>
        <w:rPr>
          <w:rFonts w:ascii="黑体" w:hAnsi="黑体" w:eastAsia="黑体" w:cs="黑体"/>
          <w:sz w:val="24"/>
        </w:rPr>
      </w:pPr>
      <w:r>
        <w:rPr>
          <w:rFonts w:hint="eastAsia" w:ascii="黑体" w:hAnsi="黑体" w:eastAsia="黑体" w:cs="黑体"/>
          <w:sz w:val="24"/>
        </w:rPr>
        <w:t>第五条 乙方的权利</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乙方在本项目服务过程中，如甲方提供的资料不明确时可向甲方提出书面报告。</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乙方在本项目服务过程中，乙方有权协调甲方提供真实准确的数据和具体需求。</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乙方在本项目服务过程中，有到现场勘察、调研并要求甲方协调的权利。</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根据合同约定收取相应的合同价款。</w:t>
      </w:r>
    </w:p>
    <w:p>
      <w:pPr>
        <w:spacing w:line="400" w:lineRule="exact"/>
        <w:ind w:firstLine="480" w:firstLineChars="200"/>
        <w:rPr>
          <w:rFonts w:ascii="黑体" w:hAnsi="黑体" w:eastAsia="黑体" w:cs="黑体"/>
          <w:sz w:val="24"/>
        </w:rPr>
      </w:pPr>
      <w:r>
        <w:rPr>
          <w:rFonts w:hint="eastAsia" w:ascii="黑体" w:hAnsi="黑体" w:eastAsia="黑体" w:cs="黑体"/>
          <w:sz w:val="24"/>
        </w:rPr>
        <w:t>第六条 成果权属与知识产权</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双方确定，甲方有权利用乙方按照本合同约定提供的项目成果，进行后续改进。由此产生的具有实质性或创造性技术进步特征的新的技术成果及其权利归属，全部由甲方享有。具体相关利益的分配办法如下：甲方100%。</w:t>
      </w:r>
    </w:p>
    <w:p>
      <w:pPr>
        <w:widowControl/>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律师费用、保全费用、鉴定评估费用、调查费用、和解金额或生效法律文书中规定的赔偿金额。</w:t>
      </w:r>
    </w:p>
    <w:p>
      <w:pPr>
        <w:widowControl/>
        <w:spacing w:line="400" w:lineRule="exact"/>
        <w:ind w:firstLine="480" w:firstLineChars="200"/>
        <w:rPr>
          <w:rFonts w:ascii="仿宋_GB2312" w:hAnsi="仿宋_GB2312" w:eastAsia="仿宋_GB2312" w:cs="仿宋_GB2312"/>
          <w:b/>
          <w:bCs/>
          <w:sz w:val="24"/>
        </w:rPr>
      </w:pPr>
      <w:r>
        <w:rPr>
          <w:rFonts w:ascii="仿宋_GB2312" w:hAnsi="仿宋_GB2312" w:eastAsia="仿宋_GB2312" w:cs="仿宋_GB2312"/>
          <w:sz w:val="24"/>
        </w:rPr>
        <w:t>4.</w:t>
      </w:r>
      <w:r>
        <w:rPr>
          <w:rFonts w:hint="eastAsia" w:ascii="仿宋_GB2312" w:hAnsi="仿宋_GB2312" w:eastAsia="仿宋_GB2312" w:cs="仿宋_GB2312"/>
          <w:sz w:val="24"/>
        </w:rPr>
        <w:t>未经甲方书面在先同意，乙方不得将本项目的中间成果和最终成果文件及任何数据、资料、软件向任何第三方转让、授权任何第三方使用或用于本合同项目外的其他项目。</w:t>
      </w:r>
    </w:p>
    <w:p>
      <w:pPr>
        <w:spacing w:line="400" w:lineRule="exact"/>
        <w:ind w:firstLine="480" w:firstLineChars="200"/>
        <w:rPr>
          <w:rFonts w:ascii="黑体" w:hAnsi="黑体" w:eastAsia="黑体" w:cs="黑体"/>
          <w:sz w:val="24"/>
        </w:rPr>
      </w:pPr>
      <w:r>
        <w:rPr>
          <w:rFonts w:hint="eastAsia" w:ascii="黑体" w:hAnsi="黑体" w:eastAsia="黑体" w:cs="黑体"/>
          <w:sz w:val="24"/>
        </w:rPr>
        <w:t>第七条 保密条款</w:t>
      </w:r>
    </w:p>
    <w:p>
      <w:pPr>
        <w:widowControl/>
        <w:spacing w:line="400" w:lineRule="exact"/>
        <w:ind w:firstLine="480" w:firstLineChars="200"/>
        <w:rPr>
          <w:rFonts w:ascii="仿宋_GB2312" w:hAnsi="仿宋_GB2312" w:eastAsia="仿宋_GB2312" w:cs="仿宋_GB2312"/>
          <w:sz w:val="24"/>
        </w:rPr>
      </w:pPr>
      <w:bookmarkStart w:id="24" w:name="_Toc216520223"/>
      <w:r>
        <w:rPr>
          <w:rFonts w:ascii="仿宋_GB2312" w:hAnsi="仿宋_GB2312" w:eastAsia="仿宋_GB2312" w:cs="仿宋_GB2312"/>
          <w:sz w:val="24"/>
        </w:rPr>
        <w:t>1.</w:t>
      </w:r>
      <w:r>
        <w:rPr>
          <w:rFonts w:hint="eastAsia" w:ascii="仿宋_GB2312" w:hAnsi="仿宋_GB2312" w:eastAsia="仿宋_GB2312" w:cs="仿宋_GB2312"/>
          <w:sz w:val="24"/>
        </w:rPr>
        <w:t>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24"/>
    </w:p>
    <w:p>
      <w:pPr>
        <w:widowControl/>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widowControl/>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乙方须以保密方式处理在编制本项目成果文件过程中自甲方、甲方工作人员或甲方关联机构获得的相关信息、资料、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widowControl/>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乙方实施项目的程序应符合国家安全、保密的有关规定和标准。</w:t>
      </w:r>
    </w:p>
    <w:p>
      <w:pPr>
        <w:widowControl/>
        <w:spacing w:line="400" w:lineRule="exact"/>
        <w:ind w:firstLine="480" w:firstLineChars="200"/>
        <w:rPr>
          <w:rFonts w:ascii="仿宋_GB2312" w:hAnsi="仿宋_GB2312" w:eastAsia="仿宋_GB2312" w:cs="仿宋_GB2312"/>
          <w:sz w:val="24"/>
        </w:rPr>
      </w:pPr>
      <w:bookmarkStart w:id="25" w:name="_Toc216520226"/>
      <w:r>
        <w:rPr>
          <w:rFonts w:ascii="仿宋_GB2312" w:hAnsi="仿宋_GB2312" w:eastAsia="仿宋_GB2312" w:cs="仿宋_GB2312"/>
          <w:sz w:val="24"/>
        </w:rPr>
        <w:t>5.</w:t>
      </w:r>
      <w:r>
        <w:rPr>
          <w:rFonts w:hint="eastAsia" w:ascii="仿宋_GB2312" w:hAnsi="仿宋_GB2312" w:eastAsia="仿宋_GB2312" w:cs="仿宋_GB2312"/>
          <w:sz w:val="24"/>
        </w:rPr>
        <w:t>上述保密义务不适用以下情况：</w:t>
      </w:r>
      <w:bookmarkEnd w:id="25"/>
    </w:p>
    <w:p>
      <w:pPr>
        <w:widowControl/>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（1）获取的信息已被合法公开；</w:t>
      </w:r>
    </w:p>
    <w:p>
      <w:pPr>
        <w:widowControl/>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（2）获得信息拥有方书面许可并在该许可范围内披露；</w:t>
      </w:r>
    </w:p>
    <w:p>
      <w:pPr>
        <w:widowControl/>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（3）国家法律、法规规定的情形。</w:t>
      </w:r>
    </w:p>
    <w:p>
      <w:pPr>
        <w:widowControl/>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6.</w:t>
      </w:r>
      <w:r>
        <w:rPr>
          <w:rFonts w:hint="eastAsia" w:ascii="仿宋_GB2312" w:hAnsi="仿宋_GB2312" w:eastAsia="仿宋_GB2312" w:cs="仿宋_GB2312"/>
          <w:sz w:val="24"/>
        </w:rPr>
        <w:t>如乙方违反上述保密条款，甲方有权解除本合同，乙方应在合同解除通知书发出之日起10日内向甲方支付本合同服务费总金额20%的违约金，如果违约金无法弥补甲方损失，甲方保留要求乙方赔偿全部损失的权利。</w:t>
      </w:r>
    </w:p>
    <w:p>
      <w:pPr>
        <w:widowControl/>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7.</w:t>
      </w:r>
      <w:r>
        <w:rPr>
          <w:rFonts w:hint="eastAsia" w:ascii="仿宋_GB2312" w:hAnsi="仿宋_GB2312" w:eastAsia="仿宋_GB2312" w:cs="仿宋_GB2312"/>
          <w:sz w:val="24"/>
        </w:rPr>
        <w:t>本合同的保密义务包括，未经甲方许可，乙方不得就其能够获得的任何甲方客户信息、数据以及商业秘密，与任何第三方开展任何形式的合作开发或者项目研究，或者向任何第三方出售该等数据、信息。</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8.</w:t>
      </w:r>
      <w:r>
        <w:rPr>
          <w:rFonts w:hint="eastAsia" w:ascii="仿宋_GB2312" w:hAnsi="仿宋_GB2312" w:eastAsia="仿宋_GB2312" w:cs="仿宋_GB2312"/>
          <w:sz w:val="24"/>
        </w:rPr>
        <w:t>无论本合同或本合同其他条款是否有效，本保密条款始终约束双方。国家秘密的保密期限由国家有关部门确定，工作秘密的保密期限由甲方确定。</w:t>
      </w:r>
    </w:p>
    <w:p>
      <w:pPr>
        <w:spacing w:line="400" w:lineRule="exact"/>
        <w:ind w:firstLine="480" w:firstLineChars="200"/>
        <w:rPr>
          <w:rFonts w:ascii="黑体" w:hAnsi="黑体" w:eastAsia="黑体" w:cs="黑体"/>
          <w:sz w:val="24"/>
        </w:rPr>
      </w:pPr>
      <w:r>
        <w:rPr>
          <w:rFonts w:hint="eastAsia" w:ascii="黑体" w:hAnsi="黑体" w:eastAsia="黑体" w:cs="黑体"/>
          <w:sz w:val="24"/>
        </w:rPr>
        <w:t>第八条 合同金额及付款方式</w:t>
      </w:r>
    </w:p>
    <w:p>
      <w:pPr>
        <w:adjustRightInd w:val="0"/>
        <w:snapToGrid w:val="0"/>
        <w:spacing w:line="400" w:lineRule="exact"/>
        <w:ind w:firstLine="480" w:firstLineChars="200"/>
        <w:rPr>
          <w:rFonts w:ascii="仿宋_GB2312" w:hAnsi="仿宋_GB2312" w:eastAsia="仿宋_GB2312" w:cs="仿宋_GB2312"/>
          <w:sz w:val="24"/>
        </w:rPr>
      </w:pPr>
      <w:bookmarkStart w:id="26" w:name="_Hlk32923729"/>
      <w:r>
        <w:rPr>
          <w:rFonts w:hint="eastAsia" w:ascii="仿宋_GB2312" w:hAnsi="仿宋_GB2312" w:eastAsia="仿宋_GB2312" w:cs="仿宋_GB2312"/>
          <w:sz w:val="24"/>
        </w:rPr>
        <w:t>该项目合同金额为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，合同价款由甲方分2期付至乙方指定银行账户，支付比例为30%、70%，具体如下：</w:t>
      </w:r>
    </w:p>
    <w:p>
      <w:pPr>
        <w:adjustRightInd w:val="0"/>
        <w:snapToGrid w:val="0"/>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自本合同签订之日起15个工作日内，根据乙方提出的付款申请，支付合同总价款的30%；</w:t>
      </w:r>
    </w:p>
    <w:p>
      <w:pPr>
        <w:adjustRightInd w:val="0"/>
        <w:snapToGrid w:val="0"/>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乙方完成项目中的《文化软实力基地建设的路径探索：深圳前海文物艺术品“国内国际双循环”交易流通可行性研究》课题研究报告，且经甲方组织有关专家验收通过，支付剩余合同总价款的70%。</w:t>
      </w:r>
    </w:p>
    <w:p>
      <w:pPr>
        <w:adjustRightInd w:val="0"/>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上述每期款项均在满足付款条件，且甲方收到乙方开具的载明相应金额的合格发票后15个工作日内付至乙方指定银行账户。如未及时收到发票，则甲方相应付款时间顺延。若因甲方付款审批影响支付进度，不视为违约，请乙方予以谅解，并不得就此向甲方索赔。</w:t>
      </w:r>
    </w:p>
    <w:bookmarkEnd w:id="26"/>
    <w:p>
      <w:pPr>
        <w:spacing w:line="400" w:lineRule="exact"/>
        <w:ind w:firstLine="480" w:firstLineChars="200"/>
        <w:rPr>
          <w:rFonts w:ascii="黑体" w:hAnsi="黑体" w:eastAsia="黑体" w:cs="黑体"/>
          <w:sz w:val="24"/>
        </w:rPr>
      </w:pPr>
      <w:r>
        <w:rPr>
          <w:rFonts w:hint="eastAsia" w:ascii="黑体" w:hAnsi="黑体" w:eastAsia="黑体" w:cs="黑体"/>
          <w:sz w:val="24"/>
        </w:rPr>
        <w:t>第九条 合同提前终止</w:t>
      </w:r>
    </w:p>
    <w:p>
      <w:pPr>
        <w:pStyle w:val="22"/>
        <w:spacing w:line="40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双方协商同意提前终止本合同的，按双方协商约定的方式进行清算执行。</w:t>
      </w:r>
    </w:p>
    <w:p>
      <w:pPr>
        <w:pStyle w:val="22"/>
        <w:spacing w:line="40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22"/>
        <w:spacing w:line="40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有下列情形之一的，本合同自甲方向乙方发出书面通知之日起终止：</w:t>
      </w:r>
    </w:p>
    <w:p>
      <w:pPr>
        <w:pStyle w:val="22"/>
        <w:spacing w:line="40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（1）甲方的职能发生转变，不再具有委托职能；</w:t>
      </w:r>
    </w:p>
    <w:p>
      <w:pPr>
        <w:pStyle w:val="22"/>
        <w:spacing w:line="40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（2）本合同签订时适用的法律法规或政策发生变化，且对本合同的继续履行造成重大影响；</w:t>
      </w:r>
    </w:p>
    <w:p>
      <w:pPr>
        <w:pStyle w:val="22"/>
        <w:spacing w:line="40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（3）发生以上情形，甲方已向乙方支付的款项不退还，尚未支付的款项不再支付，同时乙方应向甲方提交在合同终止日前完成的所有项目文件和相关资料。</w:t>
      </w:r>
    </w:p>
    <w:p>
      <w:pPr>
        <w:pStyle w:val="22"/>
        <w:spacing w:line="40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如发生不可抗力或其他超出合同双方控制的事件，致使一方无法履行合同，本合同解除：</w:t>
      </w:r>
    </w:p>
    <w:p>
      <w:pPr>
        <w:pStyle w:val="22"/>
        <w:spacing w:line="40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22"/>
        <w:spacing w:line="40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（2）发生不可抗力，甲乙双方承担各自的损失。由于其中一方迟延履行合同义务后发生不可抗力的，其违约责任不能免除；</w:t>
      </w:r>
    </w:p>
    <w:p>
      <w:pPr>
        <w:pStyle w:val="22"/>
        <w:spacing w:line="40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400" w:lineRule="exact"/>
        <w:ind w:firstLine="480" w:firstLineChars="200"/>
        <w:rPr>
          <w:rFonts w:ascii="黑体" w:hAnsi="黑体" w:eastAsia="黑体" w:cs="黑体"/>
          <w:sz w:val="24"/>
        </w:rPr>
      </w:pPr>
      <w:r>
        <w:rPr>
          <w:rFonts w:hint="eastAsia" w:ascii="黑体" w:hAnsi="黑体" w:eastAsia="黑体" w:cs="黑体"/>
          <w:sz w:val="24"/>
        </w:rPr>
        <w:t>第十条 争议解决办法</w:t>
      </w:r>
    </w:p>
    <w:p>
      <w:pPr>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因本合同的履行发生的或与本合同有关的争议或纠纷，由甲乙双方协商解决。协商不成的，任意一方有权向深圳前海合作区人民法院提起诉讼。</w:t>
      </w:r>
    </w:p>
    <w:p>
      <w:pPr>
        <w:spacing w:line="400" w:lineRule="exact"/>
        <w:ind w:firstLine="480" w:firstLineChars="200"/>
        <w:rPr>
          <w:rFonts w:ascii="黑体" w:hAnsi="黑体" w:eastAsia="黑体" w:cs="黑体"/>
          <w:sz w:val="24"/>
        </w:rPr>
      </w:pPr>
      <w:r>
        <w:rPr>
          <w:rFonts w:hint="eastAsia" w:ascii="黑体" w:hAnsi="黑体" w:eastAsia="黑体" w:cs="黑体"/>
          <w:sz w:val="24"/>
        </w:rPr>
        <w:t>第十一条 风险责任</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１、乙方应完全地按照【QH2023113】号招标文件的要求和乙方投标文件的承诺完成本项目，出于自身财务、技术、人力等原因导致项目失败的，应承担全部责任。</w:t>
      </w:r>
    </w:p>
    <w:p>
      <w:pPr>
        <w:spacing w:line="400" w:lineRule="exact"/>
        <w:ind w:firstLine="480" w:firstLineChars="200"/>
        <w:rPr>
          <w:rFonts w:ascii="黑体" w:hAnsi="黑体" w:eastAsia="黑体" w:cs="黑体"/>
          <w:sz w:val="24"/>
        </w:rPr>
      </w:pPr>
      <w:r>
        <w:rPr>
          <w:rFonts w:hint="eastAsia" w:ascii="黑体" w:hAnsi="黑体" w:eastAsia="黑体" w:cs="黑体"/>
          <w:sz w:val="24"/>
        </w:rPr>
        <w:t>第十二条 违约责任</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如因乙方原因，乙方未按照本合同约定的时间完成本项目各阶段工作，每延迟一日，甲方有权在付款时扣除合同余款1‰的逾期违约金。如乙方已完成阶段性成果且经甲方验收合格的，乙方有权要求甲方支付该阶段成果的费用。</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如因乙方原因，造成乙方提供的成果或服务不符合本合同规定或者招标文件要求的，甲方有权拒收，乙方必须采取补救措施，费用由乙方承担，如因此造成时间延误的，乙方须按本合同的约定承担相应的违约责任。</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乙方无正当理由解除合同的，应向甲方支付合同总额20%的违约金。</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乙方违反本协议约定导致合同目的不能实现的，甲方有权解除合同，乙方应返还甲方已经支付的款项并向甲方支付合同总额20%的违约金。</w:t>
      </w:r>
    </w:p>
    <w:p>
      <w:pPr>
        <w:spacing w:line="400" w:lineRule="exact"/>
        <w:ind w:firstLine="480" w:firstLineChars="200"/>
        <w:rPr>
          <w:rFonts w:ascii="黑体" w:hAnsi="黑体" w:eastAsia="黑体" w:cs="黑体"/>
          <w:sz w:val="24"/>
        </w:rPr>
      </w:pPr>
      <w:r>
        <w:rPr>
          <w:rFonts w:hint="eastAsia" w:ascii="黑体" w:hAnsi="黑体" w:eastAsia="黑体" w:cs="黑体"/>
          <w:sz w:val="24"/>
        </w:rPr>
        <w:t>第十三条 其他</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（1）合同书及补充协议；</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（2）中标通知书；</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（3）招标文件（编号：）及其澄清、补正公告；</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（4）投标书。</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本合同附件（如有）为合同不可分割的组成部分，与本合同一并加盖骑缝章后具有同等法律效力。若附件与合同正文有任何冲突，以合同正文为准。</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本合同各条标题仅为提示之用，应以条文内容确定各方的权利义务。</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本合同未尽事宜，由双方协商签订补充协议进行约定。补充协议应以书面形式作成，经双方法定代表人或其授权代表签字、盖章后与本合同具有同等法律效力。</w:t>
      </w:r>
    </w:p>
    <w:p>
      <w:pPr>
        <w:pStyle w:val="22"/>
        <w:spacing w:line="40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本合同约定的权利和义务不因合同双方发生收购、兼并、重组、分立而发生变化。如果发生上述情形，则本合同约定的权利和义务随之转移至收购、兼并、重组或分立后成立的单位。</w:t>
      </w:r>
    </w:p>
    <w:p>
      <w:pPr>
        <w:pStyle w:val="22"/>
        <w:spacing w:line="40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本合同在国家法律、法规和规章规定的范围内执行。当国家法律、法规和规章发生变化导致本合同有关条款与之抵触时，双方协商变更或废止该条款，在此情况下，双方互不承担责任。</w:t>
      </w:r>
    </w:p>
    <w:p>
      <w:pPr>
        <w:pStyle w:val="22"/>
        <w:spacing w:line="40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rPr>
        <w:t>7.</w:t>
      </w:r>
      <w:r>
        <w:rPr>
          <w:rFonts w:hint="eastAsia" w:ascii="仿宋_GB2312" w:hAnsi="仿宋_GB2312" w:eastAsia="仿宋_GB2312" w:cs="仿宋_GB2312"/>
          <w:sz w:val="24"/>
          <w:szCs w:val="24"/>
        </w:rPr>
        <w:t>如果本合同的任何条款在任何时候变成不合法、无效或不可强制执行而不从根本上影响本合同的效力时，本合同的其他条款不受影响。</w:t>
      </w:r>
    </w:p>
    <w:p>
      <w:pPr>
        <w:pStyle w:val="22"/>
        <w:spacing w:line="40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rPr>
        <w:t>8.</w:t>
      </w:r>
      <w:r>
        <w:rPr>
          <w:rFonts w:hint="eastAsia" w:ascii="仿宋_GB2312" w:hAnsi="仿宋_GB2312" w:eastAsia="仿宋_GB2312" w:cs="仿宋_GB2312"/>
          <w:sz w:val="24"/>
          <w:szCs w:val="24"/>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2"/>
        <w:spacing w:line="40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rPr>
        <w:t>9.</w:t>
      </w:r>
      <w:r>
        <w:rPr>
          <w:rFonts w:hint="eastAsia" w:ascii="仿宋_GB2312" w:hAnsi="仿宋_GB2312" w:eastAsia="仿宋_GB2312" w:cs="仿宋_GB2312"/>
          <w:sz w:val="24"/>
          <w:szCs w:val="24"/>
        </w:rPr>
        <w:t>任何一方未经另一方同意不得向任何第三方透露本合同的签订及其内容。甲方向其关联公司透露前述内容的，不受此限。</w:t>
      </w:r>
    </w:p>
    <w:p>
      <w:pPr>
        <w:pStyle w:val="22"/>
        <w:spacing w:line="40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rPr>
        <w:t>10.</w:t>
      </w:r>
      <w:r>
        <w:rPr>
          <w:rFonts w:hint="eastAsia" w:ascii="仿宋_GB2312" w:hAnsi="仿宋_GB2312" w:eastAsia="仿宋_GB2312" w:cs="仿宋_GB2312"/>
          <w:sz w:val="24"/>
          <w:szCs w:val="24"/>
        </w:rPr>
        <w:t>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1.</w:t>
      </w:r>
      <w:r>
        <w:rPr>
          <w:rFonts w:hint="eastAsia" w:ascii="仿宋_GB2312" w:hAnsi="仿宋_GB2312" w:eastAsia="仿宋_GB2312" w:cs="仿宋_GB2312"/>
          <w:sz w:val="24"/>
        </w:rPr>
        <w:t>本合同自双方法定代表人或其授权代表签字、盖章之日起生效，有效期至最终成果通过甲方验收期满之日止。</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2.</w:t>
      </w:r>
      <w:r>
        <w:rPr>
          <w:rFonts w:hint="eastAsia" w:ascii="仿宋_GB2312" w:hAnsi="仿宋_GB2312" w:eastAsia="仿宋_GB2312" w:cs="仿宋_GB2312"/>
          <w:sz w:val="24"/>
        </w:rPr>
        <w:t>本合同一式六份，甲、乙方各执三份，均具有同等法律效力。</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（以下无正文，为签章栏）</w:t>
      </w:r>
    </w:p>
    <w:p>
      <w:pPr>
        <w:adjustRightInd w:val="0"/>
        <w:snapToGrid w:val="0"/>
        <w:spacing w:line="400" w:lineRule="exact"/>
        <w:ind w:firstLine="200"/>
        <w:rPr>
          <w:rFonts w:ascii="仿宋_GB2312" w:hAnsi="仿宋_GB2312" w:eastAsia="仿宋_GB2312" w:cs="仿宋_GB2312"/>
          <w:sz w:val="24"/>
        </w:rPr>
      </w:pPr>
    </w:p>
    <w:p>
      <w:pPr>
        <w:adjustRightInd w:val="0"/>
        <w:snapToGrid w:val="0"/>
        <w:spacing w:line="400" w:lineRule="exact"/>
        <w:ind w:left="8312" w:hanging="8312" w:hangingChars="3450"/>
        <w:rPr>
          <w:rFonts w:ascii="仿宋_GB2312" w:hAnsi="仿宋_GB2312" w:eastAsia="仿宋_GB2312" w:cs="仿宋_GB2312"/>
          <w:b/>
          <w:sz w:val="24"/>
        </w:rPr>
      </w:pPr>
      <w:r>
        <w:rPr>
          <w:rFonts w:hint="eastAsia" w:ascii="仿宋_GB2312" w:hAnsi="仿宋_GB2312" w:eastAsia="仿宋_GB2312" w:cs="仿宋_GB2312"/>
          <w:b/>
          <w:sz w:val="24"/>
        </w:rPr>
        <w:t>甲方名称：                                 乙方名称：</w:t>
      </w:r>
    </w:p>
    <w:p>
      <w:pPr>
        <w:adjustRightInd w:val="0"/>
        <w:snapToGrid w:val="0"/>
        <w:spacing w:line="400" w:lineRule="exact"/>
        <w:rPr>
          <w:rFonts w:ascii="仿宋_GB2312" w:hAnsi="仿宋_GB2312" w:eastAsia="仿宋_GB2312" w:cs="仿宋_GB2312"/>
          <w:sz w:val="24"/>
        </w:rPr>
      </w:pPr>
      <w:r>
        <w:rPr>
          <w:rFonts w:hint="eastAsia" w:ascii="仿宋_GB2312" w:hAnsi="仿宋_GB2312" w:eastAsia="仿宋_GB2312" w:cs="仿宋_GB2312"/>
          <w:sz w:val="24"/>
        </w:rPr>
        <w:t>深圳市前海深港现代服务业合作区管理局</w:t>
      </w:r>
      <w:r>
        <w:rPr>
          <w:rFonts w:hint="eastAsia" w:ascii="仿宋_GB2312" w:hAnsi="仿宋_GB2312" w:eastAsia="仿宋_GB2312" w:cs="仿宋_GB2312"/>
          <w:sz w:val="24"/>
        </w:rPr>
        <w:tab/>
      </w:r>
      <w:r>
        <w:rPr>
          <w:rFonts w:hint="eastAsia" w:ascii="仿宋_GB2312" w:hAnsi="仿宋_GB2312" w:eastAsia="仿宋_GB2312" w:cs="仿宋_GB2312"/>
          <w:sz w:val="24"/>
        </w:rPr>
        <w:t xml:space="preserve">     xxxxxxxxxx</w:t>
      </w:r>
    </w:p>
    <w:p>
      <w:pPr>
        <w:adjustRightInd w:val="0"/>
        <w:snapToGrid w:val="0"/>
        <w:spacing w:line="400" w:lineRule="exact"/>
        <w:ind w:firstLine="200"/>
        <w:rPr>
          <w:rFonts w:ascii="仿宋_GB2312" w:hAnsi="仿宋_GB2312" w:eastAsia="仿宋_GB2312" w:cs="仿宋_GB2312"/>
          <w:sz w:val="24"/>
        </w:rPr>
      </w:pPr>
      <w:r>
        <w:rPr>
          <w:rFonts w:hint="eastAsia" w:ascii="仿宋_GB2312" w:hAnsi="仿宋_GB2312" w:eastAsia="仿宋_GB2312" w:cs="仿宋_GB2312"/>
          <w:sz w:val="24"/>
        </w:rPr>
        <w:t>（盖章）</w:t>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 xml:space="preserve">           （盖章）</w:t>
      </w:r>
    </w:p>
    <w:p>
      <w:pPr>
        <w:adjustRightInd w:val="0"/>
        <w:snapToGrid w:val="0"/>
        <w:spacing w:line="400" w:lineRule="exact"/>
        <w:ind w:firstLine="200"/>
        <w:rPr>
          <w:rFonts w:ascii="仿宋_GB2312" w:hAnsi="仿宋_GB2312" w:eastAsia="仿宋_GB2312" w:cs="仿宋_GB2312"/>
          <w:sz w:val="24"/>
        </w:rPr>
      </w:pPr>
    </w:p>
    <w:p>
      <w:pPr>
        <w:adjustRightInd w:val="0"/>
        <w:snapToGrid w:val="0"/>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法定代表人或授权代表：（签字） </w:t>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 xml:space="preserve">     法定代表人或授权代表：（签字）</w:t>
      </w:r>
    </w:p>
    <w:p>
      <w:pPr>
        <w:widowControl/>
        <w:adjustRightInd w:val="0"/>
        <w:snapToGrid w:val="0"/>
        <w:spacing w:line="400" w:lineRule="exact"/>
        <w:ind w:firstLine="200"/>
        <w:jc w:val="left"/>
        <w:rPr>
          <w:rFonts w:ascii="仿宋_GB2312" w:hAnsi="仿宋_GB2312" w:eastAsia="仿宋_GB2312" w:cs="仿宋_GB2312"/>
          <w:sz w:val="24"/>
        </w:rPr>
      </w:pPr>
    </w:p>
    <w:p>
      <w:pPr>
        <w:adjustRightInd w:val="0"/>
        <w:snapToGrid w:val="0"/>
        <w:spacing w:line="400" w:lineRule="exact"/>
        <w:rPr>
          <w:rFonts w:ascii="仿宋_GB2312" w:hAnsi="仿宋_GB2312" w:eastAsia="仿宋_GB2312" w:cs="仿宋_GB2312"/>
          <w:sz w:val="24"/>
        </w:rPr>
      </w:pPr>
      <w:r>
        <w:rPr>
          <w:rFonts w:hint="eastAsia" w:ascii="仿宋_GB2312" w:hAnsi="仿宋_GB2312" w:eastAsia="仿宋_GB2312" w:cs="仿宋_GB2312"/>
          <w:sz w:val="24"/>
        </w:rPr>
        <w:t>日期：                                       日期：</w:t>
      </w:r>
    </w:p>
    <w:p>
      <w:pPr>
        <w:adjustRightInd w:val="0"/>
        <w:snapToGrid w:val="0"/>
        <w:spacing w:line="400" w:lineRule="exact"/>
        <w:rPr>
          <w:rFonts w:ascii="仿宋_GB2312" w:hAnsi="仿宋_GB2312" w:eastAsia="仿宋_GB2312" w:cs="仿宋_GB2312"/>
          <w:sz w:val="24"/>
        </w:rPr>
      </w:pPr>
      <w:r>
        <w:rPr>
          <w:rFonts w:hint="eastAsia" w:ascii="仿宋_GB2312" w:hAnsi="仿宋_GB2312" w:eastAsia="仿宋_GB2312" w:cs="仿宋_GB2312"/>
          <w:sz w:val="24"/>
        </w:rPr>
        <w:t>注：本合同样本仅供参考，非实质性条款内容可由采购单位和中标单位协商确定。</w:t>
      </w:r>
    </w:p>
    <w:p>
      <w:pPr>
        <w:numPr>
          <w:ilvl w:val="0"/>
          <w:numId w:val="1"/>
        </w:numPr>
        <w:spacing w:line="360" w:lineRule="auto"/>
        <w:jc w:val="center"/>
        <w:outlineLvl w:val="0"/>
        <w:rPr>
          <w:rFonts w:ascii="宋体" w:hAnsi="宋体" w:cs="宋体"/>
          <w:b/>
          <w:bCs/>
          <w:sz w:val="24"/>
        </w:rPr>
        <w:sectPr>
          <w:pgSz w:w="11906" w:h="16838"/>
          <w:pgMar w:top="1440" w:right="1633" w:bottom="1440" w:left="1633" w:header="851" w:footer="992" w:gutter="0"/>
          <w:cols w:space="720" w:num="1"/>
          <w:docGrid w:type="lines" w:linePitch="312" w:charSpace="0"/>
        </w:sectPr>
      </w:pPr>
    </w:p>
    <w:p>
      <w:pPr>
        <w:numPr>
          <w:ilvl w:val="255"/>
          <w:numId w:val="0"/>
        </w:numPr>
        <w:spacing w:line="360" w:lineRule="auto"/>
        <w:jc w:val="center"/>
        <w:outlineLvl w:val="0"/>
        <w:rPr>
          <w:rFonts w:ascii="宋体" w:hAnsi="宋体" w:cs="宋体"/>
          <w:b/>
          <w:bCs/>
          <w:sz w:val="36"/>
          <w:szCs w:val="36"/>
        </w:rPr>
      </w:pPr>
      <w:r>
        <w:rPr>
          <w:rFonts w:ascii="宋体" w:hAnsi="宋体" w:cs="宋体"/>
          <w:b/>
          <w:bCs/>
          <w:sz w:val="36"/>
          <w:szCs w:val="36"/>
        </w:rPr>
        <w:t xml:space="preserve"> </w:t>
      </w:r>
      <w:bookmarkStart w:id="27" w:name="_Toc8058472"/>
      <w:bookmarkStart w:id="28" w:name="_Toc838053707"/>
      <w:bookmarkStart w:id="29" w:name="_Toc793"/>
      <w:r>
        <w:rPr>
          <w:rFonts w:ascii="宋体" w:hAnsi="宋体" w:cs="宋体"/>
          <w:b/>
          <w:bCs/>
          <w:sz w:val="36"/>
          <w:szCs w:val="36"/>
        </w:rPr>
        <w:t>第五章 用户需求书</w:t>
      </w:r>
      <w:bookmarkEnd w:id="27"/>
      <w:bookmarkEnd w:id="28"/>
      <w:bookmarkEnd w:id="29"/>
    </w:p>
    <w:p>
      <w:pPr>
        <w:pStyle w:val="23"/>
        <w:tabs>
          <w:tab w:val="left" w:pos="720"/>
        </w:tabs>
        <w:autoSpaceDE w:val="0"/>
        <w:autoSpaceDN w:val="0"/>
        <w:adjustRightInd w:val="0"/>
        <w:spacing w:line="400" w:lineRule="exact"/>
        <w:ind w:firstLine="480"/>
        <w:outlineLvl w:val="1"/>
        <w:rPr>
          <w:rFonts w:ascii="黑体" w:hAnsi="黑体" w:eastAsia="黑体" w:cs="黑体"/>
          <w:bCs/>
          <w:sz w:val="24"/>
        </w:rPr>
      </w:pPr>
      <w:bookmarkStart w:id="30" w:name="_Toc23726"/>
      <w:bookmarkStart w:id="31" w:name="_Toc11045"/>
      <w:r>
        <w:rPr>
          <w:rFonts w:hint="eastAsia" w:ascii="黑体" w:hAnsi="黑体" w:eastAsia="黑体" w:cs="黑体"/>
          <w:bCs/>
          <w:sz w:val="24"/>
        </w:rPr>
        <w:t>一、</w:t>
      </w:r>
      <w:bookmarkEnd w:id="30"/>
      <w:bookmarkEnd w:id="31"/>
      <w:bookmarkStart w:id="32" w:name="_Toc96337997"/>
      <w:bookmarkStart w:id="33" w:name="_Toc51746099"/>
      <w:r>
        <w:rPr>
          <w:rFonts w:hint="eastAsia" w:ascii="黑体" w:hAnsi="黑体" w:eastAsia="黑体" w:cs="黑体"/>
          <w:bCs/>
          <w:sz w:val="24"/>
        </w:rPr>
        <w:t>项目背景</w:t>
      </w:r>
      <w:bookmarkEnd w:id="32"/>
      <w:r>
        <w:rPr>
          <w:rFonts w:hint="eastAsia" w:ascii="黑体" w:hAnsi="黑体" w:eastAsia="黑体" w:cs="黑体"/>
          <w:bCs/>
          <w:sz w:val="24"/>
        </w:rPr>
        <w:t>及内容</w:t>
      </w:r>
    </w:p>
    <w:p>
      <w:pPr>
        <w:spacing w:line="400" w:lineRule="exact"/>
        <w:ind w:firstLine="480" w:firstLineChars="200"/>
        <w:rPr>
          <w:rFonts w:ascii="仿宋_GB2312" w:hAnsi="仿宋_GB2312" w:eastAsia="仿宋_GB2312" w:cs="仿宋_GB2312"/>
          <w:kern w:val="0"/>
          <w:sz w:val="24"/>
        </w:rPr>
      </w:pPr>
      <w:r>
        <w:rPr>
          <w:rFonts w:hint="eastAsia" w:ascii="楷体_GB2312" w:hAnsi="楷体_GB2312" w:eastAsia="楷体_GB2312" w:cs="楷体_GB2312"/>
          <w:kern w:val="0"/>
          <w:sz w:val="24"/>
          <w:szCs w:val="20"/>
        </w:rPr>
        <w:t>（一）项目背景</w:t>
      </w:r>
      <w:r>
        <w:rPr>
          <w:rFonts w:ascii="楷体_GB2312" w:hAnsi="楷体_GB2312" w:eastAsia="楷体_GB2312" w:cs="楷体_GB2312"/>
          <w:kern w:val="0"/>
          <w:sz w:val="24"/>
          <w:szCs w:val="20"/>
        </w:rPr>
        <w:t>。</w:t>
      </w:r>
      <w:r>
        <w:rPr>
          <w:rFonts w:hint="eastAsia" w:ascii="仿宋_GB2312" w:hAnsi="仿宋_GB2312" w:eastAsia="仿宋_GB2312" w:cs="仿宋_GB2312"/>
          <w:kern w:val="0"/>
          <w:sz w:val="24"/>
        </w:rPr>
        <w:t>党的二十大报告强调，不断提升国家文化软实力和中华文化影响力,大力发展文化事业和文化产业。在粤港澳大湾区的战略指引下, 《全面深化前海深港现代服务业合作区改革开放方案》提出“稳妥有序扩大文化领域对外开放, 建设多种文化开放共荣的文化交流互鉴平台,打造文化软实力基地”,为前海文化建设提供了根本遵循和重要支撑。根据前海合作区党工委 深圳市前海管理局印发《前海合作区党工委 深圳市前海管理局2023年度课题研究计划》部署安排，拟开展《文化软实力基地建设的路径探索：深圳前海文物艺术品“国内国际双循环”交易流通可行性研究》课题研究项目，结合打造文化软实力基地的战略任务,探讨前海建立国际艺术品交易中心的可行性与必要性,探索打造国际艺术品交易流通高地的方法与途径,研究实现前海“建设国际艺术品交易中心、建立多种文化交流互鉴平台、打造文化软实力基地”目标的策略与建议, 促进国际艺术品依法交易、规范流通、有序发展。</w:t>
      </w:r>
    </w:p>
    <w:p>
      <w:pPr>
        <w:spacing w:line="400" w:lineRule="exact"/>
        <w:ind w:firstLine="480" w:firstLineChars="200"/>
        <w:rPr>
          <w:rFonts w:ascii="仿宋_GB2312" w:hAnsi="仿宋_GB2312" w:eastAsia="仿宋_GB2312" w:cs="仿宋_GB2312"/>
          <w:sz w:val="24"/>
        </w:rPr>
      </w:pPr>
      <w:r>
        <w:rPr>
          <w:rFonts w:hint="eastAsia" w:ascii="楷体_GB2312" w:hAnsi="楷体_GB2312" w:eastAsia="楷体_GB2312" w:cs="楷体_GB2312"/>
          <w:kern w:val="0"/>
          <w:sz w:val="24"/>
          <w:szCs w:val="20"/>
        </w:rPr>
        <w:t>（二）项目目标</w:t>
      </w:r>
      <w:r>
        <w:rPr>
          <w:rFonts w:ascii="楷体_GB2312" w:hAnsi="楷体_GB2312" w:eastAsia="楷体_GB2312" w:cs="楷体_GB2312"/>
          <w:kern w:val="0"/>
          <w:sz w:val="24"/>
          <w:szCs w:val="20"/>
        </w:rPr>
        <w:t>。</w:t>
      </w:r>
      <w:r>
        <w:rPr>
          <w:rFonts w:hint="eastAsia" w:ascii="仿宋_GB2312" w:hAnsi="仿宋_GB2312" w:eastAsia="仿宋_GB2312" w:cs="仿宋_GB2312"/>
          <w:sz w:val="24"/>
        </w:rPr>
        <w:t>研究实现前海“建设国际艺术品交易中心、建立多种文化交流互鉴平台、打造文化软实力基地”目标的策略与建议, 促进国际艺术品依法交易、规范流通、有序发展。</w:t>
      </w:r>
    </w:p>
    <w:p>
      <w:pPr>
        <w:pStyle w:val="22"/>
        <w:spacing w:line="400" w:lineRule="exact"/>
        <w:ind w:firstLine="480"/>
        <w:rPr>
          <w:rFonts w:ascii="仿宋_GB2312" w:hAnsi="仿宋_GB2312" w:eastAsia="仿宋_GB2312" w:cs="仿宋_GB2312"/>
          <w:sz w:val="24"/>
          <w:szCs w:val="24"/>
        </w:rPr>
      </w:pPr>
      <w:r>
        <w:rPr>
          <w:rFonts w:hint="eastAsia" w:ascii="楷体_GB2312" w:hAnsi="楷体_GB2312" w:eastAsia="楷体_GB2312" w:cs="楷体_GB2312"/>
          <w:sz w:val="24"/>
        </w:rPr>
        <w:t>（三）项目内容（包括但不限于）</w:t>
      </w:r>
      <w:r>
        <w:rPr>
          <w:rFonts w:ascii="楷体_GB2312" w:hAnsi="楷体_GB2312" w:eastAsia="楷体_GB2312" w:cs="楷体_GB2312"/>
          <w:sz w:val="24"/>
        </w:rPr>
        <w:t>。</w:t>
      </w:r>
      <w:r>
        <w:rPr>
          <w:rFonts w:hint="eastAsia" w:ascii="仿宋_GB2312" w:hAnsi="仿宋_GB2312" w:eastAsia="仿宋_GB2312" w:cs="仿宋_GB2312"/>
          <w:sz w:val="24"/>
          <w:szCs w:val="24"/>
        </w:rPr>
        <w:t>梳理国内外艺术品市场的基本情况、政策环境及发展趋势,概括艺术品市场对于推动文化事业与文化产业共同发展的重要意义。总结国际艺术品流通的先进经验与成熟做法,为前海建设国际艺术品集散地提供借鉴参考。探索构建前海国际艺术品交易流通平台与体制机制,提出促进国际艺术品交易流通的政策建议。</w:t>
      </w:r>
    </w:p>
    <w:bookmarkEnd w:id="33"/>
    <w:p>
      <w:pPr>
        <w:pStyle w:val="22"/>
        <w:spacing w:line="400" w:lineRule="exact"/>
        <w:ind w:firstLine="480"/>
        <w:rPr>
          <w:rFonts w:ascii="仿宋_GB2312" w:hAnsi="仿宋_GB2312" w:eastAsia="仿宋_GB2312" w:cs="仿宋_GB2312"/>
          <w:sz w:val="24"/>
          <w:szCs w:val="24"/>
        </w:rPr>
      </w:pPr>
      <w:r>
        <w:rPr>
          <w:rFonts w:hint="eastAsia" w:ascii="楷体_GB2312" w:hAnsi="楷体_GB2312" w:eastAsia="楷体_GB2312" w:cs="楷体_GB2312"/>
          <w:sz w:val="24"/>
        </w:rPr>
        <w:t>（四）项目成果及验收</w:t>
      </w:r>
      <w:r>
        <w:rPr>
          <w:rFonts w:ascii="楷体_GB2312" w:hAnsi="楷体_GB2312" w:eastAsia="楷体_GB2312" w:cs="楷体_GB2312"/>
          <w:sz w:val="24"/>
        </w:rPr>
        <w:t>。</w:t>
      </w:r>
      <w:r>
        <w:rPr>
          <w:rFonts w:hint="eastAsia" w:ascii="仿宋_GB2312" w:hAnsi="仿宋_GB2312" w:eastAsia="仿宋_GB2312" w:cs="仿宋_GB2312"/>
          <w:sz w:val="24"/>
        </w:rPr>
        <w:t>最终提交《文化软实力基地建设的路径探索：深圳前海文物艺术品“国内国际双循环”交易流通可行性研究》课题研究报告1套，分别以书面形式和电子文件形式提交，且经中期抽查及第三方查重系统查重后课题内容重复率不得超过20%，</w:t>
      </w:r>
      <w:r>
        <w:rPr>
          <w:rFonts w:hint="eastAsia" w:ascii="仿宋_GB2312" w:hAnsi="仿宋_GB2312" w:eastAsia="仿宋_GB2312" w:cs="仿宋_GB2312"/>
          <w:sz w:val="24"/>
          <w:szCs w:val="24"/>
        </w:rPr>
        <w:t>最后</w:t>
      </w:r>
      <w:r>
        <w:rPr>
          <w:rFonts w:hint="eastAsia" w:ascii="仿宋_GB2312" w:hAnsi="仿宋_GB2312" w:eastAsia="仿宋_GB2312" w:cs="仿宋_GB2312"/>
          <w:sz w:val="24"/>
        </w:rPr>
        <w:t>由采购单位组织有关外部专家评审验收，验收依据为合同及国家和行业有关规范、规程和标准。</w:t>
      </w:r>
    </w:p>
    <w:p>
      <w:pPr>
        <w:pStyle w:val="23"/>
        <w:spacing w:line="400" w:lineRule="exact"/>
        <w:ind w:firstLine="480"/>
        <w:rPr>
          <w:rFonts w:ascii="黑体" w:hAnsi="黑体" w:eastAsia="黑体" w:cs="黑体"/>
          <w:bCs/>
          <w:sz w:val="24"/>
        </w:rPr>
      </w:pPr>
      <w:r>
        <w:rPr>
          <w:rFonts w:hint="eastAsia" w:ascii="黑体" w:hAnsi="黑体" w:eastAsia="黑体" w:cs="黑体"/>
          <w:bCs/>
          <w:sz w:val="24"/>
        </w:rPr>
        <w:t>二、商务要求</w:t>
      </w:r>
    </w:p>
    <w:p>
      <w:pPr>
        <w:spacing w:line="400" w:lineRule="exact"/>
        <w:ind w:firstLine="480" w:firstLineChars="200"/>
        <w:rPr>
          <w:rFonts w:ascii="楷体_GB2312" w:hAnsi="楷体_GB2312" w:eastAsia="楷体_GB2312" w:cs="楷体_GB2312"/>
          <w:kern w:val="0"/>
          <w:sz w:val="24"/>
          <w:szCs w:val="20"/>
        </w:rPr>
      </w:pPr>
      <w:r>
        <w:rPr>
          <w:rFonts w:hint="eastAsia" w:ascii="楷体_GB2312" w:hAnsi="楷体_GB2312" w:eastAsia="楷体_GB2312" w:cs="楷体_GB2312"/>
          <w:kern w:val="0"/>
          <w:sz w:val="24"/>
          <w:szCs w:val="20"/>
        </w:rPr>
        <w:t>（一）服务期限及要求</w:t>
      </w:r>
    </w:p>
    <w:p>
      <w:pPr>
        <w:spacing w:line="400" w:lineRule="exact"/>
        <w:ind w:firstLine="480" w:firstLineChars="200"/>
        <w:rPr>
          <w:rFonts w:ascii="仿宋_GB2312" w:hAnsi="仿宋_GB2312" w:eastAsia="仿宋_GB2312" w:cs="仿宋_GB2312"/>
          <w:bCs/>
          <w:kern w:val="0"/>
          <w:sz w:val="24"/>
          <w:szCs w:val="20"/>
        </w:rPr>
      </w:pPr>
      <w:r>
        <w:rPr>
          <w:rFonts w:hint="eastAsia" w:ascii="仿宋_GB2312" w:hAnsi="仿宋_GB2312" w:eastAsia="仿宋_GB2312" w:cs="仿宋_GB2312"/>
          <w:bCs/>
          <w:kern w:val="0"/>
          <w:sz w:val="24"/>
          <w:szCs w:val="20"/>
        </w:rPr>
        <w:t>1.本项目工作期限为自合同签订之日起至课题研究报告验收合格当天止。</w:t>
      </w:r>
    </w:p>
    <w:p>
      <w:pPr>
        <w:spacing w:line="400" w:lineRule="exact"/>
        <w:ind w:firstLine="480" w:firstLineChars="200"/>
        <w:rPr>
          <w:rFonts w:ascii="仿宋_GB2312" w:hAnsi="仿宋_GB2312" w:eastAsia="仿宋_GB2312" w:cs="仿宋_GB2312"/>
          <w:bCs/>
          <w:kern w:val="0"/>
          <w:sz w:val="24"/>
          <w:szCs w:val="20"/>
        </w:rPr>
      </w:pPr>
      <w:r>
        <w:rPr>
          <w:rFonts w:hint="eastAsia" w:ascii="仿宋_GB2312" w:hAnsi="仿宋_GB2312" w:eastAsia="仿宋_GB2312" w:cs="仿宋_GB2312"/>
          <w:bCs/>
          <w:kern w:val="0"/>
          <w:sz w:val="24"/>
          <w:szCs w:val="20"/>
        </w:rPr>
        <w:t>2.项目售后服务期限自最终成果通过采购单位审查之日起的半年内，中标单位须与采购单位保持全面沟通，提供技术服务支持。</w:t>
      </w:r>
    </w:p>
    <w:p>
      <w:pPr>
        <w:spacing w:line="400" w:lineRule="exact"/>
        <w:ind w:firstLine="480" w:firstLineChars="200"/>
        <w:rPr>
          <w:rFonts w:ascii="楷体_GB2312" w:hAnsi="楷体_GB2312" w:eastAsia="楷体_GB2312" w:cs="楷体_GB2312"/>
          <w:kern w:val="0"/>
          <w:sz w:val="24"/>
          <w:szCs w:val="20"/>
        </w:rPr>
      </w:pPr>
      <w:r>
        <w:rPr>
          <w:rFonts w:hint="eastAsia" w:ascii="楷体_GB2312" w:hAnsi="楷体_GB2312" w:eastAsia="楷体_GB2312" w:cs="楷体_GB2312"/>
          <w:kern w:val="0"/>
          <w:sz w:val="24"/>
          <w:szCs w:val="20"/>
        </w:rPr>
        <w:t>（二）报价要求</w:t>
      </w:r>
    </w:p>
    <w:p>
      <w:pPr>
        <w:spacing w:line="400" w:lineRule="exact"/>
        <w:ind w:firstLine="480" w:firstLineChars="200"/>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1.本次投标为总价包干，投标报价包括了投标人完成本招标项目而发生的全部费用，包括服务费、中标服务费、各种资料费、保险、税金、出差（如需）等所有费用，并提供合同要求的报告、全部成果文件和全部相关资料，以及其它相关服务的全部费用。</w:t>
      </w:r>
    </w:p>
    <w:p>
      <w:pPr>
        <w:spacing w:line="400" w:lineRule="exact"/>
        <w:ind w:firstLine="480" w:firstLineChars="200"/>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2.投标人应根据本机构的成本自行决定报价，不得以低于服务成本的报价投标。</w:t>
      </w:r>
    </w:p>
    <w:p>
      <w:pPr>
        <w:spacing w:line="400" w:lineRule="exact"/>
        <w:ind w:firstLine="480" w:firstLineChars="200"/>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3.投标人不得期望通过索赔等方式获取补偿，否则，除可能遭到拒绝外，还可能将被作为不良行为记录在案，并可能影响其以后参加政府采购的项目投标。各投标人在投标报价时，应充分考虑投标报价的风险。</w:t>
      </w:r>
    </w:p>
    <w:p>
      <w:pPr>
        <w:spacing w:line="400" w:lineRule="exact"/>
        <w:ind w:firstLine="480" w:firstLineChars="200"/>
        <w:rPr>
          <w:rFonts w:ascii="仿宋_GB2312" w:hAnsi="仿宋_GB2312" w:eastAsia="仿宋_GB2312" w:cs="仿宋_GB2312"/>
          <w:b/>
          <w:bCs/>
          <w:kern w:val="0"/>
          <w:sz w:val="24"/>
          <w:szCs w:val="20"/>
          <w:highlight w:val="magenta"/>
        </w:rPr>
      </w:pPr>
      <w:r>
        <w:rPr>
          <w:rFonts w:hint="eastAsia" w:ascii="楷体_GB2312" w:hAnsi="楷体_GB2312" w:eastAsia="楷体_GB2312" w:cs="楷体_GB2312"/>
          <w:kern w:val="0"/>
          <w:sz w:val="24"/>
          <w:szCs w:val="20"/>
        </w:rPr>
        <w:t xml:space="preserve">（三）付款方式  </w:t>
      </w:r>
      <w:r>
        <w:rPr>
          <w:rFonts w:hint="eastAsia" w:ascii="仿宋_GB2312" w:hAnsi="仿宋_GB2312" w:eastAsia="仿宋_GB2312" w:cs="仿宋_GB2312"/>
          <w:b/>
          <w:bCs/>
          <w:kern w:val="0"/>
          <w:sz w:val="24"/>
          <w:szCs w:val="20"/>
        </w:rPr>
        <w:t xml:space="preserve"> </w:t>
      </w:r>
    </w:p>
    <w:p>
      <w:pPr>
        <w:adjustRightInd w:val="0"/>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该项目合同金额为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，合同价款由采购单位分2期付至中标单位指定银行账户，支付比例为30%、70%，具体如下：</w:t>
      </w:r>
    </w:p>
    <w:p>
      <w:pPr>
        <w:adjustRightInd w:val="0"/>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1.自本合同签订之日起15个工作日内，根据中标单位提出的付款申请，支付合同总价款的30%；</w:t>
      </w:r>
    </w:p>
    <w:p>
      <w:pPr>
        <w:adjustRightInd w:val="0"/>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2.中标单位完成项目中的《文化软实力基地建设的路径探索：深圳前海文物艺术品“国内国际双循环”交易流通可行性研究》课题研究报告，且经采购单位组织有关专家验收通过，支付剩余合同总价款的70%。</w:t>
      </w:r>
    </w:p>
    <w:p>
      <w:pPr>
        <w:spacing w:line="400" w:lineRule="exact"/>
        <w:ind w:firstLine="480" w:firstLineChars="200"/>
        <w:rPr>
          <w:rFonts w:ascii="仿宋_GB2312" w:hAnsi="仿宋_GB2312" w:eastAsia="仿宋_GB2312" w:cs="仿宋_GB2312"/>
          <w:b/>
          <w:bCs/>
          <w:kern w:val="0"/>
          <w:sz w:val="24"/>
          <w:szCs w:val="20"/>
        </w:rPr>
      </w:pPr>
      <w:r>
        <w:rPr>
          <w:rFonts w:hint="eastAsia" w:ascii="仿宋_GB2312" w:hAnsi="仿宋_GB2312" w:eastAsia="仿宋_GB2312" w:cs="仿宋_GB2312"/>
          <w:sz w:val="24"/>
        </w:rPr>
        <w:t>上述每期款项均在满足付款条件，且采购单位收到中标单位开具的载明相应金额的合格发票后15个工作日内付至中标单位指定银行账户。如未及时收到发票，则采购单位相应付款时间顺延。若因采购单位付款审批影响支付进度，不视为违约，请中标单位予以谅解，并不得就此向采购单位索赔。</w:t>
      </w:r>
    </w:p>
    <w:p>
      <w:pPr>
        <w:spacing w:line="400" w:lineRule="exact"/>
        <w:ind w:firstLine="480" w:firstLineChars="200"/>
        <w:rPr>
          <w:rFonts w:ascii="楷体_GB2312" w:hAnsi="楷体_GB2312" w:eastAsia="楷体_GB2312" w:cs="楷体_GB2312"/>
          <w:kern w:val="0"/>
          <w:sz w:val="24"/>
          <w:szCs w:val="20"/>
        </w:rPr>
      </w:pPr>
      <w:r>
        <w:rPr>
          <w:rFonts w:hint="eastAsia" w:ascii="楷体_GB2312" w:hAnsi="楷体_GB2312" w:eastAsia="楷体_GB2312" w:cs="楷体_GB2312"/>
          <w:kern w:val="0"/>
          <w:sz w:val="24"/>
          <w:szCs w:val="20"/>
        </w:rPr>
        <w:t>（四）成果权属与知识产权</w:t>
      </w:r>
    </w:p>
    <w:p>
      <w:pPr>
        <w:spacing w:line="400" w:lineRule="exact"/>
        <w:ind w:firstLine="480" w:firstLineChars="200"/>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1.双方对本合同有关的知识产权以及与之相关的所有权利归属约定如下： 本项目全部阶段性成果和最终成果（包括为后续服务范围所编制的文件）的知识产权以及与之相关的所有权利归采购单位所有；本合同签署前双方已经拥有的知识产权权利，仍归各自所有。</w:t>
      </w:r>
    </w:p>
    <w:p>
      <w:pPr>
        <w:spacing w:line="400" w:lineRule="exact"/>
        <w:ind w:firstLine="480" w:firstLineChars="200"/>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2.双方确定，采购单位有权利用中标单位按照本合同约定提供的项目成果，进行后续改进。由此产生的具有实质性或创造性技术进步特征的新的技术成果及其权利归属，全部由采购单位享有。具体相关利益的分配办法如下：采购单位100%。</w:t>
      </w:r>
    </w:p>
    <w:p>
      <w:pPr>
        <w:spacing w:line="400" w:lineRule="exact"/>
        <w:ind w:firstLine="480" w:firstLineChars="200"/>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3.中标单位所提交的全部中间成果和最终成果文件及任何数据、资料、软件等不得侵犯任何第三方的知识产权或其他权利，由于该等文件、数据、资料、软件侵权所导致的任何索赔或责任均由中标单位承担，同时，采购单位保留要求中标单位赔偿相应损失的权利，包括但不限于上述索赔或责任所产生的诉讼费用、合理的律师费用、鉴定评估费用、调查费用、和解金额或生效法律文书中规定的赔偿金额。</w:t>
      </w:r>
    </w:p>
    <w:p>
      <w:pPr>
        <w:spacing w:line="400" w:lineRule="exact"/>
        <w:ind w:firstLine="480" w:firstLineChars="200"/>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4.未经采购单位书面在先同意，中标单位不得将本项目的中间成果和最终成果文件及任何数据、资料、软件向任何第三方转让、授权任何第三方使用或用于本合同项目外的其他项目。</w:t>
      </w:r>
    </w:p>
    <w:p>
      <w:pPr>
        <w:spacing w:line="400" w:lineRule="exact"/>
        <w:ind w:firstLine="480" w:firstLineChars="200"/>
        <w:rPr>
          <w:rFonts w:ascii="楷体_GB2312" w:hAnsi="楷体_GB2312" w:eastAsia="楷体_GB2312" w:cs="楷体_GB2312"/>
          <w:kern w:val="0"/>
          <w:sz w:val="24"/>
          <w:szCs w:val="20"/>
        </w:rPr>
      </w:pPr>
      <w:r>
        <w:rPr>
          <w:rFonts w:hint="eastAsia" w:ascii="楷体_GB2312" w:hAnsi="楷体_GB2312" w:eastAsia="楷体_GB2312" w:cs="楷体_GB2312"/>
          <w:kern w:val="0"/>
          <w:sz w:val="24"/>
          <w:szCs w:val="20"/>
        </w:rPr>
        <w:t>（五）保密条款</w:t>
      </w:r>
    </w:p>
    <w:p>
      <w:pPr>
        <w:spacing w:line="400" w:lineRule="exact"/>
        <w:ind w:firstLine="480" w:firstLineChars="200"/>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1.中标单位、采购单位双方应保守的秘密是指不为公众所知悉、能为权利人带来经济利益、具有实用性并经权利人采取保密措施的技术信息和经营信息，或由甲乙双方在履行本合同过程中明确指明为秘密的、法律所认可的任何信息，以及中标单位在履行本合同过程中所获得或接触到的任何采购单位内部数据资料。</w:t>
      </w:r>
    </w:p>
    <w:p>
      <w:pPr>
        <w:spacing w:line="400" w:lineRule="exact"/>
        <w:ind w:firstLine="480" w:firstLineChars="200"/>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spacing w:line="400" w:lineRule="exact"/>
        <w:ind w:firstLine="480" w:firstLineChars="200"/>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3.中标单位须以保密方式处理在编制本项目成果文件过程中自采购单位、采购单位工作人员或采购单位关联机构获得的相关信息、资料、数据等，或由采购单位在履行本合同过程中明确指明为秘密的任何信息,以及中标单位因本项目工作所直接或间接取得、处理或接触的任何其他资料。未经采购单位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采购单位书面在先同意，中标单位不得向任何第三方透露与本项目有关的内容，或公开本项目任何中间成果或最终成果。</w:t>
      </w:r>
    </w:p>
    <w:p>
      <w:pPr>
        <w:spacing w:line="400" w:lineRule="exact"/>
        <w:ind w:firstLine="480" w:firstLineChars="200"/>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4.中标单位实施项目的程序应符合国家安全、保密的有关规定和标准。</w:t>
      </w:r>
    </w:p>
    <w:p>
      <w:pPr>
        <w:spacing w:line="400" w:lineRule="exact"/>
        <w:ind w:firstLine="480" w:firstLineChars="200"/>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5.上述保密义务不适用以下情况：</w:t>
      </w:r>
    </w:p>
    <w:p>
      <w:pPr>
        <w:spacing w:line="400" w:lineRule="exact"/>
        <w:ind w:firstLine="480" w:firstLineChars="200"/>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（1）获取的信息已被合法公开；</w:t>
      </w:r>
    </w:p>
    <w:p>
      <w:pPr>
        <w:spacing w:line="400" w:lineRule="exact"/>
        <w:ind w:firstLine="480" w:firstLineChars="200"/>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（2）获得信息拥有方书面许可并在该许可范围内披露；</w:t>
      </w:r>
    </w:p>
    <w:p>
      <w:pPr>
        <w:spacing w:line="400" w:lineRule="exact"/>
        <w:ind w:firstLine="480" w:firstLineChars="200"/>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（3）国家法律、法规规定的情形。</w:t>
      </w:r>
    </w:p>
    <w:p>
      <w:pPr>
        <w:spacing w:line="400" w:lineRule="exact"/>
        <w:ind w:firstLine="480" w:firstLineChars="200"/>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6.如中标单位违反上述保密条款，采购单位有权解除本合同，中标单位应在合同解除通知发出之日起10日内向采购单位支付本合同服务费总金额20%的违约金，如果违约金无法弥补采购单位损失，采购单位保留要求中标单位赔偿全部损失的权利。</w:t>
      </w:r>
    </w:p>
    <w:p>
      <w:pPr>
        <w:spacing w:line="400" w:lineRule="exact"/>
        <w:ind w:firstLine="480" w:firstLineChars="200"/>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7.本合同的保密义务包括，未经采购单位许可，中标单位不得就其可通过开发的软件系统能够获得的任何采购单位客户信息、数据以及商业秘密，与任何第三方开展任何形式的合作开发或者项目研究，或者向任何第三方出售该等数据、信息。</w:t>
      </w:r>
    </w:p>
    <w:p>
      <w:pPr>
        <w:spacing w:line="400" w:lineRule="exact"/>
        <w:ind w:firstLine="480" w:firstLineChars="200"/>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8.无论本合同或本合同其他条款是否有效，本保密条款始终约束双方。国家秘密的保密期限由国家有关部门确定，工作秘密的保密期限由采购单位确定。</w:t>
      </w:r>
    </w:p>
    <w:p>
      <w:pPr>
        <w:spacing w:line="400" w:lineRule="exact"/>
        <w:ind w:firstLine="480" w:firstLineChars="200"/>
        <w:rPr>
          <w:rFonts w:ascii="楷体_GB2312" w:hAnsi="楷体_GB2312" w:eastAsia="楷体_GB2312" w:cs="楷体_GB2312"/>
          <w:kern w:val="0"/>
          <w:sz w:val="24"/>
          <w:szCs w:val="20"/>
        </w:rPr>
      </w:pPr>
      <w:r>
        <w:rPr>
          <w:rFonts w:hint="eastAsia" w:ascii="楷体_GB2312" w:hAnsi="楷体_GB2312" w:eastAsia="楷体_GB2312" w:cs="楷体_GB2312"/>
          <w:kern w:val="0"/>
          <w:sz w:val="24"/>
          <w:szCs w:val="20"/>
        </w:rPr>
        <w:t>（六）违约责任</w:t>
      </w:r>
    </w:p>
    <w:p>
      <w:pPr>
        <w:spacing w:line="400" w:lineRule="exact"/>
        <w:ind w:firstLine="480" w:firstLineChars="200"/>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1.如因中标单位原因，中标单位未按照本合同约定的时间完成本项目各阶段工作，每延迟一日，采购单位有权在付款时扣除合同余款1‰的逾期违约金。如中标单位已完成阶段性成果且经采购单位验收合格的，中标单位有权要求采购单位支付该阶段成果的费用。</w:t>
      </w:r>
    </w:p>
    <w:p>
      <w:pPr>
        <w:spacing w:line="400" w:lineRule="exact"/>
        <w:ind w:firstLine="480" w:firstLineChars="200"/>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2.如因中标单位原因，造成中标单位提供的成果或服务不符合本合同规定或者招标文件要求的，采购单位有权拒收，中标单位必须采取补救措施，费用由中标单位承担，如因此造成时间延误的，中标单位须按本合同的约定承担相应的违约责任。</w:t>
      </w:r>
    </w:p>
    <w:p>
      <w:pPr>
        <w:pStyle w:val="23"/>
        <w:tabs>
          <w:tab w:val="left" w:pos="720"/>
        </w:tabs>
        <w:autoSpaceDE w:val="0"/>
        <w:autoSpaceDN w:val="0"/>
        <w:adjustRightInd w:val="0"/>
        <w:spacing w:line="400" w:lineRule="exact"/>
        <w:ind w:firstLine="480"/>
        <w:rPr>
          <w:rFonts w:ascii="黑体" w:hAnsi="黑体" w:eastAsia="黑体" w:cs="黑体"/>
          <w:bCs/>
          <w:sz w:val="24"/>
        </w:rPr>
      </w:pPr>
      <w:r>
        <w:rPr>
          <w:rFonts w:hint="eastAsia" w:ascii="黑体" w:hAnsi="黑体" w:eastAsia="黑体" w:cs="黑体"/>
          <w:bCs/>
          <w:sz w:val="24"/>
        </w:rPr>
        <w:t>三、其他要求</w:t>
      </w:r>
    </w:p>
    <w:p>
      <w:pPr>
        <w:spacing w:line="400" w:lineRule="exact"/>
        <w:ind w:firstLine="480" w:firstLineChars="200"/>
        <w:rPr>
          <w:rFonts w:ascii="仿宋_GB2312" w:hAnsi="仿宋_GB2312" w:eastAsia="仿宋_GB2312" w:cs="仿宋_GB2312"/>
          <w:kern w:val="0"/>
          <w:sz w:val="24"/>
          <w:szCs w:val="20"/>
          <w:lang w:val="zh-TW"/>
        </w:rPr>
      </w:pPr>
      <w:r>
        <w:rPr>
          <w:rFonts w:hint="eastAsia" w:ascii="仿宋_GB2312" w:hAnsi="仿宋_GB2312" w:eastAsia="仿宋_GB2312" w:cs="仿宋_GB2312"/>
          <w:kern w:val="0"/>
          <w:sz w:val="24"/>
          <w:szCs w:val="20"/>
        </w:rPr>
        <w:t>1.中标单位</w:t>
      </w:r>
      <w:r>
        <w:rPr>
          <w:rFonts w:hint="eastAsia" w:ascii="仿宋_GB2312" w:hAnsi="仿宋_GB2312" w:eastAsia="仿宋_GB2312" w:cs="仿宋_GB2312"/>
          <w:kern w:val="0"/>
          <w:sz w:val="24"/>
          <w:szCs w:val="20"/>
          <w:lang w:val="zh-CN"/>
        </w:rPr>
        <w:t>不得将项目非法分包或转包给任何单位和个人。否则，采购单位有权即刻终止合同，并要求</w:t>
      </w:r>
      <w:r>
        <w:rPr>
          <w:rFonts w:hint="eastAsia" w:ascii="仿宋_GB2312" w:hAnsi="仿宋_GB2312" w:eastAsia="仿宋_GB2312" w:cs="仿宋_GB2312"/>
          <w:kern w:val="0"/>
          <w:sz w:val="24"/>
          <w:szCs w:val="20"/>
        </w:rPr>
        <w:t>中标单位</w:t>
      </w:r>
      <w:r>
        <w:rPr>
          <w:rFonts w:hint="eastAsia" w:ascii="仿宋_GB2312" w:hAnsi="仿宋_GB2312" w:eastAsia="仿宋_GB2312" w:cs="仿宋_GB2312"/>
          <w:kern w:val="0"/>
          <w:sz w:val="24"/>
          <w:szCs w:val="20"/>
          <w:lang w:val="zh-CN"/>
        </w:rPr>
        <w:t>赔偿相应损失</w:t>
      </w:r>
      <w:r>
        <w:rPr>
          <w:rFonts w:hint="eastAsia" w:ascii="仿宋_GB2312" w:hAnsi="仿宋_GB2312" w:eastAsia="仿宋_GB2312" w:cs="仿宋_GB2312"/>
          <w:kern w:val="0"/>
          <w:sz w:val="24"/>
          <w:szCs w:val="20"/>
          <w:lang w:val="zh-TW"/>
        </w:rPr>
        <w:t>。</w:t>
      </w:r>
    </w:p>
    <w:p>
      <w:pPr>
        <w:spacing w:line="400" w:lineRule="exact"/>
        <w:ind w:firstLine="480" w:firstLineChars="200"/>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2.人员要求：</w:t>
      </w:r>
    </w:p>
    <w:p>
      <w:pPr>
        <w:spacing w:line="400" w:lineRule="exact"/>
        <w:ind w:firstLine="480" w:firstLineChars="200"/>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在服务期限内，项目人员应相对稳定，更换现场人员，须经采购单位书面同意后方可更换。在服务期限内，项目人员应相对稳定，更换现场人员，须经采购单位书面同意后方可更换。中标单位须指定2名签收人，代表中标单位签收采购单位发出的任务书。签收人需持中标单位法人授权委托书报采购方备案，授权有效期与双方签订的框架合同期限一致。更换授权签收人须提前30个工作日向采购单位提出书面申请。</w:t>
      </w:r>
    </w:p>
    <w:p>
      <w:pPr>
        <w:pStyle w:val="6"/>
      </w:pPr>
    </w:p>
    <w:p>
      <w:pPr>
        <w:spacing w:line="360" w:lineRule="auto"/>
        <w:rPr>
          <w:rFonts w:ascii="宋体" w:hAnsi="宋体" w:cs="宋体"/>
          <w:sz w:val="24"/>
        </w:rPr>
      </w:pPr>
    </w:p>
    <w:p>
      <w:pPr>
        <w:spacing w:line="360" w:lineRule="auto"/>
        <w:jc w:val="center"/>
        <w:outlineLvl w:val="0"/>
        <w:rPr>
          <w:rFonts w:ascii="宋体" w:hAnsi="宋体" w:cs="宋体"/>
          <w:b/>
          <w:bCs/>
          <w:sz w:val="36"/>
          <w:szCs w:val="36"/>
        </w:rPr>
      </w:pPr>
      <w:r>
        <w:rPr>
          <w:rFonts w:hint="eastAsia" w:ascii="宋体" w:hAnsi="宋体" w:cs="宋体"/>
          <w:sz w:val="24"/>
        </w:rPr>
        <w:br w:type="page"/>
      </w:r>
      <w:bookmarkStart w:id="34" w:name="_Toc824278181"/>
      <w:bookmarkStart w:id="35" w:name="_Toc6457"/>
      <w:bookmarkStart w:id="36" w:name="_Toc191793215"/>
      <w:r>
        <w:rPr>
          <w:rFonts w:ascii="宋体" w:hAnsi="宋体" w:cs="宋体"/>
          <w:b/>
          <w:bCs/>
          <w:sz w:val="36"/>
          <w:szCs w:val="36"/>
        </w:rPr>
        <w:t>第六章 投标文件初审及招标项目评分表</w:t>
      </w:r>
      <w:bookmarkEnd w:id="34"/>
      <w:bookmarkEnd w:id="35"/>
      <w:bookmarkEnd w:id="36"/>
    </w:p>
    <w:p>
      <w:pPr>
        <w:spacing w:line="360" w:lineRule="auto"/>
        <w:jc w:val="center"/>
        <w:rPr>
          <w:rFonts w:ascii="宋体" w:hAnsi="宋体" w:cs="宋体"/>
          <w:b/>
          <w:sz w:val="24"/>
        </w:rPr>
      </w:pPr>
    </w:p>
    <w:p>
      <w:pPr>
        <w:spacing w:line="400" w:lineRule="exact"/>
        <w:jc w:val="center"/>
        <w:rPr>
          <w:rFonts w:ascii="宋体" w:hAnsi="宋体" w:cs="宋体"/>
          <w:b/>
          <w:sz w:val="24"/>
        </w:rPr>
      </w:pPr>
      <w:r>
        <w:rPr>
          <w:rFonts w:hint="eastAsia" w:ascii="宋体" w:hAnsi="宋体" w:cs="宋体"/>
          <w:b/>
          <w:sz w:val="24"/>
        </w:rPr>
        <w:t>投标文件初审表（不可偏离条款）</w:t>
      </w:r>
    </w:p>
    <w:p>
      <w:pPr>
        <w:spacing w:line="400" w:lineRule="exact"/>
        <w:jc w:val="center"/>
        <w:rPr>
          <w:rFonts w:ascii="宋体" w:hAnsi="宋体" w:cs="宋体"/>
          <w:b/>
          <w:sz w:val="24"/>
        </w:rPr>
      </w:pPr>
      <w:r>
        <w:rPr>
          <w:rFonts w:hint="eastAsia" w:ascii="宋体" w:hAnsi="宋体" w:cs="宋体"/>
          <w:b/>
          <w:sz w:val="24"/>
        </w:rPr>
        <w:t>（凡有下列情形之一的，投标文件无效，投标作废标处理）</w:t>
      </w:r>
    </w:p>
    <w:tbl>
      <w:tblPr>
        <w:tblStyle w:val="18"/>
        <w:tblW w:w="868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681" w:type="dxa"/>
            <w:gridSpan w:val="2"/>
            <w:vAlign w:val="center"/>
          </w:tcPr>
          <w:p>
            <w:pPr>
              <w:spacing w:line="400" w:lineRule="exact"/>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31" w:type="dxa"/>
            <w:vAlign w:val="center"/>
          </w:tcPr>
          <w:p>
            <w:pPr>
              <w:spacing w:line="400" w:lineRule="exact"/>
              <w:jc w:val="center"/>
              <w:rPr>
                <w:rFonts w:ascii="宋体" w:hAnsi="宋体" w:cs="宋体"/>
                <w:sz w:val="24"/>
              </w:rPr>
            </w:pPr>
            <w:r>
              <w:rPr>
                <w:rFonts w:hint="eastAsia" w:ascii="宋体" w:hAnsi="宋体" w:cs="宋体"/>
                <w:sz w:val="24"/>
              </w:rPr>
              <w:t>1</w:t>
            </w:r>
          </w:p>
        </w:tc>
        <w:tc>
          <w:tcPr>
            <w:tcW w:w="7950" w:type="dxa"/>
          </w:tcPr>
          <w:p>
            <w:pPr>
              <w:spacing w:line="400" w:lineRule="exact"/>
              <w:rPr>
                <w:rFonts w:ascii="宋体" w:hAnsi="宋体" w:cs="宋体"/>
                <w:sz w:val="24"/>
              </w:rPr>
            </w:pPr>
            <w:r>
              <w:rPr>
                <w:rFonts w:hint="eastAsia" w:ascii="宋体" w:hAnsi="宋体" w:cs="宋体"/>
                <w:sz w:val="24"/>
              </w:rPr>
              <w:t>投标</w:t>
            </w:r>
            <w:r>
              <w:rPr>
                <w:rFonts w:ascii="宋体" w:hAnsi="宋体" w:cs="宋体"/>
                <w:kern w:val="0"/>
                <w:sz w:val="24"/>
              </w:rPr>
              <w:t>单位</w:t>
            </w:r>
            <w:r>
              <w:rPr>
                <w:rFonts w:hint="eastAsia" w:ascii="宋体" w:hAnsi="宋体" w:cs="宋体"/>
                <w:sz w:val="24"/>
              </w:rPr>
              <w:t>不具备招标文件所列的资格要求，或未提交相应的资格证明资料（详见招标公告 投标</w:t>
            </w:r>
            <w:r>
              <w:rPr>
                <w:rFonts w:ascii="宋体" w:hAnsi="宋体" w:cs="宋体"/>
                <w:kern w:val="0"/>
                <w:sz w:val="24"/>
              </w:rPr>
              <w:t>单位</w:t>
            </w:r>
            <w:r>
              <w:rPr>
                <w:rFonts w:hint="eastAsia" w:ascii="宋体" w:hAnsi="宋体" w:cs="宋体"/>
                <w:sz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681" w:type="dxa"/>
            <w:gridSpan w:val="2"/>
            <w:vAlign w:val="center"/>
          </w:tcPr>
          <w:p>
            <w:pPr>
              <w:spacing w:line="400" w:lineRule="exact"/>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31" w:type="dxa"/>
            <w:vAlign w:val="center"/>
          </w:tcPr>
          <w:p>
            <w:pPr>
              <w:spacing w:line="400" w:lineRule="exact"/>
              <w:jc w:val="center"/>
              <w:rPr>
                <w:rFonts w:ascii="宋体" w:hAnsi="宋体" w:cs="宋体"/>
                <w:sz w:val="24"/>
              </w:rPr>
            </w:pPr>
            <w:r>
              <w:rPr>
                <w:rFonts w:hint="eastAsia" w:ascii="宋体" w:hAnsi="宋体" w:cs="宋体"/>
                <w:sz w:val="24"/>
              </w:rPr>
              <w:t>2</w:t>
            </w:r>
          </w:p>
        </w:tc>
        <w:tc>
          <w:tcPr>
            <w:tcW w:w="7950" w:type="dxa"/>
            <w:vAlign w:val="center"/>
          </w:tcPr>
          <w:p>
            <w:pPr>
              <w:spacing w:line="400" w:lineRule="exact"/>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31" w:type="dxa"/>
            <w:vAlign w:val="center"/>
          </w:tcPr>
          <w:p>
            <w:pPr>
              <w:spacing w:line="400" w:lineRule="exact"/>
              <w:jc w:val="center"/>
              <w:rPr>
                <w:rFonts w:ascii="宋体" w:hAnsi="宋体" w:cs="宋体"/>
                <w:sz w:val="24"/>
              </w:rPr>
            </w:pPr>
            <w:r>
              <w:rPr>
                <w:rFonts w:hint="eastAsia" w:ascii="宋体" w:hAnsi="宋体" w:cs="宋体"/>
                <w:sz w:val="24"/>
              </w:rPr>
              <w:t>3</w:t>
            </w:r>
          </w:p>
        </w:tc>
        <w:tc>
          <w:tcPr>
            <w:tcW w:w="7950" w:type="dxa"/>
            <w:vAlign w:val="center"/>
          </w:tcPr>
          <w:p>
            <w:pPr>
              <w:spacing w:line="400" w:lineRule="exact"/>
              <w:rPr>
                <w:rFonts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31" w:type="dxa"/>
            <w:vAlign w:val="center"/>
          </w:tcPr>
          <w:p>
            <w:pPr>
              <w:spacing w:line="400" w:lineRule="exact"/>
              <w:jc w:val="center"/>
              <w:rPr>
                <w:rFonts w:ascii="宋体" w:hAnsi="宋体" w:cs="宋体"/>
                <w:sz w:val="24"/>
              </w:rPr>
            </w:pPr>
            <w:r>
              <w:rPr>
                <w:rFonts w:hint="eastAsia" w:ascii="宋体" w:hAnsi="宋体" w:cs="宋体"/>
                <w:sz w:val="24"/>
              </w:rPr>
              <w:t>4</w:t>
            </w:r>
          </w:p>
        </w:tc>
        <w:tc>
          <w:tcPr>
            <w:tcW w:w="7950" w:type="dxa"/>
            <w:vAlign w:val="center"/>
          </w:tcPr>
          <w:p>
            <w:pPr>
              <w:spacing w:line="400" w:lineRule="exact"/>
              <w:rPr>
                <w:rFonts w:ascii="宋体" w:hAnsi="宋体" w:cs="宋体"/>
                <w:sz w:val="24"/>
              </w:rPr>
            </w:pPr>
            <w:r>
              <w:rPr>
                <w:rFonts w:hint="eastAsia" w:ascii="宋体" w:hAnsi="宋体" w:cs="宋体"/>
                <w:sz w:val="24"/>
              </w:rPr>
              <w:t>未提供法定代表人/负责人证明书、法定代表人/负责人授权委托书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31" w:type="dxa"/>
            <w:vAlign w:val="center"/>
          </w:tcPr>
          <w:p>
            <w:pPr>
              <w:spacing w:line="400" w:lineRule="exact"/>
              <w:jc w:val="center"/>
              <w:rPr>
                <w:rFonts w:ascii="宋体" w:hAnsi="宋体" w:cs="宋体"/>
                <w:sz w:val="24"/>
              </w:rPr>
            </w:pPr>
            <w:r>
              <w:rPr>
                <w:rFonts w:hint="eastAsia" w:ascii="宋体" w:hAnsi="宋体" w:cs="宋体"/>
                <w:sz w:val="24"/>
              </w:rPr>
              <w:t>5</w:t>
            </w:r>
          </w:p>
        </w:tc>
        <w:tc>
          <w:tcPr>
            <w:tcW w:w="7950" w:type="dxa"/>
            <w:vAlign w:val="center"/>
          </w:tcPr>
          <w:p>
            <w:pPr>
              <w:spacing w:line="400" w:lineRule="exact"/>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31" w:type="dxa"/>
            <w:vAlign w:val="center"/>
          </w:tcPr>
          <w:p>
            <w:pPr>
              <w:spacing w:line="400" w:lineRule="exact"/>
              <w:jc w:val="center"/>
              <w:rPr>
                <w:rFonts w:ascii="宋体" w:hAnsi="宋体" w:cs="宋体"/>
                <w:sz w:val="24"/>
              </w:rPr>
            </w:pPr>
            <w:r>
              <w:rPr>
                <w:rFonts w:hint="eastAsia" w:ascii="宋体" w:hAnsi="宋体" w:cs="宋体"/>
                <w:sz w:val="24"/>
              </w:rPr>
              <w:t>6</w:t>
            </w:r>
          </w:p>
        </w:tc>
        <w:tc>
          <w:tcPr>
            <w:tcW w:w="7950" w:type="dxa"/>
            <w:vAlign w:val="center"/>
          </w:tcPr>
          <w:p>
            <w:pPr>
              <w:spacing w:line="400" w:lineRule="exact"/>
              <w:rPr>
                <w:rFonts w:ascii="宋体" w:hAnsi="宋体" w:cs="宋体"/>
                <w:sz w:val="24"/>
              </w:rPr>
            </w:pPr>
            <w:r>
              <w:rPr>
                <w:rFonts w:hint="eastAsia" w:ascii="宋体" w:hAnsi="宋体" w:cs="宋体"/>
                <w:sz w:val="24"/>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31" w:type="dxa"/>
            <w:vAlign w:val="center"/>
          </w:tcPr>
          <w:p>
            <w:pPr>
              <w:spacing w:line="400" w:lineRule="exact"/>
              <w:jc w:val="center"/>
              <w:rPr>
                <w:rFonts w:ascii="宋体" w:hAnsi="宋体" w:cs="宋体"/>
                <w:sz w:val="24"/>
              </w:rPr>
            </w:pPr>
            <w:r>
              <w:rPr>
                <w:rFonts w:hint="eastAsia" w:ascii="宋体" w:hAnsi="宋体" w:cs="宋体"/>
                <w:sz w:val="24"/>
              </w:rPr>
              <w:t>7</w:t>
            </w:r>
          </w:p>
        </w:tc>
        <w:tc>
          <w:tcPr>
            <w:tcW w:w="7950" w:type="dxa"/>
            <w:vAlign w:val="center"/>
          </w:tcPr>
          <w:p>
            <w:pPr>
              <w:spacing w:line="400" w:lineRule="exact"/>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31" w:type="dxa"/>
            <w:vAlign w:val="center"/>
          </w:tcPr>
          <w:p>
            <w:pPr>
              <w:spacing w:line="400" w:lineRule="exact"/>
              <w:jc w:val="center"/>
              <w:rPr>
                <w:rFonts w:ascii="宋体" w:hAnsi="宋体" w:cs="宋体"/>
                <w:sz w:val="24"/>
              </w:rPr>
            </w:pPr>
            <w:r>
              <w:rPr>
                <w:rFonts w:hint="eastAsia" w:ascii="宋体" w:hAnsi="宋体" w:cs="宋体"/>
                <w:sz w:val="24"/>
              </w:rPr>
              <w:t>8</w:t>
            </w:r>
          </w:p>
        </w:tc>
        <w:tc>
          <w:tcPr>
            <w:tcW w:w="7950" w:type="dxa"/>
            <w:vAlign w:val="center"/>
          </w:tcPr>
          <w:p>
            <w:pPr>
              <w:spacing w:line="400" w:lineRule="exact"/>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31" w:type="dxa"/>
            <w:vAlign w:val="center"/>
          </w:tcPr>
          <w:p>
            <w:pPr>
              <w:spacing w:line="400" w:lineRule="exact"/>
              <w:jc w:val="center"/>
              <w:rPr>
                <w:rFonts w:ascii="宋体" w:hAnsi="宋体" w:cs="宋体"/>
                <w:sz w:val="24"/>
              </w:rPr>
            </w:pPr>
            <w:r>
              <w:rPr>
                <w:rFonts w:hint="eastAsia" w:ascii="宋体" w:hAnsi="宋体" w:cs="宋体"/>
                <w:sz w:val="24"/>
              </w:rPr>
              <w:t>9</w:t>
            </w:r>
          </w:p>
        </w:tc>
        <w:tc>
          <w:tcPr>
            <w:tcW w:w="7950" w:type="dxa"/>
            <w:vAlign w:val="center"/>
          </w:tcPr>
          <w:p>
            <w:pPr>
              <w:spacing w:line="400" w:lineRule="exact"/>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31" w:type="dxa"/>
            <w:vAlign w:val="center"/>
          </w:tcPr>
          <w:p>
            <w:pPr>
              <w:spacing w:line="400" w:lineRule="exact"/>
              <w:jc w:val="center"/>
              <w:rPr>
                <w:rFonts w:ascii="宋体" w:hAnsi="宋体" w:cs="宋体"/>
                <w:sz w:val="24"/>
              </w:rPr>
            </w:pPr>
            <w:r>
              <w:rPr>
                <w:rFonts w:hint="eastAsia" w:ascii="宋体" w:hAnsi="宋体" w:cs="宋体"/>
                <w:sz w:val="24"/>
              </w:rPr>
              <w:t>10</w:t>
            </w:r>
          </w:p>
        </w:tc>
        <w:tc>
          <w:tcPr>
            <w:tcW w:w="7950" w:type="dxa"/>
            <w:vAlign w:val="center"/>
          </w:tcPr>
          <w:p>
            <w:pPr>
              <w:spacing w:line="400" w:lineRule="exact"/>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31" w:type="dxa"/>
            <w:vAlign w:val="center"/>
          </w:tcPr>
          <w:p>
            <w:pPr>
              <w:spacing w:line="400" w:lineRule="exact"/>
              <w:jc w:val="center"/>
              <w:rPr>
                <w:rFonts w:ascii="宋体" w:hAnsi="宋体" w:cs="宋体"/>
                <w:sz w:val="24"/>
              </w:rPr>
            </w:pPr>
            <w:r>
              <w:rPr>
                <w:rFonts w:hint="eastAsia" w:ascii="宋体" w:hAnsi="宋体" w:cs="宋体"/>
                <w:sz w:val="24"/>
              </w:rPr>
              <w:t>11</w:t>
            </w:r>
          </w:p>
        </w:tc>
        <w:tc>
          <w:tcPr>
            <w:tcW w:w="7950" w:type="dxa"/>
            <w:vAlign w:val="center"/>
          </w:tcPr>
          <w:p>
            <w:pPr>
              <w:spacing w:line="400" w:lineRule="exact"/>
              <w:rPr>
                <w:rFonts w:ascii="宋体" w:hAnsi="宋体" w:cs="宋体"/>
                <w:sz w:val="24"/>
              </w:rPr>
            </w:pPr>
            <w:r>
              <w:rPr>
                <w:rFonts w:hint="eastAsia" w:ascii="宋体" w:hAnsi="宋体" w:cs="宋体"/>
                <w:sz w:val="24"/>
              </w:rPr>
              <w:t>法律、法规规定的其他情形</w:t>
            </w:r>
          </w:p>
        </w:tc>
      </w:tr>
    </w:tbl>
    <w:p>
      <w:pPr>
        <w:spacing w:line="360" w:lineRule="auto"/>
        <w:rPr>
          <w:rFonts w:ascii="宋体" w:hAnsi="宋体" w:cs="宋体"/>
          <w:sz w:val="24"/>
        </w:rPr>
      </w:pPr>
    </w:p>
    <w:p>
      <w:pPr>
        <w:spacing w:line="360" w:lineRule="auto"/>
        <w:jc w:val="center"/>
        <w:rPr>
          <w:rFonts w:ascii="宋体" w:cs="宋体"/>
          <w:b/>
          <w:bCs/>
          <w:sz w:val="24"/>
          <w:highlight w:val="yellow"/>
        </w:rPr>
      </w:pPr>
      <w:r>
        <w:rPr>
          <w:rFonts w:hint="eastAsia" w:ascii="宋体" w:hAnsi="宋体" w:cs="宋体"/>
          <w:b/>
          <w:bCs/>
          <w:sz w:val="24"/>
        </w:rPr>
        <w:br w:type="page"/>
      </w:r>
      <w:r>
        <w:rPr>
          <w:rFonts w:hint="eastAsia" w:ascii="宋体" w:hAnsi="宋体" w:cs="宋体"/>
          <w:b/>
          <w:bCs/>
          <w:sz w:val="24"/>
        </w:rPr>
        <w:t>招标项目评分表</w:t>
      </w:r>
    </w:p>
    <w:tbl>
      <w:tblPr>
        <w:tblStyle w:val="18"/>
        <w:tblW w:w="97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791"/>
        <w:gridCol w:w="5836"/>
        <w:gridCol w:w="682"/>
        <w:gridCol w:w="873"/>
        <w:gridCol w:w="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702" w:type="dxa"/>
            <w:gridSpan w:val="6"/>
            <w:tcBorders>
              <w:tl2br w:val="nil"/>
              <w:tr2bl w:val="nil"/>
            </w:tcBorders>
            <w:shd w:val="clear" w:color="auto" w:fill="D9D9D9"/>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一、价格部分（</w:t>
            </w:r>
            <w:r>
              <w:rPr>
                <w:rFonts w:ascii="宋体" w:hAnsi="宋体" w:cs="宋体"/>
                <w:b/>
                <w:bCs/>
                <w:kern w:val="0"/>
                <w:sz w:val="22"/>
                <w:szCs w:val="22"/>
                <w:lang w:bidi="ar"/>
              </w:rPr>
              <w:t>12</w:t>
            </w:r>
            <w:r>
              <w:rPr>
                <w:rFonts w:hint="eastAsia" w:ascii="宋体" w:hAnsi="宋体" w:cs="宋体"/>
                <w:b/>
                <w:bCs/>
                <w:kern w:val="0"/>
                <w:sz w:val="22"/>
                <w:szCs w:val="22"/>
                <w:lang w:bidi="ar"/>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3" w:type="dxa"/>
            <w:tcBorders>
              <w:tl2br w:val="nil"/>
              <w:tr2bl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l2br w:val="nil"/>
              <w:tr2bl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836" w:type="dxa"/>
            <w:tcBorders>
              <w:tl2br w:val="nil"/>
              <w:tr2bl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682" w:type="dxa"/>
            <w:tcBorders>
              <w:tl2br w:val="nil"/>
              <w:tr2bl w:val="nil"/>
            </w:tcBorders>
            <w:vAlign w:val="center"/>
          </w:tcPr>
          <w:p>
            <w:pPr>
              <w:widowControl/>
              <w:jc w:val="center"/>
              <w:textAlignment w:val="center"/>
              <w:rPr>
                <w:rFonts w:ascii="宋体" w:hAnsi="宋体" w:cs="宋体"/>
                <w:sz w:val="22"/>
                <w:szCs w:val="22"/>
              </w:rPr>
            </w:pPr>
            <w:r>
              <w:rPr>
                <w:rFonts w:hint="eastAsia" w:ascii="宋体" w:hAnsi="宋体" w:cs="宋体"/>
                <w:sz w:val="22"/>
                <w:szCs w:val="22"/>
              </w:rPr>
              <w:t>分值</w:t>
            </w:r>
          </w:p>
        </w:tc>
        <w:tc>
          <w:tcPr>
            <w:tcW w:w="873" w:type="dxa"/>
            <w:tcBorders>
              <w:tl2br w:val="nil"/>
              <w:tr2bl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807" w:type="dxa"/>
            <w:tcBorders>
              <w:tl2br w:val="nil"/>
              <w:tr2bl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6" w:hRule="atLeast"/>
          <w:jc w:val="center"/>
        </w:trPr>
        <w:tc>
          <w:tcPr>
            <w:tcW w:w="713" w:type="dxa"/>
            <w:tcBorders>
              <w:tl2br w:val="nil"/>
              <w:tr2bl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91" w:type="dxa"/>
            <w:tcBorders>
              <w:tl2br w:val="nil"/>
              <w:tr2bl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投标报价</w:t>
            </w:r>
          </w:p>
        </w:tc>
        <w:tc>
          <w:tcPr>
            <w:tcW w:w="5836" w:type="dxa"/>
            <w:tcBorders>
              <w:tl2br w:val="nil"/>
              <w:tr2bl w:val="nil"/>
            </w:tcBorders>
            <w:vAlign w:val="center"/>
          </w:tcPr>
          <w:p>
            <w:pPr>
              <w:numPr>
                <w:ilvl w:val="255"/>
                <w:numId w:val="0"/>
              </w:numPr>
              <w:rPr>
                <w:lang w:eastAsia="zh-Hans"/>
              </w:rPr>
            </w:pPr>
            <w:r>
              <w:rPr>
                <w:rFonts w:hint="eastAsia"/>
                <w:lang w:eastAsia="zh-Hans"/>
              </w:rPr>
              <w:t>采用低价优先法计算，即满足招标文件要求且投标价格最低的投标报价为评标基准价，其价格分为满分。其他投标人的价格分统一按照下列公式计算：</w:t>
            </w:r>
          </w:p>
          <w:p>
            <w:pPr>
              <w:numPr>
                <w:ilvl w:val="255"/>
                <w:numId w:val="0"/>
              </w:numPr>
              <w:rPr>
                <w:lang w:eastAsia="zh-Hans"/>
              </w:rPr>
            </w:pPr>
            <w:r>
              <w:rPr>
                <w:rFonts w:hint="eastAsia"/>
                <w:lang w:eastAsia="zh-Hans"/>
              </w:rPr>
              <w:t>投标报价得分=(评标基准价／投标报价)×12</w:t>
            </w:r>
          </w:p>
          <w:p>
            <w:pPr>
              <w:numPr>
                <w:ilvl w:val="255"/>
                <w:numId w:val="0"/>
              </w:numPr>
              <w:rPr>
                <w:lang w:eastAsia="zh-Hans"/>
              </w:rPr>
            </w:pPr>
            <w:r>
              <w:rPr>
                <w:rFonts w:hint="eastAsia"/>
                <w:lang w:eastAsia="zh-Hans"/>
              </w:rPr>
              <w:t>1.价格评分仅限于有效投标人，当价格分&lt;0时，取0。</w:t>
            </w:r>
          </w:p>
          <w:p>
            <w:pPr>
              <w:numPr>
                <w:ilvl w:val="255"/>
                <w:numId w:val="0"/>
              </w:numPr>
              <w:rPr>
                <w:lang w:eastAsia="zh-Hans"/>
              </w:rPr>
            </w:pPr>
            <w:r>
              <w:rPr>
                <w:rFonts w:hint="eastAsia"/>
                <w:lang w:eastAsia="zh-Hans"/>
              </w:rPr>
              <w:t>2.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numPr>
                <w:ilvl w:val="255"/>
                <w:numId w:val="0"/>
              </w:numPr>
              <w:rPr>
                <w:lang w:eastAsia="zh-Hans"/>
              </w:rPr>
            </w:pPr>
            <w:r>
              <w:rPr>
                <w:lang w:eastAsia="zh-Hans"/>
              </w:rPr>
              <w:t>3.</w:t>
            </w:r>
            <w:r>
              <w:rPr>
                <w:rFonts w:hint="eastAsia"/>
                <w:lang w:eastAsia="zh-Hans"/>
              </w:rPr>
              <w:t>监狱企业应当提供由省级以上监狱管理局、戒毒管理局（含新疆生产建设兵团）出具的属于监狱企业的证明文件，中小企业提供中小企业声明函，残疾人福利性企业提供残疾人福利性企业声明函。</w:t>
            </w:r>
          </w:p>
          <w:p>
            <w:pPr>
              <w:numPr>
                <w:ilvl w:val="255"/>
                <w:numId w:val="0"/>
              </w:numPr>
            </w:pPr>
            <w:r>
              <w:rPr>
                <w:rFonts w:hint="eastAsia"/>
                <w:lang w:eastAsia="zh-Hans"/>
              </w:rPr>
              <w:t>4.本项目所属行业为文化艺术行业。</w:t>
            </w:r>
          </w:p>
        </w:tc>
        <w:tc>
          <w:tcPr>
            <w:tcW w:w="682" w:type="dxa"/>
            <w:tcBorders>
              <w:tl2br w:val="nil"/>
              <w:tr2bl w:val="nil"/>
            </w:tcBorders>
            <w:vAlign w:val="center"/>
          </w:tcPr>
          <w:p>
            <w:pPr>
              <w:widowControl/>
              <w:jc w:val="center"/>
              <w:textAlignment w:val="center"/>
              <w:rPr>
                <w:rFonts w:ascii="宋体" w:hAnsi="宋体" w:cs="宋体"/>
                <w:sz w:val="22"/>
                <w:szCs w:val="22"/>
              </w:rPr>
            </w:pPr>
            <w:r>
              <w:rPr>
                <w:rFonts w:ascii="宋体" w:hAnsi="宋体" w:cs="宋体"/>
                <w:kern w:val="0"/>
                <w:sz w:val="22"/>
                <w:szCs w:val="22"/>
                <w:lang w:bidi="ar"/>
              </w:rPr>
              <w:t>12</w:t>
            </w:r>
          </w:p>
        </w:tc>
        <w:tc>
          <w:tcPr>
            <w:tcW w:w="873" w:type="dxa"/>
            <w:tcBorders>
              <w:tl2br w:val="nil"/>
              <w:tr2bl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l2br w:val="nil"/>
              <w:tr2bl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702" w:type="dxa"/>
            <w:gridSpan w:val="6"/>
            <w:tcBorders>
              <w:tl2br w:val="nil"/>
              <w:tr2bl w:val="nil"/>
            </w:tcBorders>
            <w:shd w:val="clear" w:color="auto" w:fill="D9D9D9"/>
            <w:vAlign w:val="center"/>
          </w:tcPr>
          <w:p>
            <w:pPr>
              <w:widowControl/>
              <w:jc w:val="center"/>
              <w:textAlignment w:val="center"/>
              <w:rPr>
                <w:rFonts w:ascii="宋体" w:hAnsi="宋体" w:cs="宋体"/>
                <w:sz w:val="22"/>
                <w:szCs w:val="22"/>
              </w:rPr>
            </w:pPr>
            <w:r>
              <w:rPr>
                <w:rFonts w:hint="eastAsia" w:ascii="宋体" w:hAnsi="宋体" w:cs="宋体"/>
                <w:b/>
                <w:bCs/>
                <w:kern w:val="0"/>
                <w:sz w:val="22"/>
                <w:szCs w:val="22"/>
                <w:lang w:bidi="ar"/>
              </w:rPr>
              <w:t>二、商务部分（</w:t>
            </w:r>
            <w:r>
              <w:rPr>
                <w:rFonts w:ascii="宋体" w:hAnsi="宋体" w:cs="宋体"/>
                <w:b/>
                <w:bCs/>
                <w:kern w:val="0"/>
                <w:sz w:val="22"/>
                <w:szCs w:val="22"/>
                <w:lang w:bidi="ar"/>
              </w:rPr>
              <w:t>41</w:t>
            </w:r>
            <w:r>
              <w:rPr>
                <w:rFonts w:hint="eastAsia" w:ascii="宋体" w:hAnsi="宋体" w:cs="宋体"/>
                <w:b/>
                <w:bCs/>
                <w:kern w:val="0"/>
                <w:sz w:val="22"/>
                <w:szCs w:val="22"/>
                <w:lang w:bidi="ar"/>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3" w:type="dxa"/>
            <w:tcBorders>
              <w:tl2br w:val="nil"/>
              <w:tr2bl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l2br w:val="nil"/>
              <w:tr2bl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836" w:type="dxa"/>
            <w:tcBorders>
              <w:tl2br w:val="nil"/>
              <w:tr2bl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682" w:type="dxa"/>
            <w:tcBorders>
              <w:tl2br w:val="nil"/>
              <w:tr2bl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分值</w:t>
            </w:r>
          </w:p>
        </w:tc>
        <w:tc>
          <w:tcPr>
            <w:tcW w:w="873" w:type="dxa"/>
            <w:tcBorders>
              <w:tl2br w:val="nil"/>
              <w:tr2bl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807" w:type="dxa"/>
            <w:tcBorders>
              <w:tl2br w:val="nil"/>
              <w:tr2bl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3" w:type="dxa"/>
            <w:tcBorders>
              <w:tl2br w:val="nil"/>
              <w:tr2bl w:val="nil"/>
            </w:tcBorders>
            <w:vAlign w:val="center"/>
          </w:tcPr>
          <w:p>
            <w:pPr>
              <w:widowControl/>
              <w:jc w:val="center"/>
              <w:textAlignment w:val="center"/>
              <w:rPr>
                <w:rFonts w:ascii="宋体" w:hAnsi="宋体" w:cs="宋体"/>
                <w:kern w:val="0"/>
                <w:sz w:val="22"/>
                <w:szCs w:val="22"/>
                <w:lang w:bidi="ar"/>
              </w:rPr>
            </w:pPr>
            <w:r>
              <w:rPr>
                <w:rFonts w:ascii="宋体" w:hAnsi="宋体" w:cs="宋体"/>
                <w:kern w:val="0"/>
                <w:sz w:val="22"/>
                <w:szCs w:val="22"/>
                <w:lang w:bidi="ar"/>
              </w:rPr>
              <w:t>1</w:t>
            </w:r>
          </w:p>
        </w:tc>
        <w:tc>
          <w:tcPr>
            <w:tcW w:w="791" w:type="dxa"/>
            <w:tcBorders>
              <w:tl2br w:val="nil"/>
              <w:tr2bl w:val="nil"/>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专业资质</w:t>
            </w:r>
          </w:p>
        </w:tc>
        <w:tc>
          <w:tcPr>
            <w:tcW w:w="5836" w:type="dxa"/>
            <w:tcBorders>
              <w:tl2br w:val="nil"/>
              <w:tr2bl w:val="nil"/>
            </w:tcBorders>
            <w:vAlign w:val="center"/>
          </w:tcPr>
          <w:p>
            <w:pPr>
              <w:widowControl/>
              <w:jc w:val="left"/>
              <w:textAlignment w:val="center"/>
              <w:rPr>
                <w:rFonts w:ascii="宋体" w:hAnsi="宋体" w:cs="宋体"/>
                <w:b/>
                <w:bCs/>
                <w:sz w:val="22"/>
                <w:szCs w:val="22"/>
              </w:rPr>
            </w:pPr>
            <w:r>
              <w:rPr>
                <w:rFonts w:hint="eastAsia" w:ascii="宋体" w:hAnsi="宋体" w:cs="宋体"/>
                <w:b/>
                <w:bCs/>
                <w:sz w:val="22"/>
                <w:szCs w:val="22"/>
              </w:rPr>
              <w:t>（一）评审内容：</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考察投标人内部智库机构建设情况</w:t>
            </w:r>
            <w:r>
              <w:rPr>
                <w:rFonts w:ascii="宋体" w:hAnsi="宋体" w:cs="宋体"/>
                <w:kern w:val="0"/>
                <w:sz w:val="22"/>
                <w:szCs w:val="22"/>
                <w:lang w:bidi="ar"/>
              </w:rPr>
              <w:t>，</w:t>
            </w:r>
            <w:r>
              <w:rPr>
                <w:rFonts w:hint="eastAsia" w:ascii="宋体" w:hAnsi="宋体" w:cs="宋体"/>
                <w:kern w:val="0"/>
                <w:sz w:val="22"/>
                <w:szCs w:val="22"/>
                <w:lang w:bidi="ar"/>
              </w:rPr>
              <w:t>具备2个或以上行业影响力的研究成果。满分3分。</w:t>
            </w:r>
          </w:p>
          <w:p>
            <w:pPr>
              <w:widowControl/>
              <w:jc w:val="left"/>
              <w:textAlignment w:val="center"/>
              <w:rPr>
                <w:rFonts w:ascii="宋体" w:hAnsi="宋体" w:cs="宋体"/>
                <w:b/>
                <w:bCs/>
                <w:sz w:val="22"/>
                <w:szCs w:val="22"/>
              </w:rPr>
            </w:pPr>
            <w:r>
              <w:rPr>
                <w:rFonts w:hint="eastAsia" w:ascii="宋体" w:hAnsi="宋体" w:cs="宋体"/>
                <w:b/>
                <w:bCs/>
                <w:sz w:val="22"/>
                <w:szCs w:val="22"/>
              </w:rPr>
              <w:t>（二）评审标准：</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要求提供有效智库机构研究成果目录加盖公章，评分中出现无证明资料或专家无法凭所提供资料判断是否得分的情况，一律作不得分处理。</w:t>
            </w:r>
          </w:p>
        </w:tc>
        <w:tc>
          <w:tcPr>
            <w:tcW w:w="682" w:type="dxa"/>
            <w:tcBorders>
              <w:tl2br w:val="nil"/>
              <w:tr2bl w:val="nil"/>
            </w:tcBorders>
            <w:vAlign w:val="center"/>
          </w:tcPr>
          <w:p>
            <w:pPr>
              <w:widowControl/>
              <w:jc w:val="center"/>
              <w:textAlignment w:val="center"/>
              <w:rPr>
                <w:rFonts w:ascii="宋体" w:hAnsi="宋体" w:cs="宋体"/>
                <w:kern w:val="0"/>
                <w:sz w:val="22"/>
                <w:szCs w:val="22"/>
                <w:lang w:bidi="ar"/>
              </w:rPr>
            </w:pPr>
            <w:r>
              <w:rPr>
                <w:rFonts w:ascii="宋体" w:hAnsi="宋体" w:cs="宋体"/>
                <w:kern w:val="0"/>
                <w:sz w:val="22"/>
                <w:szCs w:val="22"/>
                <w:lang w:bidi="ar"/>
              </w:rPr>
              <w:t>3</w:t>
            </w:r>
          </w:p>
        </w:tc>
        <w:tc>
          <w:tcPr>
            <w:tcW w:w="873" w:type="dxa"/>
            <w:tcBorders>
              <w:tl2br w:val="nil"/>
              <w:tr2bl w:val="nil"/>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l2br w:val="nil"/>
              <w:tr2bl w:val="nil"/>
            </w:tcBorders>
            <w:vAlign w:val="center"/>
          </w:tcPr>
          <w:p>
            <w:pPr>
              <w:widowControl/>
              <w:jc w:val="center"/>
              <w:textAlignment w:val="center"/>
              <w:rPr>
                <w:rFonts w:ascii="宋体" w:hAnsi="宋体" w:cs="宋体"/>
                <w:kern w:val="0"/>
                <w:sz w:val="22"/>
                <w:szCs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713" w:type="dxa"/>
            <w:tcBorders>
              <w:tl2br w:val="nil"/>
              <w:tr2bl w:val="nil"/>
            </w:tcBorders>
            <w:vAlign w:val="center"/>
          </w:tcPr>
          <w:p>
            <w:pPr>
              <w:widowControl/>
              <w:jc w:val="center"/>
              <w:textAlignment w:val="center"/>
              <w:rPr>
                <w:rFonts w:ascii="宋体" w:hAnsi="宋体" w:cs="宋体"/>
                <w:sz w:val="22"/>
                <w:szCs w:val="22"/>
              </w:rPr>
            </w:pPr>
            <w:r>
              <w:rPr>
                <w:rFonts w:ascii="宋体" w:hAnsi="宋体" w:cs="宋体"/>
                <w:kern w:val="0"/>
                <w:sz w:val="22"/>
                <w:szCs w:val="22"/>
                <w:lang w:bidi="ar"/>
              </w:rPr>
              <w:t>2</w:t>
            </w:r>
          </w:p>
        </w:tc>
        <w:tc>
          <w:tcPr>
            <w:tcW w:w="791" w:type="dxa"/>
            <w:tcBorders>
              <w:tl2br w:val="nil"/>
              <w:tr2bl w:val="nil"/>
            </w:tcBorders>
            <w:vAlign w:val="center"/>
          </w:tcPr>
          <w:p>
            <w:pPr>
              <w:widowControl/>
              <w:jc w:val="center"/>
              <w:textAlignment w:val="center"/>
              <w:rPr>
                <w:rFonts w:ascii="宋体" w:hAnsi="宋体" w:cs="宋体"/>
                <w:sz w:val="22"/>
                <w:szCs w:val="22"/>
              </w:rPr>
            </w:pPr>
            <w:r>
              <w:rPr>
                <w:rFonts w:hint="eastAsia" w:ascii="宋体" w:hAnsi="宋体" w:cs="宋体"/>
                <w:sz w:val="22"/>
                <w:szCs w:val="22"/>
              </w:rPr>
              <w:t>同类项目编制经验</w:t>
            </w:r>
          </w:p>
        </w:tc>
        <w:tc>
          <w:tcPr>
            <w:tcW w:w="5836" w:type="dxa"/>
            <w:tcBorders>
              <w:tl2br w:val="nil"/>
              <w:tr2bl w:val="nil"/>
            </w:tcBorders>
            <w:vAlign w:val="center"/>
          </w:tcPr>
          <w:p>
            <w:pPr>
              <w:widowControl/>
              <w:jc w:val="left"/>
              <w:textAlignment w:val="center"/>
              <w:rPr>
                <w:rFonts w:ascii="宋体" w:hAnsi="宋体" w:cs="宋体"/>
                <w:b/>
                <w:bCs/>
                <w:sz w:val="22"/>
                <w:szCs w:val="22"/>
              </w:rPr>
            </w:pPr>
            <w:r>
              <w:rPr>
                <w:rFonts w:hint="eastAsia" w:ascii="宋体" w:hAnsi="宋体" w:cs="宋体"/>
                <w:b/>
                <w:bCs/>
                <w:sz w:val="22"/>
                <w:szCs w:val="22"/>
              </w:rPr>
              <w:t>（一）评审内容：</w:t>
            </w:r>
          </w:p>
          <w:p>
            <w:pPr>
              <w:widowControl/>
              <w:jc w:val="left"/>
              <w:textAlignment w:val="center"/>
            </w:pPr>
            <w:r>
              <w:rPr>
                <w:rFonts w:hint="eastAsia"/>
              </w:rPr>
              <w:t>投标人2020年7月至投标截止日曾受托于中央部门或国家部委（含下属司）或副省级或以上城市相关职能部门，开展过的文物艺术品交易流通类项目经验，每项得3分。曾受托于其他级别城市相关职能部门，开展过的文物艺术品交易流通类项目经验，每项得1分。总计最高分15分。</w:t>
            </w:r>
          </w:p>
          <w:p>
            <w:pPr>
              <w:widowControl/>
              <w:jc w:val="left"/>
              <w:textAlignment w:val="center"/>
              <w:rPr>
                <w:rFonts w:ascii="宋体" w:hAnsi="宋体" w:cs="宋体"/>
                <w:b/>
                <w:bCs/>
                <w:sz w:val="22"/>
                <w:szCs w:val="22"/>
              </w:rPr>
            </w:pPr>
            <w:r>
              <w:rPr>
                <w:rFonts w:hint="eastAsia" w:ascii="宋体" w:hAnsi="宋体" w:cs="宋体"/>
                <w:b/>
                <w:bCs/>
                <w:sz w:val="22"/>
                <w:szCs w:val="22"/>
              </w:rPr>
              <w:t>（二）评审标准：</w:t>
            </w:r>
          </w:p>
          <w:p>
            <w:pPr>
              <w:widowControl/>
              <w:jc w:val="left"/>
              <w:textAlignment w:val="center"/>
            </w:pPr>
            <w:r>
              <w:rPr>
                <w:rFonts w:hint="eastAsia"/>
              </w:rPr>
              <w:t>1.要求提供合同关键页（有公章、签名，能体现项目名字的首页、尾页、时间页、主要内容页）或者任务书或者委托书或相关政府会议纪要等证明文件作为得分依据。(以委托时间或合同签订时间为准)</w:t>
            </w:r>
          </w:p>
          <w:p>
            <w:pPr>
              <w:widowControl/>
              <w:jc w:val="left"/>
              <w:textAlignment w:val="center"/>
            </w:pPr>
            <w:r>
              <w:rPr>
                <w:rFonts w:hint="eastAsia"/>
              </w:rPr>
              <w:t>2.副省级（或以上）城市指：4个直辖市（北京、上海、天津、重庆）以及15个副省级城市（广州、武汉、哈尔滨、沈阳、成都、南京、西安、长春、济南、杭州、大连、青岛、深圳、厦门、宁波）。</w:t>
            </w:r>
          </w:p>
          <w:p>
            <w:pPr>
              <w:widowControl/>
              <w:jc w:val="left"/>
              <w:textAlignment w:val="center"/>
            </w:pPr>
            <w:r>
              <w:rPr>
                <w:rFonts w:hint="eastAsia"/>
              </w:rPr>
              <w:t>3.以上资料均要求提供复印件加盖公章，原件备查。评分中出现无证明资料或专家无法凭所提供资料判断是否得分的情况，一律作不得分处理。</w:t>
            </w:r>
          </w:p>
        </w:tc>
        <w:tc>
          <w:tcPr>
            <w:tcW w:w="682" w:type="dxa"/>
            <w:tcBorders>
              <w:tl2br w:val="nil"/>
              <w:tr2bl w:val="nil"/>
            </w:tcBorders>
            <w:vAlign w:val="center"/>
          </w:tcPr>
          <w:p>
            <w:pPr>
              <w:widowControl/>
              <w:jc w:val="center"/>
              <w:textAlignment w:val="center"/>
              <w:rPr>
                <w:rFonts w:ascii="宋体" w:hAnsi="宋体" w:cs="宋体"/>
                <w:sz w:val="22"/>
                <w:szCs w:val="22"/>
              </w:rPr>
            </w:pPr>
            <w:r>
              <w:rPr>
                <w:rFonts w:ascii="宋体" w:hAnsi="宋体" w:cs="宋体"/>
                <w:kern w:val="0"/>
                <w:sz w:val="22"/>
                <w:szCs w:val="22"/>
                <w:lang w:bidi="ar"/>
              </w:rPr>
              <w:t>15</w:t>
            </w:r>
          </w:p>
        </w:tc>
        <w:tc>
          <w:tcPr>
            <w:tcW w:w="873" w:type="dxa"/>
            <w:tcBorders>
              <w:tl2br w:val="nil"/>
              <w:tr2bl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l2br w:val="nil"/>
              <w:tr2bl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713" w:type="dxa"/>
            <w:tcBorders>
              <w:tl2br w:val="nil"/>
              <w:tr2bl w:val="nil"/>
            </w:tcBorders>
            <w:vAlign w:val="center"/>
          </w:tcPr>
          <w:p>
            <w:pPr>
              <w:widowControl/>
              <w:jc w:val="center"/>
              <w:textAlignment w:val="center"/>
              <w:rPr>
                <w:rFonts w:ascii="宋体" w:hAnsi="宋体" w:cs="宋体"/>
                <w:kern w:val="0"/>
                <w:sz w:val="22"/>
                <w:szCs w:val="22"/>
                <w:lang w:bidi="ar"/>
              </w:rPr>
            </w:pPr>
            <w:r>
              <w:rPr>
                <w:rFonts w:ascii="宋体" w:hAnsi="宋体" w:cs="宋体"/>
                <w:kern w:val="0"/>
                <w:sz w:val="22"/>
                <w:szCs w:val="22"/>
                <w:lang w:bidi="ar"/>
              </w:rPr>
              <w:t>3</w:t>
            </w:r>
          </w:p>
        </w:tc>
        <w:tc>
          <w:tcPr>
            <w:tcW w:w="791" w:type="dxa"/>
            <w:tcBorders>
              <w:tl2br w:val="nil"/>
              <w:tr2bl w:val="nil"/>
            </w:tcBorders>
            <w:vAlign w:val="center"/>
          </w:tcPr>
          <w:p>
            <w:pPr>
              <w:widowControl/>
              <w:jc w:val="center"/>
              <w:textAlignment w:val="center"/>
              <w:rPr>
                <w:rFonts w:ascii="宋体" w:hAnsi="宋体" w:cs="宋体"/>
                <w:sz w:val="22"/>
                <w:szCs w:val="22"/>
              </w:rPr>
            </w:pPr>
            <w:r>
              <w:rPr>
                <w:rFonts w:hint="eastAsia" w:ascii="宋体" w:hAnsi="宋体" w:cs="宋体"/>
                <w:sz w:val="22"/>
                <w:szCs w:val="22"/>
              </w:rPr>
              <w:t>团队负责人情况</w:t>
            </w:r>
          </w:p>
        </w:tc>
        <w:tc>
          <w:tcPr>
            <w:tcW w:w="5836" w:type="dxa"/>
            <w:tcBorders>
              <w:tl2br w:val="nil"/>
              <w:tr2bl w:val="nil"/>
            </w:tcBorders>
            <w:vAlign w:val="center"/>
          </w:tcPr>
          <w:p>
            <w:pPr>
              <w:widowControl/>
              <w:jc w:val="left"/>
              <w:textAlignment w:val="center"/>
              <w:rPr>
                <w:rFonts w:ascii="宋体" w:hAnsi="宋体" w:cs="宋体"/>
                <w:b/>
                <w:bCs/>
                <w:sz w:val="22"/>
                <w:szCs w:val="22"/>
              </w:rPr>
            </w:pPr>
            <w:r>
              <w:rPr>
                <w:rFonts w:hint="eastAsia" w:ascii="宋体" w:hAnsi="宋体" w:cs="宋体"/>
                <w:b/>
                <w:bCs/>
                <w:sz w:val="22"/>
                <w:szCs w:val="22"/>
              </w:rPr>
              <w:t>（一）评审内容：</w:t>
            </w:r>
          </w:p>
          <w:p>
            <w:pPr>
              <w:textAlignment w:val="center"/>
              <w:rPr>
                <w:rFonts w:ascii="宋体" w:hAnsi="宋体" w:cs="宋体"/>
                <w:sz w:val="22"/>
                <w:szCs w:val="22"/>
              </w:rPr>
            </w:pPr>
            <w:r>
              <w:rPr>
                <w:rFonts w:hint="eastAsia" w:ascii="宋体" w:hAnsi="宋体" w:cs="宋体"/>
                <w:sz w:val="22"/>
                <w:szCs w:val="22"/>
              </w:rPr>
              <w:t>根据投标人拟派本项目负责人资质打分：</w:t>
            </w:r>
          </w:p>
          <w:p>
            <w:pPr>
              <w:widowControl/>
              <w:jc w:val="left"/>
              <w:textAlignment w:val="center"/>
            </w:pPr>
            <w:r>
              <w:rPr>
                <w:rFonts w:hint="eastAsia"/>
              </w:rPr>
              <w:t>1.项目负责人具有教授/研究员</w:t>
            </w:r>
            <w:r>
              <w:rPr>
                <w:rFonts w:hint="eastAsia" w:ascii="宋体" w:hAnsi="宋体" w:cs="宋体"/>
                <w:sz w:val="22"/>
                <w:szCs w:val="22"/>
              </w:rPr>
              <w:t>或其他正高级职称</w:t>
            </w:r>
            <w:r>
              <w:rPr>
                <w:rFonts w:hint="eastAsia"/>
              </w:rPr>
              <w:t>得4分；</w:t>
            </w:r>
          </w:p>
          <w:p>
            <w:pPr>
              <w:widowControl/>
              <w:jc w:val="left"/>
              <w:textAlignment w:val="center"/>
            </w:pPr>
            <w:r>
              <w:t>2</w:t>
            </w:r>
            <w:r>
              <w:rPr>
                <w:rFonts w:hint="eastAsia"/>
              </w:rPr>
              <w:t>.2020年</w:t>
            </w:r>
            <w:r>
              <w:t>9</w:t>
            </w:r>
            <w:r>
              <w:rPr>
                <w:rFonts w:hint="eastAsia"/>
              </w:rPr>
              <w:t>月1日-投标截止日(以委托时间或合同签订时间为准)，以合同签订时间为准，参与过副省级及以上城市相关职能部门的文物艺术品交易流通类项目，每项得1分，参与过其他级别城市相关职能部门的文物艺术品交易流通类项目，每项得</w:t>
            </w:r>
            <w:r>
              <w:t>0.5</w:t>
            </w:r>
            <w:r>
              <w:rPr>
                <w:rFonts w:hint="eastAsia"/>
              </w:rPr>
              <w:t>分】最高3分。</w:t>
            </w:r>
          </w:p>
          <w:p>
            <w:pPr>
              <w:widowControl/>
              <w:jc w:val="left"/>
              <w:textAlignment w:val="center"/>
            </w:pPr>
            <w:r>
              <w:t>3</w:t>
            </w:r>
            <w:r>
              <w:rPr>
                <w:rFonts w:hint="eastAsia"/>
              </w:rPr>
              <w:t>.从2020年</w:t>
            </w:r>
            <w:r>
              <w:t>9</w:t>
            </w:r>
            <w:r>
              <w:rPr>
                <w:rFonts w:hint="eastAsia"/>
              </w:rPr>
              <w:t>月1日至投标截止日获得文物艺术品交易流通类相关项目国家级奖项或国家级领导肯定性批示的（项目负责人需作为第一完成人），得2分。</w:t>
            </w:r>
          </w:p>
          <w:p>
            <w:pPr>
              <w:widowControl/>
              <w:jc w:val="left"/>
              <w:textAlignment w:val="center"/>
              <w:rPr>
                <w:rFonts w:ascii="宋体" w:hAnsi="宋体" w:cs="宋体"/>
                <w:b/>
                <w:bCs/>
                <w:sz w:val="22"/>
                <w:szCs w:val="22"/>
              </w:rPr>
            </w:pPr>
            <w:r>
              <w:rPr>
                <w:rFonts w:hint="eastAsia" w:ascii="宋体" w:hAnsi="宋体" w:cs="宋体"/>
                <w:b/>
                <w:bCs/>
                <w:sz w:val="22"/>
                <w:szCs w:val="22"/>
              </w:rPr>
              <w:t>（二）评审标准：</w:t>
            </w:r>
          </w:p>
          <w:p>
            <w:pPr>
              <w:widowControl/>
              <w:jc w:val="left"/>
              <w:textAlignment w:val="center"/>
            </w:pPr>
            <w:r>
              <w:rPr>
                <w:rFonts w:hint="eastAsia"/>
              </w:rPr>
              <w:t>1.职称证书提供复印件或证书官网截图，无法在公开渠道查询的，提供颁发部门或人力资源和社会保障局的证明材料。</w:t>
            </w:r>
          </w:p>
          <w:p>
            <w:pPr>
              <w:widowControl/>
              <w:jc w:val="left"/>
              <w:textAlignment w:val="center"/>
            </w:pPr>
            <w:r>
              <w:rPr>
                <w:rFonts w:hint="eastAsia"/>
              </w:rPr>
              <w:t>2.提供投标人为其缴纳的载有社保部门公章的近6个月内任1个月的个人社保证明（或加盖投标单位公章的社保承诺函）。</w:t>
            </w:r>
          </w:p>
          <w:p>
            <w:pPr>
              <w:widowControl/>
              <w:jc w:val="left"/>
              <w:textAlignment w:val="center"/>
            </w:pPr>
            <w:r>
              <w:rPr>
                <w:rFonts w:hint="eastAsia"/>
              </w:rPr>
              <w:t>3.如涉及考察人员工作经验，要求提供项目合同或者任务书(体现人员名称)作为得分依据，通过合同关键信息无法判断是否得分的，还须同时提供合同甲方出具的证明文件。</w:t>
            </w:r>
          </w:p>
          <w:p>
            <w:pPr>
              <w:widowControl/>
              <w:jc w:val="left"/>
              <w:textAlignment w:val="center"/>
            </w:pPr>
            <w:r>
              <w:rPr>
                <w:rFonts w:hint="eastAsia"/>
              </w:rPr>
              <w:t>4.由社会组织颁发的证书，还需提供该组织在“中国社会组织政务服务平台”的已合法登记且状态正常截图。</w:t>
            </w:r>
          </w:p>
          <w:p>
            <w:pPr>
              <w:widowControl/>
              <w:jc w:val="left"/>
              <w:textAlignment w:val="center"/>
            </w:pPr>
            <w:r>
              <w:rPr>
                <w:rFonts w:hint="eastAsia"/>
              </w:rPr>
              <w:t>5.提供奖项证书或者奖项图片或者其他相关证明材料。</w:t>
            </w:r>
          </w:p>
          <w:p>
            <w:pPr>
              <w:widowControl/>
              <w:jc w:val="left"/>
              <w:textAlignment w:val="center"/>
            </w:pPr>
            <w:r>
              <w:rPr>
                <w:rFonts w:hint="eastAsia"/>
              </w:rPr>
              <w:t>6.以上资料均要求提供复印件加盖公章，原件备查。未按要求提供或提供不清晰导致专家无法判断的不得分。</w:t>
            </w:r>
          </w:p>
        </w:tc>
        <w:tc>
          <w:tcPr>
            <w:tcW w:w="682" w:type="dxa"/>
            <w:tcBorders>
              <w:tl2br w:val="nil"/>
              <w:tr2bl w:val="nil"/>
            </w:tcBorders>
            <w:vAlign w:val="center"/>
          </w:tcPr>
          <w:p>
            <w:pPr>
              <w:widowControl/>
              <w:jc w:val="center"/>
              <w:textAlignment w:val="center"/>
              <w:rPr>
                <w:rFonts w:ascii="宋体" w:hAnsi="宋体" w:cs="宋体"/>
                <w:kern w:val="0"/>
                <w:sz w:val="22"/>
                <w:szCs w:val="22"/>
                <w:lang w:bidi="ar"/>
              </w:rPr>
            </w:pPr>
            <w:r>
              <w:rPr>
                <w:rFonts w:ascii="宋体" w:hAnsi="宋体" w:cs="宋体"/>
                <w:kern w:val="0"/>
                <w:sz w:val="22"/>
                <w:szCs w:val="22"/>
                <w:lang w:bidi="ar"/>
              </w:rPr>
              <w:t>9</w:t>
            </w:r>
          </w:p>
        </w:tc>
        <w:tc>
          <w:tcPr>
            <w:tcW w:w="873" w:type="dxa"/>
            <w:tcBorders>
              <w:tl2br w:val="nil"/>
              <w:tr2bl w:val="nil"/>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l2br w:val="nil"/>
              <w:tr2bl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8" w:hRule="atLeast"/>
          <w:jc w:val="center"/>
        </w:trPr>
        <w:tc>
          <w:tcPr>
            <w:tcW w:w="713" w:type="dxa"/>
            <w:tcBorders>
              <w:tl2br w:val="nil"/>
              <w:tr2bl w:val="nil"/>
            </w:tcBorders>
            <w:vAlign w:val="center"/>
          </w:tcPr>
          <w:p>
            <w:pPr>
              <w:autoSpaceDE w:val="0"/>
              <w:autoSpaceDN w:val="0"/>
              <w:adjustRightInd w:val="0"/>
              <w:spacing w:line="360" w:lineRule="auto"/>
              <w:jc w:val="center"/>
              <w:rPr>
                <w:rFonts w:ascii="宋体" w:hAnsi="宋体" w:cs="宋体"/>
                <w:kern w:val="0"/>
                <w:sz w:val="22"/>
                <w:szCs w:val="22"/>
                <w:lang w:bidi="ar"/>
              </w:rPr>
            </w:pPr>
            <w:r>
              <w:rPr>
                <w:rFonts w:ascii="宋体" w:hAnsi="宋体" w:cs="宋体"/>
                <w:sz w:val="22"/>
                <w:szCs w:val="22"/>
              </w:rPr>
              <w:t>4</w:t>
            </w:r>
          </w:p>
        </w:tc>
        <w:tc>
          <w:tcPr>
            <w:tcW w:w="791" w:type="dxa"/>
            <w:tcBorders>
              <w:tl2br w:val="nil"/>
              <w:tr2bl w:val="nil"/>
            </w:tcBorders>
            <w:vAlign w:val="center"/>
          </w:tcPr>
          <w:p>
            <w:pPr>
              <w:widowControl/>
              <w:spacing w:line="360" w:lineRule="exact"/>
              <w:textAlignment w:val="center"/>
              <w:rPr>
                <w:rFonts w:ascii="宋体" w:hAnsi="宋体" w:cs="宋体"/>
                <w:bCs/>
                <w:kern w:val="0"/>
                <w:szCs w:val="21"/>
                <w:lang w:bidi="ar"/>
              </w:rPr>
            </w:pPr>
            <w:r>
              <w:rPr>
                <w:rFonts w:hint="eastAsia" w:ascii="宋体" w:hAnsi="宋体" w:cs="宋体"/>
                <w:bCs/>
                <w:kern w:val="0"/>
                <w:sz w:val="22"/>
                <w:szCs w:val="22"/>
                <w:lang w:bidi="ar"/>
              </w:rPr>
              <w:t>项目团队情况（项目负责人除外）</w:t>
            </w:r>
          </w:p>
        </w:tc>
        <w:tc>
          <w:tcPr>
            <w:tcW w:w="5836" w:type="dxa"/>
            <w:tcBorders>
              <w:tl2br w:val="nil"/>
              <w:tr2bl w:val="nil"/>
            </w:tcBorders>
          </w:tcPr>
          <w:p>
            <w:pPr>
              <w:widowControl/>
              <w:jc w:val="left"/>
              <w:textAlignment w:val="center"/>
              <w:rPr>
                <w:rFonts w:ascii="宋体" w:hAnsi="宋体" w:cs="宋体"/>
                <w:b/>
                <w:bCs/>
                <w:sz w:val="22"/>
                <w:szCs w:val="22"/>
              </w:rPr>
            </w:pPr>
            <w:r>
              <w:rPr>
                <w:rFonts w:hint="eastAsia" w:ascii="宋体" w:hAnsi="宋体" w:cs="宋体"/>
                <w:b/>
                <w:bCs/>
                <w:sz w:val="22"/>
                <w:szCs w:val="22"/>
              </w:rPr>
              <w:t>（一）评审内容：</w:t>
            </w:r>
          </w:p>
          <w:p>
            <w:pPr>
              <w:textAlignment w:val="center"/>
              <w:rPr>
                <w:rFonts w:ascii="宋体" w:hAnsi="宋体" w:cs="宋体"/>
                <w:sz w:val="22"/>
                <w:szCs w:val="22"/>
              </w:rPr>
            </w:pPr>
            <w:r>
              <w:rPr>
                <w:rFonts w:hint="eastAsia" w:ascii="宋体" w:hAnsi="宋体" w:cs="宋体"/>
                <w:sz w:val="22"/>
                <w:szCs w:val="22"/>
              </w:rPr>
              <w:t>根据投标人拟派本项目团队成员人数、素质情况打分：</w:t>
            </w:r>
          </w:p>
          <w:p>
            <w:pPr>
              <w:widowControl/>
              <w:jc w:val="left"/>
              <w:textAlignment w:val="center"/>
              <w:rPr>
                <w:rFonts w:ascii="宋体" w:hAnsi="宋体" w:cs="宋体"/>
                <w:sz w:val="22"/>
                <w:szCs w:val="22"/>
              </w:rPr>
            </w:pPr>
            <w:r>
              <w:rPr>
                <w:rFonts w:hint="eastAsia" w:ascii="宋体" w:hAnsi="宋体" w:cs="宋体"/>
                <w:sz w:val="22"/>
                <w:szCs w:val="22"/>
              </w:rPr>
              <w:t>拟投入本项目的团队人员（不含项目负责人）具有正高级职称的每人得2分，最高8分；博士学位或副高级职称的每人得2分，最高不得超过6分；具备硕士学位或中级职称的，每人得1分，最高不超过4分。同一团队成员若满足以上不同的要求，不可累计得分，仅取高分项。本项合计最高不超过8分。</w:t>
            </w:r>
          </w:p>
          <w:p>
            <w:pPr>
              <w:widowControl/>
              <w:jc w:val="left"/>
              <w:textAlignment w:val="center"/>
              <w:rPr>
                <w:rFonts w:ascii="宋体" w:hAnsi="宋体" w:cs="宋体"/>
                <w:b/>
                <w:bCs/>
                <w:sz w:val="22"/>
                <w:szCs w:val="22"/>
              </w:rPr>
            </w:pPr>
            <w:r>
              <w:rPr>
                <w:rFonts w:hint="eastAsia" w:ascii="宋体" w:hAnsi="宋体" w:cs="宋体"/>
                <w:b/>
                <w:bCs/>
                <w:sz w:val="22"/>
                <w:szCs w:val="22"/>
              </w:rPr>
              <w:t>（二）评审标准：</w:t>
            </w:r>
          </w:p>
          <w:p>
            <w:pPr>
              <w:textAlignment w:val="center"/>
              <w:rPr>
                <w:rFonts w:ascii="宋体" w:hAnsi="宋体" w:cs="宋体"/>
                <w:bCs/>
                <w:kern w:val="0"/>
                <w:szCs w:val="21"/>
                <w:lang w:bidi="ar"/>
              </w:rPr>
            </w:pPr>
            <w:r>
              <w:rPr>
                <w:rFonts w:hint="eastAsia" w:ascii="宋体" w:hAnsi="宋体" w:cs="宋体"/>
                <w:bCs/>
                <w:kern w:val="0"/>
                <w:szCs w:val="21"/>
                <w:lang w:bidi="ar"/>
              </w:rPr>
              <w:t>1.提供学位证书复印件及学信网查询记录（学信网无法查询的，提供毕业院校或者人社部门等颁发机构或者监管机构等单位出具的证明）作为得分依据。（若为境外留学学历，无需提供学信网查询记录，需提供教育部留学服务中心出具的学历学位认证书）。</w:t>
            </w:r>
          </w:p>
          <w:p>
            <w:pPr>
              <w:textAlignment w:val="center"/>
              <w:rPr>
                <w:rFonts w:ascii="宋体" w:hAnsi="宋体" w:cs="宋体"/>
                <w:bCs/>
                <w:kern w:val="0"/>
                <w:szCs w:val="21"/>
                <w:lang w:bidi="ar"/>
              </w:rPr>
            </w:pPr>
            <w:r>
              <w:rPr>
                <w:rFonts w:hint="eastAsia" w:ascii="宋体" w:hAnsi="宋体" w:cs="宋体"/>
                <w:bCs/>
                <w:kern w:val="0"/>
                <w:szCs w:val="21"/>
                <w:lang w:bidi="ar"/>
              </w:rPr>
              <w:t>2.职称证书提供复印件或者证书官网截图，无法在公开渠道查询的，提供颁发部门或人力资源和社会保障局的证明材料。</w:t>
            </w:r>
          </w:p>
          <w:p>
            <w:pPr>
              <w:textAlignment w:val="center"/>
              <w:rPr>
                <w:rFonts w:ascii="宋体" w:hAnsi="宋体" w:cs="宋体"/>
                <w:bCs/>
                <w:kern w:val="0"/>
                <w:szCs w:val="21"/>
                <w:lang w:bidi="ar"/>
              </w:rPr>
            </w:pPr>
            <w:r>
              <w:rPr>
                <w:rFonts w:hint="eastAsia" w:ascii="宋体" w:hAnsi="宋体" w:cs="宋体"/>
                <w:bCs/>
                <w:kern w:val="0"/>
                <w:szCs w:val="21"/>
                <w:lang w:bidi="ar"/>
              </w:rPr>
              <w:t>3.提供投标人为其缴纳的载有社保部门公章的近6个月内任1个月的个人社保证明（或加盖投标单位公章的社保承诺函）。</w:t>
            </w:r>
          </w:p>
          <w:p>
            <w:pPr>
              <w:textAlignment w:val="center"/>
              <w:rPr>
                <w:rFonts w:ascii="宋体" w:hAnsi="宋体" w:cs="宋体"/>
                <w:bCs/>
                <w:kern w:val="0"/>
                <w:szCs w:val="21"/>
                <w:lang w:bidi="ar"/>
              </w:rPr>
            </w:pPr>
            <w:r>
              <w:rPr>
                <w:rFonts w:hint="eastAsia" w:ascii="宋体" w:hAnsi="宋体" w:cs="宋体"/>
                <w:bCs/>
                <w:kern w:val="0"/>
                <w:szCs w:val="21"/>
                <w:lang w:bidi="ar"/>
              </w:rPr>
              <w:t>4.以上资料均要求提供复印件加盖公章，原件备查。未按要求提供或提供不清晰导致专家无法判断的不得分。</w:t>
            </w:r>
          </w:p>
        </w:tc>
        <w:tc>
          <w:tcPr>
            <w:tcW w:w="682" w:type="dxa"/>
            <w:tcBorders>
              <w:tl2br w:val="nil"/>
              <w:tr2bl w:val="nil"/>
            </w:tcBorders>
            <w:vAlign w:val="center"/>
          </w:tcPr>
          <w:p>
            <w:pPr>
              <w:spacing w:line="360" w:lineRule="auto"/>
              <w:jc w:val="center"/>
              <w:rPr>
                <w:rFonts w:ascii="宋体" w:hAnsi="宋体" w:cs="宋体"/>
                <w:kern w:val="0"/>
                <w:sz w:val="22"/>
                <w:szCs w:val="22"/>
                <w:lang w:bidi="ar"/>
              </w:rPr>
            </w:pPr>
            <w:r>
              <w:rPr>
                <w:rFonts w:ascii="宋体" w:hAnsi="宋体" w:cs="宋体"/>
                <w:sz w:val="24"/>
              </w:rPr>
              <w:t>8</w:t>
            </w:r>
          </w:p>
        </w:tc>
        <w:tc>
          <w:tcPr>
            <w:tcW w:w="873" w:type="dxa"/>
            <w:tcBorders>
              <w:tl2br w:val="nil"/>
              <w:tr2bl w:val="nil"/>
            </w:tcBorders>
            <w:vAlign w:val="center"/>
          </w:tcPr>
          <w:p>
            <w:pPr>
              <w:autoSpaceDE w:val="0"/>
              <w:autoSpaceDN w:val="0"/>
              <w:adjustRightInd w:val="0"/>
              <w:spacing w:line="360" w:lineRule="auto"/>
              <w:jc w:val="center"/>
              <w:rPr>
                <w:rFonts w:ascii="宋体" w:hAnsi="宋体" w:cs="宋体"/>
                <w:kern w:val="0"/>
                <w:sz w:val="22"/>
                <w:szCs w:val="22"/>
                <w:lang w:bidi="ar"/>
              </w:rPr>
            </w:pPr>
            <w:r>
              <w:rPr>
                <w:rFonts w:hint="eastAsia" w:ascii="宋体" w:hAnsi="宋体" w:cs="宋体"/>
                <w:bCs/>
                <w:kern w:val="0"/>
                <w:szCs w:val="21"/>
                <w:lang w:val="zh-CN" w:bidi="ar"/>
              </w:rPr>
              <w:t>评审委员打分</w:t>
            </w:r>
          </w:p>
        </w:tc>
        <w:tc>
          <w:tcPr>
            <w:tcW w:w="807" w:type="dxa"/>
            <w:tcBorders>
              <w:tl2br w:val="nil"/>
              <w:tr2bl w:val="nil"/>
            </w:tcBorders>
            <w:vAlign w:val="center"/>
          </w:tcPr>
          <w:p>
            <w:pPr>
              <w:autoSpaceDE w:val="0"/>
              <w:autoSpaceDN w:val="0"/>
              <w:adjustRightInd w:val="0"/>
              <w:spacing w:line="360" w:lineRule="auto"/>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3" w:type="dxa"/>
            <w:tcBorders>
              <w:tl2br w:val="nil"/>
              <w:tr2bl w:val="nil"/>
            </w:tcBorders>
            <w:vAlign w:val="center"/>
          </w:tcPr>
          <w:p>
            <w:pPr>
              <w:autoSpaceDE w:val="0"/>
              <w:autoSpaceDN w:val="0"/>
              <w:adjustRightInd w:val="0"/>
              <w:jc w:val="center"/>
              <w:rPr>
                <w:rFonts w:ascii="宋体" w:hAnsi="宋体" w:cs="宋体"/>
                <w:sz w:val="22"/>
                <w:szCs w:val="22"/>
              </w:rPr>
            </w:pPr>
            <w:r>
              <w:rPr>
                <w:rFonts w:ascii="宋体" w:hAnsi="宋体" w:cs="宋体"/>
                <w:sz w:val="22"/>
                <w:szCs w:val="22"/>
              </w:rPr>
              <w:t>5</w:t>
            </w:r>
          </w:p>
        </w:tc>
        <w:tc>
          <w:tcPr>
            <w:tcW w:w="791" w:type="dxa"/>
            <w:tcBorders>
              <w:tl2br w:val="nil"/>
              <w:tr2bl w:val="nil"/>
            </w:tcBorders>
            <w:vAlign w:val="center"/>
          </w:tcPr>
          <w:p>
            <w:pPr>
              <w:widowControl/>
              <w:textAlignment w:val="center"/>
              <w:rPr>
                <w:rFonts w:ascii="宋体" w:hAnsi="宋体" w:cs="宋体"/>
                <w:kern w:val="0"/>
                <w:sz w:val="22"/>
                <w:szCs w:val="22"/>
                <w:lang w:bidi="ar"/>
              </w:rPr>
            </w:pPr>
            <w:r>
              <w:rPr>
                <w:rFonts w:ascii="宋体" w:hAnsi="宋体" w:cs="宋体"/>
                <w:kern w:val="0"/>
                <w:sz w:val="22"/>
                <w:szCs w:val="22"/>
                <w:lang w:bidi="ar"/>
              </w:rPr>
              <w:t>单位获奖情况</w:t>
            </w:r>
          </w:p>
        </w:tc>
        <w:tc>
          <w:tcPr>
            <w:tcW w:w="5836" w:type="dxa"/>
            <w:tcBorders>
              <w:tl2br w:val="nil"/>
              <w:tr2bl w:val="nil"/>
            </w:tcBorders>
          </w:tcPr>
          <w:p>
            <w:pPr>
              <w:widowControl/>
              <w:jc w:val="left"/>
              <w:textAlignment w:val="center"/>
              <w:rPr>
                <w:rFonts w:ascii="宋体" w:hAnsi="宋体" w:cs="宋体"/>
                <w:b/>
                <w:bCs/>
                <w:sz w:val="22"/>
                <w:szCs w:val="22"/>
              </w:rPr>
            </w:pPr>
            <w:r>
              <w:rPr>
                <w:rFonts w:hint="eastAsia" w:ascii="宋体" w:hAnsi="宋体" w:cs="宋体"/>
                <w:b/>
                <w:bCs/>
                <w:sz w:val="22"/>
                <w:szCs w:val="22"/>
              </w:rPr>
              <w:t>（一） 评审内容：</w:t>
            </w:r>
          </w:p>
          <w:p>
            <w:pPr>
              <w:widowControl/>
              <w:textAlignment w:val="center"/>
              <w:rPr>
                <w:rFonts w:ascii="宋体" w:hAnsi="宋体" w:cs="宋体"/>
                <w:sz w:val="22"/>
                <w:szCs w:val="22"/>
              </w:rPr>
            </w:pPr>
            <w:r>
              <w:rPr>
                <w:rFonts w:hint="eastAsia" w:ascii="宋体" w:hAnsi="宋体" w:cs="宋体"/>
                <w:sz w:val="22"/>
                <w:szCs w:val="22"/>
              </w:rPr>
              <w:t>2020年</w:t>
            </w:r>
            <w:r>
              <w:rPr>
                <w:rFonts w:ascii="宋体" w:hAnsi="宋体" w:cs="宋体"/>
                <w:sz w:val="22"/>
                <w:szCs w:val="22"/>
              </w:rPr>
              <w:t>9</w:t>
            </w:r>
            <w:r>
              <w:rPr>
                <w:rFonts w:hint="eastAsia" w:ascii="宋体" w:hAnsi="宋体" w:cs="宋体"/>
                <w:sz w:val="22"/>
                <w:szCs w:val="22"/>
              </w:rPr>
              <w:t>月1日-投标截止日，获得文物艺术品交易流通类相关项目国家级奖项或国家级领导人肯定性批示每项得2分，获得省级奖项或省部级及以上部门采纳每项得1分。获得其他级别奖项的，每项得0.5分。本项满分为6分。</w:t>
            </w:r>
          </w:p>
          <w:p>
            <w:pPr>
              <w:widowControl/>
              <w:jc w:val="left"/>
              <w:textAlignment w:val="center"/>
              <w:rPr>
                <w:rFonts w:ascii="宋体" w:hAnsi="宋体" w:cs="宋体"/>
                <w:b/>
                <w:bCs/>
                <w:sz w:val="22"/>
                <w:szCs w:val="22"/>
              </w:rPr>
            </w:pPr>
            <w:r>
              <w:rPr>
                <w:rFonts w:hint="eastAsia" w:ascii="宋体" w:hAnsi="宋体" w:cs="宋体"/>
                <w:b/>
                <w:bCs/>
                <w:sz w:val="22"/>
                <w:szCs w:val="22"/>
              </w:rPr>
              <w:t>（二）评分标准：</w:t>
            </w:r>
          </w:p>
          <w:p>
            <w:pPr>
              <w:widowControl/>
              <w:textAlignment w:val="center"/>
              <w:rPr>
                <w:rFonts w:ascii="宋体" w:hAnsi="宋体" w:cs="宋体"/>
                <w:sz w:val="22"/>
                <w:szCs w:val="22"/>
              </w:rPr>
            </w:pPr>
            <w:r>
              <w:rPr>
                <w:rFonts w:hint="eastAsia" w:ascii="宋体" w:hAnsi="宋体" w:cs="宋体"/>
                <w:sz w:val="22"/>
                <w:szCs w:val="22"/>
              </w:rPr>
              <w:t>1.需提供有效的证明材料加盖投标人公章，原件备查。</w:t>
            </w:r>
          </w:p>
          <w:p>
            <w:pPr>
              <w:widowControl/>
              <w:textAlignment w:val="center"/>
              <w:rPr>
                <w:rFonts w:ascii="宋体" w:hAnsi="宋体" w:cs="宋体"/>
                <w:sz w:val="22"/>
                <w:szCs w:val="22"/>
              </w:rPr>
            </w:pPr>
            <w:r>
              <w:rPr>
                <w:rFonts w:hint="eastAsia" w:ascii="宋体" w:hAnsi="宋体" w:cs="宋体"/>
                <w:sz w:val="22"/>
                <w:szCs w:val="22"/>
              </w:rPr>
              <w:t>2.国家级奖项指奖项颁发单位为国务院（或其直接所属的行政机关）或全国性行业协会（学会）；省级奖项指奖项颁发单位为省（自治区、直辖市）人民政府（或其直接所属的行政机关），或省级（自治区、直辖市）行业协会（学会）。</w:t>
            </w:r>
          </w:p>
          <w:p>
            <w:pPr>
              <w:widowControl/>
              <w:textAlignment w:val="center"/>
              <w:rPr>
                <w:rFonts w:ascii="宋体" w:hAnsi="宋体" w:cs="宋体"/>
                <w:sz w:val="22"/>
                <w:szCs w:val="22"/>
              </w:rPr>
            </w:pPr>
            <w:r>
              <w:rPr>
                <w:rFonts w:hint="eastAsia" w:ascii="宋体" w:hAnsi="宋体" w:cs="宋体"/>
                <w:sz w:val="22"/>
                <w:szCs w:val="22"/>
              </w:rPr>
              <w:t>3.由国内社会组织颁发的证书，还需提供该组织在“中国社会组织政务服务平台”的已合法登记且状态正常截图。</w:t>
            </w:r>
          </w:p>
        </w:tc>
        <w:tc>
          <w:tcPr>
            <w:tcW w:w="682" w:type="dxa"/>
            <w:tcBorders>
              <w:tl2br w:val="nil"/>
              <w:tr2bl w:val="nil"/>
            </w:tcBorders>
            <w:vAlign w:val="center"/>
          </w:tcPr>
          <w:p>
            <w:pPr>
              <w:jc w:val="center"/>
              <w:rPr>
                <w:rFonts w:ascii="宋体" w:hAnsi="宋体" w:cs="宋体"/>
                <w:sz w:val="24"/>
              </w:rPr>
            </w:pPr>
            <w:r>
              <w:rPr>
                <w:rFonts w:ascii="宋体" w:hAnsi="宋体" w:cs="宋体"/>
                <w:sz w:val="24"/>
              </w:rPr>
              <w:t>6</w:t>
            </w:r>
          </w:p>
        </w:tc>
        <w:tc>
          <w:tcPr>
            <w:tcW w:w="873" w:type="dxa"/>
            <w:tcBorders>
              <w:tl2br w:val="nil"/>
              <w:tr2bl w:val="nil"/>
            </w:tcBorders>
            <w:vAlign w:val="center"/>
          </w:tcPr>
          <w:p>
            <w:pPr>
              <w:autoSpaceDE w:val="0"/>
              <w:autoSpaceDN w:val="0"/>
              <w:adjustRightInd w:val="0"/>
              <w:jc w:val="center"/>
              <w:rPr>
                <w:rFonts w:ascii="宋体" w:hAnsi="宋体" w:cs="宋体"/>
                <w:bCs/>
                <w:kern w:val="0"/>
                <w:szCs w:val="21"/>
                <w:lang w:val="zh-CN" w:bidi="ar"/>
              </w:rPr>
            </w:pPr>
            <w:r>
              <w:rPr>
                <w:rFonts w:hint="eastAsia" w:ascii="宋体" w:hAnsi="宋体" w:cs="宋体"/>
                <w:kern w:val="0"/>
                <w:sz w:val="22"/>
                <w:szCs w:val="22"/>
                <w:lang w:bidi="ar"/>
              </w:rPr>
              <w:t>评审委员打分</w:t>
            </w:r>
          </w:p>
        </w:tc>
        <w:tc>
          <w:tcPr>
            <w:tcW w:w="807" w:type="dxa"/>
            <w:tcBorders>
              <w:tl2br w:val="nil"/>
              <w:tr2bl w:val="nil"/>
            </w:tcBorders>
            <w:vAlign w:val="center"/>
          </w:tcPr>
          <w:p>
            <w:pPr>
              <w:autoSpaceDE w:val="0"/>
              <w:autoSpaceDN w:val="0"/>
              <w:adjustRightInd w:val="0"/>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9702" w:type="dxa"/>
            <w:gridSpan w:val="6"/>
            <w:tcBorders>
              <w:tl2br w:val="nil"/>
              <w:tr2bl w:val="nil"/>
            </w:tcBorders>
            <w:vAlign w:val="center"/>
          </w:tcPr>
          <w:p>
            <w:pPr>
              <w:jc w:val="center"/>
              <w:rPr>
                <w:rFonts w:ascii="宋体" w:hAnsi="宋体" w:cs="宋体"/>
                <w:sz w:val="22"/>
                <w:szCs w:val="22"/>
              </w:rPr>
            </w:pPr>
            <w:r>
              <w:rPr>
                <w:rFonts w:hint="eastAsia" w:ascii="宋体" w:hAnsi="宋体" w:cs="宋体"/>
                <w:b/>
                <w:bCs/>
                <w:kern w:val="0"/>
                <w:sz w:val="22"/>
                <w:szCs w:val="22"/>
                <w:lang w:bidi="ar"/>
              </w:rPr>
              <w:t>三、技术部分（</w:t>
            </w:r>
            <w:r>
              <w:rPr>
                <w:rFonts w:ascii="宋体" w:hAnsi="宋体" w:cs="宋体"/>
                <w:b/>
                <w:bCs/>
                <w:kern w:val="0"/>
                <w:sz w:val="22"/>
                <w:szCs w:val="22"/>
                <w:lang w:bidi="ar"/>
              </w:rPr>
              <w:t>42</w:t>
            </w:r>
            <w:r>
              <w:rPr>
                <w:rFonts w:hint="eastAsia" w:ascii="宋体" w:hAnsi="宋体" w:cs="宋体"/>
                <w:b/>
                <w:bCs/>
                <w:kern w:val="0"/>
                <w:sz w:val="22"/>
                <w:szCs w:val="22"/>
                <w:lang w:bidi="ar"/>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13" w:type="dxa"/>
            <w:tcBorders>
              <w:tl2br w:val="nil"/>
              <w:tr2bl w:val="nil"/>
            </w:tcBorders>
            <w:vAlign w:val="center"/>
          </w:tcPr>
          <w:p>
            <w:pPr>
              <w:autoSpaceDE w:val="0"/>
              <w:autoSpaceDN w:val="0"/>
              <w:adjustRightInd w:val="0"/>
              <w:jc w:val="center"/>
              <w:rPr>
                <w:rFonts w:ascii="宋体" w:hAnsi="宋体" w:cs="宋体"/>
                <w:kern w:val="0"/>
                <w:sz w:val="22"/>
                <w:szCs w:val="22"/>
                <w:lang w:bidi="ar"/>
              </w:rPr>
            </w:pPr>
            <w:r>
              <w:rPr>
                <w:rFonts w:hint="eastAsia" w:ascii="宋体" w:hAnsi="宋体" w:cs="宋体"/>
                <w:sz w:val="22"/>
                <w:szCs w:val="22"/>
                <w:lang w:val="zh-CN"/>
              </w:rPr>
              <w:t>1</w:t>
            </w:r>
          </w:p>
        </w:tc>
        <w:tc>
          <w:tcPr>
            <w:tcW w:w="791" w:type="dxa"/>
            <w:tcBorders>
              <w:tl2br w:val="nil"/>
              <w:tr2bl w:val="nil"/>
            </w:tcBorders>
            <w:vAlign w:val="center"/>
          </w:tcPr>
          <w:p>
            <w:pPr>
              <w:autoSpaceDE w:val="0"/>
              <w:autoSpaceDN w:val="0"/>
              <w:adjustRightInd w:val="0"/>
              <w:jc w:val="center"/>
              <w:rPr>
                <w:rFonts w:ascii="宋体" w:hAnsi="宋体" w:cs="宋体"/>
                <w:kern w:val="0"/>
                <w:sz w:val="22"/>
                <w:szCs w:val="22"/>
                <w:lang w:bidi="ar"/>
              </w:rPr>
            </w:pPr>
            <w:r>
              <w:rPr>
                <w:rFonts w:hint="eastAsia" w:ascii="宋体" w:hAnsi="宋体" w:cs="宋体"/>
                <w:sz w:val="22"/>
                <w:szCs w:val="22"/>
                <w:lang w:val="zh-CN"/>
              </w:rPr>
              <w:t>项目实施方案</w:t>
            </w:r>
          </w:p>
        </w:tc>
        <w:tc>
          <w:tcPr>
            <w:tcW w:w="5836" w:type="dxa"/>
            <w:tcBorders>
              <w:tl2br w:val="nil"/>
              <w:tr2bl w:val="nil"/>
            </w:tcBorders>
          </w:tcPr>
          <w:p>
            <w:pPr>
              <w:widowControl/>
              <w:jc w:val="left"/>
              <w:textAlignment w:val="center"/>
              <w:rPr>
                <w:rFonts w:ascii="宋体" w:hAnsi="宋体" w:cs="宋体"/>
                <w:b/>
                <w:bCs/>
                <w:sz w:val="22"/>
                <w:szCs w:val="22"/>
              </w:rPr>
            </w:pPr>
            <w:r>
              <w:rPr>
                <w:rFonts w:hint="eastAsia" w:ascii="宋体" w:hAnsi="宋体" w:cs="宋体"/>
                <w:b/>
                <w:bCs/>
                <w:sz w:val="22"/>
                <w:szCs w:val="22"/>
              </w:rPr>
              <w:t>（一） 评审内容：</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根据招标文件的需求和投标文件响应情况，编制项目实施方案。包含但不限于以下内容：</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1.项目的认识与理解。</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2.工作方法和工作流程。</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3.利弊分析。</w:t>
            </w:r>
          </w:p>
          <w:p>
            <w:pPr>
              <w:widowControl/>
              <w:jc w:val="left"/>
              <w:textAlignment w:val="center"/>
              <w:rPr>
                <w:rFonts w:ascii="宋体" w:hAnsi="宋体" w:cs="宋体"/>
                <w:b/>
                <w:bCs/>
                <w:sz w:val="22"/>
                <w:szCs w:val="22"/>
              </w:rPr>
            </w:pPr>
            <w:r>
              <w:rPr>
                <w:rFonts w:hint="eastAsia" w:ascii="宋体" w:hAnsi="宋体" w:cs="宋体"/>
                <w:b/>
                <w:bCs/>
                <w:sz w:val="22"/>
                <w:szCs w:val="22"/>
              </w:rPr>
              <w:t>（二）评分标准：</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 xml:space="preserve">1.满足三点得8分，满足任意两点得5分，满足任意一点得2分，未满足不得分。 </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 xml:space="preserve">2.在此基础上，专家根据各供应商的具体响应内容按照量化的评审因素指标进一步评审； </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 xml:space="preserve">优：内容完整详细且符合项目实际，可行性强； </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 xml:space="preserve">良：内容完整，可行性较好； </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中：内容能符合项目部分要求，较贴近项目实际；</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差：内容不符合要求，可行性差的。</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评审为优的加9分；</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评审为良的加5分；</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评审为中的加2分；</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评审为差的加0分；</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如果评审为差，要求专家书面说明理由，并记录在档。</w:t>
            </w:r>
          </w:p>
        </w:tc>
        <w:tc>
          <w:tcPr>
            <w:tcW w:w="682" w:type="dxa"/>
            <w:tcBorders>
              <w:tl2br w:val="nil"/>
              <w:tr2bl w:val="nil"/>
            </w:tcBorders>
            <w:vAlign w:val="center"/>
          </w:tcPr>
          <w:p>
            <w:pPr>
              <w:autoSpaceDE w:val="0"/>
              <w:autoSpaceDN w:val="0"/>
              <w:adjustRightInd w:val="0"/>
              <w:jc w:val="center"/>
              <w:rPr>
                <w:rFonts w:ascii="宋体" w:hAnsi="宋体" w:cs="宋体"/>
                <w:kern w:val="0"/>
                <w:sz w:val="22"/>
                <w:szCs w:val="22"/>
                <w:lang w:bidi="ar"/>
              </w:rPr>
            </w:pPr>
            <w:r>
              <w:rPr>
                <w:rFonts w:hint="eastAsia" w:ascii="宋体" w:hAnsi="宋体" w:cs="宋体"/>
                <w:sz w:val="22"/>
                <w:szCs w:val="22"/>
                <w:lang w:val="zh-CN"/>
              </w:rPr>
              <w:t>17</w:t>
            </w:r>
          </w:p>
        </w:tc>
        <w:tc>
          <w:tcPr>
            <w:tcW w:w="873" w:type="dxa"/>
            <w:tcBorders>
              <w:tl2br w:val="nil"/>
              <w:tr2bl w:val="nil"/>
            </w:tcBorders>
            <w:vAlign w:val="center"/>
          </w:tcPr>
          <w:p>
            <w:pPr>
              <w:autoSpaceDE w:val="0"/>
              <w:autoSpaceDN w:val="0"/>
              <w:adjustRightInd w:val="0"/>
              <w:jc w:val="center"/>
              <w:rPr>
                <w:rFonts w:ascii="宋体" w:hAnsi="宋体" w:cs="宋体"/>
                <w:kern w:val="0"/>
                <w:sz w:val="22"/>
                <w:szCs w:val="22"/>
                <w:lang w:bidi="ar"/>
              </w:rPr>
            </w:pPr>
            <w:r>
              <w:rPr>
                <w:rFonts w:hint="eastAsia" w:ascii="宋体" w:hAnsi="宋体" w:cs="宋体"/>
                <w:sz w:val="22"/>
                <w:szCs w:val="22"/>
                <w:lang w:val="zh-CN"/>
              </w:rPr>
              <w:t>评审委员打分</w:t>
            </w:r>
          </w:p>
        </w:tc>
        <w:tc>
          <w:tcPr>
            <w:tcW w:w="807" w:type="dxa"/>
            <w:tcBorders>
              <w:tl2br w:val="nil"/>
              <w:tr2bl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5" w:hRule="atLeast"/>
          <w:jc w:val="center"/>
        </w:trPr>
        <w:tc>
          <w:tcPr>
            <w:tcW w:w="713" w:type="dxa"/>
            <w:tcBorders>
              <w:tl2br w:val="nil"/>
              <w:tr2bl w:val="nil"/>
            </w:tcBorders>
            <w:vAlign w:val="center"/>
          </w:tcPr>
          <w:p>
            <w:pPr>
              <w:autoSpaceDE w:val="0"/>
              <w:autoSpaceDN w:val="0"/>
              <w:adjustRightInd w:val="0"/>
              <w:jc w:val="center"/>
              <w:rPr>
                <w:rFonts w:ascii="宋体" w:hAnsi="宋体" w:cs="宋体"/>
                <w:kern w:val="0"/>
                <w:sz w:val="22"/>
                <w:szCs w:val="22"/>
                <w:lang w:bidi="ar"/>
              </w:rPr>
            </w:pPr>
            <w:r>
              <w:rPr>
                <w:rFonts w:hint="eastAsia" w:ascii="宋体" w:hAnsi="宋体" w:cs="宋体"/>
                <w:sz w:val="22"/>
                <w:szCs w:val="22"/>
                <w:lang w:val="zh-CN"/>
              </w:rPr>
              <w:t>2</w:t>
            </w:r>
          </w:p>
        </w:tc>
        <w:tc>
          <w:tcPr>
            <w:tcW w:w="791" w:type="dxa"/>
            <w:tcBorders>
              <w:tl2br w:val="nil"/>
              <w:tr2bl w:val="nil"/>
            </w:tcBorders>
            <w:vAlign w:val="center"/>
          </w:tcPr>
          <w:p>
            <w:pPr>
              <w:autoSpaceDE w:val="0"/>
              <w:autoSpaceDN w:val="0"/>
              <w:adjustRightInd w:val="0"/>
              <w:jc w:val="center"/>
              <w:rPr>
                <w:rFonts w:ascii="宋体" w:hAnsi="宋体" w:cs="宋体"/>
                <w:kern w:val="0"/>
                <w:sz w:val="22"/>
                <w:szCs w:val="22"/>
                <w:lang w:bidi="ar"/>
              </w:rPr>
            </w:pPr>
            <w:r>
              <w:rPr>
                <w:rFonts w:hint="eastAsia" w:ascii="宋体" w:hAnsi="宋体" w:cs="宋体"/>
                <w:sz w:val="22"/>
                <w:szCs w:val="22"/>
                <w:lang w:val="zh-CN"/>
              </w:rPr>
              <w:t>项目重点难点分析、应对措施及相关的合理化建议</w:t>
            </w:r>
          </w:p>
        </w:tc>
        <w:tc>
          <w:tcPr>
            <w:tcW w:w="5836" w:type="dxa"/>
            <w:tcBorders>
              <w:tl2br w:val="nil"/>
              <w:tr2bl w:val="nil"/>
            </w:tcBorders>
            <w:vAlign w:val="center"/>
          </w:tcPr>
          <w:p>
            <w:pPr>
              <w:widowControl/>
              <w:jc w:val="left"/>
              <w:textAlignment w:val="center"/>
              <w:rPr>
                <w:rFonts w:ascii="宋体" w:hAnsi="宋体" w:cs="宋体"/>
                <w:b/>
                <w:bCs/>
                <w:sz w:val="22"/>
                <w:szCs w:val="22"/>
              </w:rPr>
            </w:pPr>
            <w:r>
              <w:rPr>
                <w:rFonts w:hint="eastAsia" w:ascii="宋体" w:hAnsi="宋体" w:cs="宋体"/>
                <w:b/>
                <w:bCs/>
                <w:sz w:val="22"/>
                <w:szCs w:val="22"/>
              </w:rPr>
              <w:t>（一） 评审内容：</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根据招标文件的需求和投标文件响应情况，编制项目难点重点分析。包含但不限于以下内容：</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1.项目重点、难点的分析；</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2.项目重点、难点的应对措施；</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3.项目实施提出的相关合理化建议；</w:t>
            </w:r>
          </w:p>
          <w:p>
            <w:pPr>
              <w:widowControl/>
              <w:textAlignment w:val="center"/>
              <w:rPr>
                <w:rFonts w:ascii="宋体" w:hAnsi="宋体" w:cs="宋体"/>
                <w:b/>
                <w:bCs/>
                <w:kern w:val="0"/>
                <w:sz w:val="22"/>
                <w:szCs w:val="22"/>
                <w:lang w:bidi="ar"/>
              </w:rPr>
            </w:pPr>
            <w:r>
              <w:rPr>
                <w:rFonts w:hint="eastAsia" w:ascii="宋体" w:hAnsi="宋体" w:cs="宋体"/>
                <w:b/>
                <w:bCs/>
                <w:kern w:val="0"/>
                <w:sz w:val="22"/>
                <w:szCs w:val="22"/>
                <w:lang w:bidi="ar"/>
              </w:rPr>
              <w:t xml:space="preserve">（二）评分标准： </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 xml:space="preserve">1.满足三点得6分，满足任意两点得4分，满足任意一点得2分，未满足不得分。 </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 xml:space="preserve">2.在此基础上，专家根据各供应商的具体响应内容按照量化的评审因素指标进一步评审； </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 xml:space="preserve">优：内容完整详细且符合项目实际，可行性强； </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 xml:space="preserve">良：内容完整，可行性较好； </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中：内容能符合项目部分要求，较贴近项目实际；</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差：内容不符合要求，可行性差的。</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评审为优的加6分；</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评审为良的加3分；</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评审为中的加1分；</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评审为差的加0分；</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如果评审为差，要求专家书面说明理由，并记录在档。</w:t>
            </w:r>
          </w:p>
        </w:tc>
        <w:tc>
          <w:tcPr>
            <w:tcW w:w="682" w:type="dxa"/>
            <w:tcBorders>
              <w:tl2br w:val="nil"/>
              <w:tr2bl w:val="nil"/>
            </w:tcBorders>
            <w:vAlign w:val="center"/>
          </w:tcPr>
          <w:p>
            <w:pPr>
              <w:autoSpaceDE w:val="0"/>
              <w:autoSpaceDN w:val="0"/>
              <w:adjustRightInd w:val="0"/>
              <w:jc w:val="center"/>
              <w:rPr>
                <w:rFonts w:ascii="宋体" w:hAnsi="宋体" w:cs="宋体"/>
                <w:kern w:val="0"/>
                <w:sz w:val="22"/>
                <w:szCs w:val="22"/>
                <w:lang w:bidi="ar"/>
              </w:rPr>
            </w:pPr>
            <w:r>
              <w:rPr>
                <w:rFonts w:hint="eastAsia" w:ascii="宋体" w:hAnsi="宋体" w:cs="宋体"/>
                <w:sz w:val="22"/>
                <w:szCs w:val="22"/>
                <w:lang w:val="zh-CN"/>
              </w:rPr>
              <w:t>12</w:t>
            </w:r>
          </w:p>
        </w:tc>
        <w:tc>
          <w:tcPr>
            <w:tcW w:w="873" w:type="dxa"/>
            <w:tcBorders>
              <w:tl2br w:val="nil"/>
              <w:tr2bl w:val="nil"/>
            </w:tcBorders>
            <w:vAlign w:val="center"/>
          </w:tcPr>
          <w:p>
            <w:pPr>
              <w:autoSpaceDE w:val="0"/>
              <w:autoSpaceDN w:val="0"/>
              <w:adjustRightInd w:val="0"/>
              <w:jc w:val="center"/>
              <w:rPr>
                <w:rFonts w:ascii="宋体" w:hAnsi="宋体" w:cs="宋体"/>
                <w:kern w:val="0"/>
                <w:sz w:val="22"/>
                <w:szCs w:val="22"/>
                <w:lang w:bidi="ar"/>
              </w:rPr>
            </w:pPr>
            <w:r>
              <w:rPr>
                <w:rFonts w:hint="eastAsia" w:ascii="宋体" w:hAnsi="宋体" w:cs="宋体"/>
                <w:sz w:val="22"/>
                <w:szCs w:val="22"/>
                <w:lang w:val="zh-CN"/>
              </w:rPr>
              <w:t>评审委员打分</w:t>
            </w:r>
          </w:p>
        </w:tc>
        <w:tc>
          <w:tcPr>
            <w:tcW w:w="807" w:type="dxa"/>
            <w:tcBorders>
              <w:tl2br w:val="nil"/>
              <w:tr2bl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5" w:hRule="atLeast"/>
          <w:jc w:val="center"/>
        </w:trPr>
        <w:tc>
          <w:tcPr>
            <w:tcW w:w="713" w:type="dxa"/>
            <w:tcBorders>
              <w:tl2br w:val="nil"/>
              <w:tr2bl w:val="nil"/>
            </w:tcBorders>
            <w:vAlign w:val="center"/>
          </w:tcPr>
          <w:p>
            <w:pPr>
              <w:autoSpaceDE w:val="0"/>
              <w:autoSpaceDN w:val="0"/>
              <w:adjustRightInd w:val="0"/>
              <w:jc w:val="center"/>
              <w:rPr>
                <w:rFonts w:ascii="宋体" w:hAnsi="宋体" w:cs="宋体"/>
                <w:sz w:val="22"/>
                <w:szCs w:val="22"/>
                <w:lang w:val="zh-CN"/>
              </w:rPr>
            </w:pPr>
            <w:r>
              <w:rPr>
                <w:rFonts w:hint="eastAsia" w:ascii="宋体" w:hAnsi="宋体" w:cs="宋体"/>
                <w:sz w:val="22"/>
                <w:szCs w:val="22"/>
                <w:lang w:val="zh-CN"/>
              </w:rPr>
              <w:t>3</w:t>
            </w:r>
          </w:p>
        </w:tc>
        <w:tc>
          <w:tcPr>
            <w:tcW w:w="791" w:type="dxa"/>
            <w:tcBorders>
              <w:tl2br w:val="nil"/>
              <w:tr2bl w:val="nil"/>
            </w:tcBorders>
            <w:vAlign w:val="center"/>
          </w:tcPr>
          <w:p>
            <w:pPr>
              <w:autoSpaceDE w:val="0"/>
              <w:autoSpaceDN w:val="0"/>
              <w:adjustRightInd w:val="0"/>
              <w:jc w:val="center"/>
              <w:rPr>
                <w:rFonts w:ascii="宋体" w:hAnsi="宋体" w:cs="宋体"/>
                <w:sz w:val="22"/>
                <w:szCs w:val="22"/>
                <w:lang w:val="zh-CN"/>
              </w:rPr>
            </w:pPr>
            <w:r>
              <w:rPr>
                <w:rFonts w:hint="eastAsia" w:ascii="宋体" w:hAnsi="宋体" w:cs="宋体"/>
                <w:sz w:val="22"/>
                <w:szCs w:val="22"/>
                <w:lang w:val="zh-CN"/>
              </w:rPr>
              <w:t>质量（完成时间、安全、环保）保障措施及方案</w:t>
            </w:r>
          </w:p>
        </w:tc>
        <w:tc>
          <w:tcPr>
            <w:tcW w:w="5836" w:type="dxa"/>
            <w:tcBorders>
              <w:tl2br w:val="nil"/>
              <w:tr2bl w:val="nil"/>
            </w:tcBorders>
            <w:vAlign w:val="center"/>
          </w:tcPr>
          <w:p>
            <w:pPr>
              <w:widowControl/>
              <w:jc w:val="left"/>
              <w:textAlignment w:val="center"/>
              <w:rPr>
                <w:rFonts w:ascii="宋体" w:hAnsi="宋体" w:cs="宋体"/>
                <w:b/>
                <w:bCs/>
                <w:sz w:val="22"/>
                <w:szCs w:val="22"/>
              </w:rPr>
            </w:pPr>
            <w:r>
              <w:rPr>
                <w:rFonts w:hint="eastAsia" w:ascii="宋体" w:hAnsi="宋体" w:cs="宋体"/>
                <w:b/>
                <w:bCs/>
                <w:sz w:val="22"/>
                <w:szCs w:val="22"/>
              </w:rPr>
              <w:t>（一） 评审内容：</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根据招标文件的需求和投标文件响应情况，编制项目质量保障措施。包含但不限于以下内容：</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1.项目质量管理；</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2.项目安全管理；</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3.项目进度安排以及完成时间；</w:t>
            </w:r>
          </w:p>
          <w:p>
            <w:pPr>
              <w:widowControl/>
              <w:textAlignment w:val="center"/>
              <w:rPr>
                <w:rFonts w:ascii="宋体" w:hAnsi="宋体" w:cs="宋体"/>
                <w:b/>
                <w:bCs/>
                <w:kern w:val="0"/>
                <w:sz w:val="22"/>
                <w:szCs w:val="22"/>
                <w:lang w:bidi="ar"/>
              </w:rPr>
            </w:pPr>
            <w:r>
              <w:rPr>
                <w:rFonts w:hint="eastAsia" w:ascii="宋体" w:hAnsi="宋体" w:cs="宋体"/>
                <w:b/>
                <w:bCs/>
                <w:kern w:val="0"/>
                <w:sz w:val="22"/>
                <w:szCs w:val="22"/>
                <w:lang w:bidi="ar"/>
              </w:rPr>
              <w:t xml:space="preserve">（二）评分标准： </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 xml:space="preserve">1.满足三点得3分，满足任意两点得2分，满足任意一点得1分，未满足不得分。 </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 xml:space="preserve">2.在此基础上，专家根据各供应商的具体响应内容按照量化的评审因素指标进一步评审； </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 xml:space="preserve">优：内容完整详细且符合项目实际，可行性强； </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 xml:space="preserve">良：内容完整，可行性较好； </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中：内容能符合项目部分要求，较贴近项目实际；</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差：内容不符合要求，可行性差的。</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评审为优的加5分；</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评审为良的加3分；</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评审为中的加1分；</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评审为差的加0分；</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如果评审为差，要求专家书面说明理由，并记录在档。</w:t>
            </w:r>
          </w:p>
        </w:tc>
        <w:tc>
          <w:tcPr>
            <w:tcW w:w="682" w:type="dxa"/>
            <w:tcBorders>
              <w:tl2br w:val="nil"/>
              <w:tr2bl w:val="nil"/>
            </w:tcBorders>
            <w:vAlign w:val="center"/>
          </w:tcPr>
          <w:p>
            <w:pPr>
              <w:autoSpaceDE w:val="0"/>
              <w:autoSpaceDN w:val="0"/>
              <w:adjustRightInd w:val="0"/>
              <w:jc w:val="center"/>
              <w:rPr>
                <w:rFonts w:ascii="宋体" w:hAnsi="宋体" w:cs="宋体"/>
                <w:sz w:val="22"/>
                <w:szCs w:val="22"/>
                <w:lang w:val="zh-CN"/>
              </w:rPr>
            </w:pPr>
            <w:r>
              <w:rPr>
                <w:rFonts w:hint="eastAsia" w:ascii="宋体" w:hAnsi="宋体" w:cs="宋体"/>
                <w:sz w:val="22"/>
                <w:szCs w:val="22"/>
                <w:lang w:val="zh-CN"/>
              </w:rPr>
              <w:t>8</w:t>
            </w:r>
          </w:p>
        </w:tc>
        <w:tc>
          <w:tcPr>
            <w:tcW w:w="873" w:type="dxa"/>
            <w:tcBorders>
              <w:tl2br w:val="nil"/>
              <w:tr2bl w:val="nil"/>
            </w:tcBorders>
            <w:vAlign w:val="center"/>
          </w:tcPr>
          <w:p>
            <w:pPr>
              <w:autoSpaceDE w:val="0"/>
              <w:autoSpaceDN w:val="0"/>
              <w:adjustRightInd w:val="0"/>
              <w:jc w:val="center"/>
              <w:rPr>
                <w:rFonts w:ascii="宋体" w:hAnsi="宋体" w:cs="宋体"/>
                <w:sz w:val="22"/>
                <w:szCs w:val="22"/>
                <w:lang w:val="zh-CN"/>
              </w:rPr>
            </w:pPr>
            <w:r>
              <w:rPr>
                <w:rFonts w:hint="eastAsia" w:ascii="宋体" w:hAnsi="宋体" w:cs="宋体"/>
                <w:sz w:val="22"/>
                <w:szCs w:val="22"/>
                <w:lang w:val="zh-CN"/>
              </w:rPr>
              <w:t>评审委员打分</w:t>
            </w:r>
          </w:p>
        </w:tc>
        <w:tc>
          <w:tcPr>
            <w:tcW w:w="807" w:type="dxa"/>
            <w:tcBorders>
              <w:tl2br w:val="nil"/>
              <w:tr2bl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5" w:hRule="atLeast"/>
          <w:jc w:val="center"/>
        </w:trPr>
        <w:tc>
          <w:tcPr>
            <w:tcW w:w="713" w:type="dxa"/>
            <w:tcBorders>
              <w:tl2br w:val="nil"/>
              <w:tr2bl w:val="nil"/>
            </w:tcBorders>
            <w:vAlign w:val="center"/>
          </w:tcPr>
          <w:p>
            <w:pPr>
              <w:autoSpaceDE w:val="0"/>
              <w:autoSpaceDN w:val="0"/>
              <w:adjustRightInd w:val="0"/>
              <w:jc w:val="center"/>
              <w:rPr>
                <w:rFonts w:ascii="宋体" w:hAnsi="宋体" w:cs="宋体"/>
                <w:kern w:val="0"/>
                <w:sz w:val="22"/>
                <w:szCs w:val="22"/>
                <w:lang w:bidi="ar"/>
              </w:rPr>
            </w:pPr>
            <w:r>
              <w:rPr>
                <w:rFonts w:hint="eastAsia" w:ascii="宋体" w:hAnsi="宋体" w:cs="宋体"/>
                <w:sz w:val="22"/>
                <w:szCs w:val="22"/>
              </w:rPr>
              <w:t>4</w:t>
            </w:r>
          </w:p>
        </w:tc>
        <w:tc>
          <w:tcPr>
            <w:tcW w:w="791" w:type="dxa"/>
            <w:tcBorders>
              <w:tl2br w:val="nil"/>
              <w:tr2bl w:val="nil"/>
            </w:tcBorders>
            <w:vAlign w:val="center"/>
          </w:tcPr>
          <w:p>
            <w:pPr>
              <w:autoSpaceDE w:val="0"/>
              <w:autoSpaceDN w:val="0"/>
              <w:adjustRightInd w:val="0"/>
              <w:jc w:val="center"/>
              <w:rPr>
                <w:rFonts w:ascii="宋体" w:hAnsi="宋体" w:cs="宋体"/>
                <w:kern w:val="0"/>
                <w:sz w:val="22"/>
                <w:szCs w:val="22"/>
                <w:lang w:bidi="ar"/>
              </w:rPr>
            </w:pPr>
            <w:r>
              <w:rPr>
                <w:rFonts w:hint="eastAsia" w:ascii="宋体" w:hAnsi="宋体" w:cs="宋体"/>
                <w:sz w:val="22"/>
                <w:szCs w:val="22"/>
                <w:lang w:val="zh-CN"/>
              </w:rPr>
              <w:t>服务承诺</w:t>
            </w:r>
          </w:p>
        </w:tc>
        <w:tc>
          <w:tcPr>
            <w:tcW w:w="5836" w:type="dxa"/>
            <w:tcBorders>
              <w:tl2br w:val="nil"/>
              <w:tr2bl w:val="nil"/>
            </w:tcBorders>
            <w:vAlign w:val="center"/>
          </w:tcPr>
          <w:p>
            <w:pPr>
              <w:widowControl/>
              <w:jc w:val="left"/>
              <w:textAlignment w:val="center"/>
              <w:rPr>
                <w:rFonts w:ascii="宋体" w:hAnsi="宋体" w:cs="宋体"/>
                <w:b/>
                <w:bCs/>
                <w:sz w:val="22"/>
                <w:szCs w:val="22"/>
              </w:rPr>
            </w:pPr>
            <w:r>
              <w:rPr>
                <w:rFonts w:hint="eastAsia" w:ascii="宋体" w:hAnsi="宋体" w:cs="宋体"/>
                <w:b/>
                <w:bCs/>
                <w:sz w:val="22"/>
                <w:szCs w:val="22"/>
              </w:rPr>
              <w:t>（一） 评审内容：</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根据招标文件的需求和投标文件响应情况，编制项目难点重点分析。包含但不限于以下内容：</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1.项目完成后服务人员信息与联系方式；</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2.项目完成后服务时限；</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3.项目完成后服务内容与响应时间；</w:t>
            </w:r>
          </w:p>
          <w:p>
            <w:pPr>
              <w:widowControl/>
              <w:textAlignment w:val="center"/>
              <w:rPr>
                <w:rFonts w:ascii="宋体" w:hAnsi="宋体" w:cs="宋体"/>
                <w:kern w:val="0"/>
                <w:sz w:val="22"/>
                <w:szCs w:val="22"/>
                <w:lang w:bidi="ar"/>
              </w:rPr>
            </w:pPr>
            <w:r>
              <w:rPr>
                <w:rFonts w:hint="eastAsia" w:ascii="宋体" w:hAnsi="宋体" w:cs="宋体"/>
                <w:b/>
                <w:bCs/>
                <w:kern w:val="0"/>
                <w:sz w:val="22"/>
                <w:szCs w:val="22"/>
                <w:lang w:bidi="ar"/>
              </w:rPr>
              <w:t>（二）评分标准：</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 xml:space="preserve">1.满足三点得3分，满足任意两点得2分，满足任意一点得1分，未满足不得分。 </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 xml:space="preserve">2.在此基础上，专家根据各供应商的具体响应内容按照量化的评审因素指标进一步评审； </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 xml:space="preserve">优：内容完整详细且符合项目实际，可行性强； </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 xml:space="preserve">良：内容完整，可行性较好； </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中：内容能符合项目部分要求，较贴近项目实际；</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差：内容不符合要求，可行性差的。</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评审为优的加2分；</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评审为良的加1分；</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评审为中的加0.5分；</w:t>
            </w:r>
          </w:p>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评审为差的加0分；</w:t>
            </w:r>
          </w:p>
          <w:p>
            <w:pPr>
              <w:widowControl/>
              <w:textAlignment w:val="center"/>
              <w:rPr>
                <w:sz w:val="22"/>
                <w:szCs w:val="22"/>
              </w:rPr>
            </w:pPr>
            <w:r>
              <w:rPr>
                <w:rFonts w:hint="eastAsia" w:ascii="宋体" w:hAnsi="宋体" w:cs="宋体"/>
                <w:kern w:val="0"/>
                <w:sz w:val="22"/>
                <w:szCs w:val="22"/>
                <w:lang w:bidi="ar"/>
              </w:rPr>
              <w:t>如果评审为差，要求专家书面说明理由，并记录在档。</w:t>
            </w:r>
          </w:p>
        </w:tc>
        <w:tc>
          <w:tcPr>
            <w:tcW w:w="682" w:type="dxa"/>
            <w:tcBorders>
              <w:tl2br w:val="nil"/>
              <w:tr2bl w:val="nil"/>
            </w:tcBorders>
            <w:vAlign w:val="center"/>
          </w:tcPr>
          <w:p>
            <w:pPr>
              <w:autoSpaceDE w:val="0"/>
              <w:autoSpaceDN w:val="0"/>
              <w:adjustRightInd w:val="0"/>
              <w:jc w:val="center"/>
              <w:rPr>
                <w:rFonts w:ascii="宋体" w:hAnsi="宋体" w:cs="宋体"/>
                <w:kern w:val="0"/>
                <w:sz w:val="22"/>
                <w:szCs w:val="22"/>
                <w:lang w:bidi="ar"/>
              </w:rPr>
            </w:pPr>
            <w:r>
              <w:rPr>
                <w:rFonts w:hint="eastAsia" w:ascii="宋体" w:hAnsi="宋体" w:cs="宋体"/>
                <w:sz w:val="22"/>
                <w:szCs w:val="22"/>
                <w:lang w:val="zh-CN"/>
              </w:rPr>
              <w:t>5</w:t>
            </w:r>
          </w:p>
        </w:tc>
        <w:tc>
          <w:tcPr>
            <w:tcW w:w="873" w:type="dxa"/>
            <w:tcBorders>
              <w:tl2br w:val="nil"/>
              <w:tr2bl w:val="nil"/>
            </w:tcBorders>
            <w:vAlign w:val="center"/>
          </w:tcPr>
          <w:p>
            <w:pPr>
              <w:autoSpaceDE w:val="0"/>
              <w:autoSpaceDN w:val="0"/>
              <w:adjustRightInd w:val="0"/>
              <w:jc w:val="center"/>
              <w:rPr>
                <w:rFonts w:ascii="宋体" w:hAnsi="宋体" w:cs="宋体"/>
                <w:kern w:val="0"/>
                <w:sz w:val="22"/>
                <w:szCs w:val="22"/>
                <w:lang w:bidi="ar"/>
              </w:rPr>
            </w:pPr>
            <w:r>
              <w:rPr>
                <w:rFonts w:hint="eastAsia" w:ascii="宋体" w:hAnsi="宋体" w:cs="宋体"/>
                <w:sz w:val="22"/>
                <w:szCs w:val="22"/>
                <w:lang w:val="zh-CN"/>
              </w:rPr>
              <w:t>评审委员打分</w:t>
            </w:r>
          </w:p>
        </w:tc>
        <w:tc>
          <w:tcPr>
            <w:tcW w:w="807" w:type="dxa"/>
            <w:tcBorders>
              <w:tl2br w:val="nil"/>
              <w:tr2bl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9702" w:type="dxa"/>
            <w:gridSpan w:val="6"/>
            <w:tcBorders>
              <w:tl2br w:val="nil"/>
              <w:tr2bl w:val="nil"/>
            </w:tcBorders>
            <w:vAlign w:val="center"/>
          </w:tcPr>
          <w:p>
            <w:pPr>
              <w:jc w:val="center"/>
              <w:rPr>
                <w:rFonts w:ascii="宋体" w:hAnsi="宋体" w:cs="宋体"/>
                <w:sz w:val="22"/>
                <w:szCs w:val="22"/>
              </w:rPr>
            </w:pPr>
            <w:r>
              <w:rPr>
                <w:rFonts w:hint="eastAsia" w:ascii="宋体" w:hAnsi="宋体" w:cs="宋体"/>
                <w:sz w:val="22"/>
                <w:szCs w:val="22"/>
              </w:rPr>
              <w:t>四、诚信部分（5分）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2" w:hRule="atLeast"/>
          <w:jc w:val="center"/>
        </w:trPr>
        <w:tc>
          <w:tcPr>
            <w:tcW w:w="713" w:type="dxa"/>
            <w:tcBorders>
              <w:tl2br w:val="nil"/>
              <w:tr2bl w:val="nil"/>
            </w:tcBorders>
            <w:vAlign w:val="center"/>
          </w:tcPr>
          <w:p>
            <w:pPr>
              <w:autoSpaceDE w:val="0"/>
              <w:autoSpaceDN w:val="0"/>
              <w:adjustRightInd w:val="0"/>
              <w:jc w:val="center"/>
              <w:rPr>
                <w:rFonts w:ascii="宋体" w:hAnsi="宋体" w:cs="宋体"/>
                <w:sz w:val="22"/>
                <w:szCs w:val="22"/>
              </w:rPr>
            </w:pPr>
            <w:r>
              <w:rPr>
                <w:rFonts w:hint="eastAsia" w:ascii="宋体" w:hAnsi="宋体" w:cs="宋体"/>
                <w:sz w:val="22"/>
                <w:szCs w:val="22"/>
              </w:rPr>
              <w:t>6</w:t>
            </w:r>
          </w:p>
        </w:tc>
        <w:tc>
          <w:tcPr>
            <w:tcW w:w="791" w:type="dxa"/>
            <w:tcBorders>
              <w:tl2br w:val="nil"/>
              <w:tr2bl w:val="nil"/>
            </w:tcBorders>
            <w:vAlign w:val="center"/>
          </w:tcPr>
          <w:p>
            <w:pPr>
              <w:autoSpaceDE w:val="0"/>
              <w:autoSpaceDN w:val="0"/>
              <w:adjustRightInd w:val="0"/>
              <w:jc w:val="center"/>
              <w:rPr>
                <w:rFonts w:ascii="宋体" w:hAnsi="宋体" w:cs="宋体"/>
                <w:sz w:val="22"/>
                <w:szCs w:val="22"/>
              </w:rPr>
            </w:pPr>
            <w:r>
              <w:rPr>
                <w:rFonts w:hint="eastAsia" w:ascii="宋体" w:hAnsi="宋体" w:cs="宋体"/>
                <w:sz w:val="22"/>
                <w:szCs w:val="22"/>
                <w:lang w:val="zh-CN"/>
              </w:rPr>
              <w:t>诚</w:t>
            </w:r>
            <w:r>
              <w:rPr>
                <w:rFonts w:ascii="宋体" w:hAnsi="宋体" w:cs="宋体"/>
                <w:kern w:val="0"/>
                <w:sz w:val="22"/>
                <w:szCs w:val="22"/>
                <w:lang w:bidi="ar"/>
              </w:rPr>
              <w:t>信声明与承诺</w:t>
            </w:r>
          </w:p>
        </w:tc>
        <w:tc>
          <w:tcPr>
            <w:tcW w:w="5836" w:type="dxa"/>
            <w:tcBorders>
              <w:tl2br w:val="nil"/>
              <w:tr2bl w:val="nil"/>
            </w:tcBorders>
            <w:vAlign w:val="center"/>
          </w:tcPr>
          <w:p>
            <w:pPr>
              <w:wordWrap w:val="0"/>
              <w:rPr>
                <w:rFonts w:ascii="宋体" w:hAnsi="宋体" w:cs="宋体"/>
                <w:kern w:val="0"/>
                <w:sz w:val="22"/>
                <w:szCs w:val="22"/>
                <w:lang w:bidi="ar"/>
              </w:rPr>
            </w:pPr>
            <w:r>
              <w:rPr>
                <w:rFonts w:hint="eastAsia" w:ascii="宋体" w:hAnsi="宋体" w:cs="宋体"/>
                <w:sz w:val="22"/>
                <w:szCs w:val="22"/>
              </w:rPr>
              <w:t>投标人在参与政府采购活动中存在诚信相关问题且在主管部门相关处理措施实施期限内的，本项不得分，否则得满分。投标人按招标文件格式要求提供《诚信声明与承诺》的得满分，其他不得分。</w:t>
            </w:r>
          </w:p>
        </w:tc>
        <w:tc>
          <w:tcPr>
            <w:tcW w:w="682" w:type="dxa"/>
            <w:tcBorders>
              <w:tl2br w:val="nil"/>
              <w:tr2bl w:val="nil"/>
            </w:tcBorders>
            <w:vAlign w:val="center"/>
          </w:tcPr>
          <w:p>
            <w:pPr>
              <w:jc w:val="center"/>
              <w:rPr>
                <w:rFonts w:ascii="宋体" w:hAnsi="宋体" w:cs="宋体"/>
                <w:sz w:val="22"/>
                <w:szCs w:val="22"/>
              </w:rPr>
            </w:pPr>
            <w:r>
              <w:rPr>
                <w:rFonts w:hint="eastAsia" w:ascii="宋体" w:hAnsi="宋体" w:cs="宋体"/>
                <w:sz w:val="22"/>
                <w:szCs w:val="22"/>
              </w:rPr>
              <w:t>5</w:t>
            </w:r>
          </w:p>
        </w:tc>
        <w:tc>
          <w:tcPr>
            <w:tcW w:w="873" w:type="dxa"/>
            <w:tcBorders>
              <w:tl2br w:val="nil"/>
              <w:tr2bl w:val="nil"/>
            </w:tcBorders>
            <w:vAlign w:val="center"/>
          </w:tcPr>
          <w:p>
            <w:pPr>
              <w:jc w:val="center"/>
              <w:rPr>
                <w:rFonts w:ascii="宋体" w:hAnsi="宋体" w:cs="宋体"/>
                <w:kern w:val="0"/>
                <w:sz w:val="22"/>
                <w:szCs w:val="22"/>
                <w:lang w:bidi="ar"/>
              </w:rPr>
            </w:pPr>
            <w:r>
              <w:rPr>
                <w:rFonts w:hint="eastAsia" w:ascii="宋体" w:hAnsi="宋体" w:cs="宋体"/>
                <w:sz w:val="22"/>
                <w:szCs w:val="22"/>
                <w:lang w:val="zh-CN"/>
              </w:rPr>
              <w:t>评审委员打分</w:t>
            </w:r>
          </w:p>
        </w:tc>
        <w:tc>
          <w:tcPr>
            <w:tcW w:w="807" w:type="dxa"/>
            <w:tcBorders>
              <w:tl2br w:val="nil"/>
              <w:tr2bl w:val="nil"/>
            </w:tcBorders>
            <w:vAlign w:val="center"/>
          </w:tcPr>
          <w:p>
            <w:pPr>
              <w:jc w:val="center"/>
              <w:rPr>
                <w:rFonts w:ascii="宋体" w:hAnsi="宋体" w:cs="宋体"/>
                <w:sz w:val="22"/>
                <w:szCs w:val="22"/>
              </w:rPr>
            </w:pPr>
          </w:p>
        </w:tc>
      </w:tr>
    </w:tbl>
    <w:p>
      <w:pPr>
        <w:spacing w:line="360" w:lineRule="auto"/>
        <w:jc w:val="center"/>
        <w:outlineLvl w:val="0"/>
        <w:rPr>
          <w:rFonts w:ascii="宋体" w:hAnsi="宋体" w:cs="宋体"/>
          <w:b/>
          <w:bCs/>
          <w:sz w:val="24"/>
        </w:rPr>
        <w:sectPr>
          <w:pgSz w:w="11906" w:h="16838"/>
          <w:pgMar w:top="1440" w:right="1650" w:bottom="1440" w:left="1650" w:header="851" w:footer="992" w:gutter="0"/>
          <w:cols w:space="720" w:num="1"/>
          <w:docGrid w:type="lines" w:linePitch="319" w:charSpace="0"/>
        </w:sectPr>
      </w:pPr>
      <w:bookmarkStart w:id="37" w:name="_Toc834"/>
      <w:bookmarkStart w:id="38" w:name="_Hlk28269117"/>
    </w:p>
    <w:p>
      <w:pPr>
        <w:spacing w:line="360" w:lineRule="auto"/>
        <w:jc w:val="center"/>
        <w:outlineLvl w:val="0"/>
        <w:rPr>
          <w:rFonts w:ascii="宋体" w:hAnsi="宋体" w:cs="宋体"/>
          <w:b/>
          <w:bCs/>
          <w:sz w:val="36"/>
          <w:szCs w:val="36"/>
        </w:rPr>
      </w:pPr>
      <w:bookmarkStart w:id="39" w:name="_Toc2065293184"/>
      <w:bookmarkStart w:id="40" w:name="_Toc912061579"/>
      <w:r>
        <w:rPr>
          <w:rFonts w:ascii="宋体" w:hAnsi="宋体" w:cs="宋体"/>
          <w:b/>
          <w:bCs/>
          <w:sz w:val="36"/>
          <w:szCs w:val="36"/>
        </w:rPr>
        <w:t>第七章 附件（投标文件格式）</w:t>
      </w:r>
      <w:bookmarkEnd w:id="37"/>
      <w:bookmarkEnd w:id="39"/>
      <w:bookmarkEnd w:id="40"/>
    </w:p>
    <w:p>
      <w:pPr>
        <w:keepNext/>
        <w:keepLines/>
        <w:spacing w:before="260" w:after="260" w:line="360" w:lineRule="auto"/>
        <w:jc w:val="center"/>
        <w:outlineLvl w:val="1"/>
        <w:rPr>
          <w:rFonts w:ascii="宋体" w:hAnsi="宋体" w:cs="宋体"/>
          <w:b/>
          <w:bCs/>
          <w:sz w:val="24"/>
        </w:rPr>
      </w:pPr>
      <w:bookmarkStart w:id="41" w:name="_Toc31827"/>
      <w:bookmarkStart w:id="42" w:name="_Toc6548"/>
      <w:bookmarkStart w:id="43" w:name="_Toc5116"/>
      <w:bookmarkStart w:id="44" w:name="_Toc19494"/>
      <w:r>
        <w:rPr>
          <w:rFonts w:hint="eastAsia" w:ascii="宋体" w:hAnsi="宋体" w:cs="宋体"/>
          <w:b/>
          <w:sz w:val="24"/>
        </w:rPr>
        <w:t>一、</w:t>
      </w:r>
      <w:r>
        <w:rPr>
          <w:rFonts w:hint="eastAsia" w:ascii="宋体" w:hAnsi="宋体" w:cs="宋体"/>
          <w:b/>
          <w:bCs/>
          <w:sz w:val="24"/>
        </w:rPr>
        <w:t>投标文件包装封面参考</w:t>
      </w:r>
      <w:bookmarkEnd w:id="41"/>
      <w:bookmarkEnd w:id="42"/>
      <w:bookmarkEnd w:id="43"/>
      <w:bookmarkEnd w:id="44"/>
    </w:p>
    <w:tbl>
      <w:tblPr>
        <w:tblStyle w:val="18"/>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6"/>
              <w:tabs>
                <w:tab w:val="left" w:pos="562"/>
                <w:tab w:val="left" w:pos="3372"/>
                <w:tab w:val="left" w:pos="3653"/>
              </w:tabs>
              <w:spacing w:line="360" w:lineRule="auto"/>
              <w:rPr>
                <w:rFonts w:ascii="黑体" w:eastAsia="黑体"/>
                <w:b/>
                <w:sz w:val="72"/>
                <w:szCs w:val="72"/>
              </w:rPr>
            </w:pPr>
          </w:p>
          <w:p>
            <w:pPr>
              <w:pStyle w:val="6"/>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6"/>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6"/>
              <w:tabs>
                <w:tab w:val="left" w:pos="562"/>
                <w:tab w:val="left" w:pos="3372"/>
                <w:tab w:val="left" w:pos="3653"/>
              </w:tabs>
              <w:spacing w:line="360" w:lineRule="auto"/>
              <w:rPr>
                <w:rFonts w:ascii="仿宋_GB2312" w:eastAsia="仿宋_GB2312"/>
                <w:b/>
                <w:sz w:val="32"/>
              </w:rPr>
            </w:pPr>
          </w:p>
          <w:p>
            <w:pPr>
              <w:pStyle w:val="6"/>
              <w:tabs>
                <w:tab w:val="left" w:pos="562"/>
                <w:tab w:val="left" w:pos="3372"/>
                <w:tab w:val="left" w:pos="3653"/>
              </w:tabs>
              <w:spacing w:line="360" w:lineRule="auto"/>
              <w:rPr>
                <w:rFonts w:ascii="仿宋_GB2312" w:eastAsia="仿宋_GB2312"/>
                <w:b/>
                <w:sz w:val="32"/>
              </w:rPr>
            </w:pPr>
          </w:p>
          <w:p>
            <w:pPr>
              <w:pStyle w:val="6"/>
              <w:tabs>
                <w:tab w:val="left" w:pos="562"/>
                <w:tab w:val="left" w:pos="3372"/>
                <w:tab w:val="left" w:pos="3653"/>
              </w:tabs>
              <w:spacing w:line="360" w:lineRule="auto"/>
              <w:ind w:firstLine="900" w:firstLineChars="320"/>
              <w:rPr>
                <w:rFonts w:ascii="仿宋_GB2312" w:eastAsia="仿宋_GB2312"/>
                <w:b/>
                <w:sz w:val="28"/>
                <w:szCs w:val="28"/>
              </w:rPr>
            </w:pPr>
          </w:p>
          <w:p/>
          <w:p>
            <w:pPr>
              <w:pStyle w:val="6"/>
              <w:tabs>
                <w:tab w:val="left" w:pos="562"/>
                <w:tab w:val="left" w:pos="3372"/>
                <w:tab w:val="left" w:pos="3653"/>
              </w:tabs>
              <w:spacing w:line="360" w:lineRule="auto"/>
              <w:rPr>
                <w:rFonts w:ascii="仿宋_GB2312" w:eastAsia="仿宋_GB2312"/>
                <w:b/>
                <w:sz w:val="28"/>
                <w:szCs w:val="28"/>
              </w:rPr>
            </w:pPr>
          </w:p>
          <w:p>
            <w:pPr>
              <w:pStyle w:val="6"/>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6"/>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6"/>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6"/>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pStyle w:val="3"/>
        <w:rPr>
          <w:rFonts w:ascii="宋体" w:cs="宋体"/>
          <w:b/>
          <w:sz w:val="24"/>
        </w:rPr>
      </w:pPr>
      <w:r>
        <w:rPr>
          <w:rFonts w:hint="eastAsia" w:ascii="宋体" w:eastAsia="宋体" w:cs="宋体"/>
          <w:b/>
          <w:sz w:val="24"/>
        </w:rPr>
        <w:t>二、投标文件—目录</w:t>
      </w:r>
    </w:p>
    <w:p>
      <w:pPr>
        <w:spacing w:line="360" w:lineRule="auto"/>
        <w:ind w:firstLine="482" w:firstLineChars="200"/>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投标一览表；</w:t>
      </w:r>
    </w:p>
    <w:p>
      <w:pPr>
        <w:tabs>
          <w:tab w:val="left" w:pos="640"/>
        </w:tabs>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分类报价明细表；</w:t>
      </w:r>
    </w:p>
    <w:p>
      <w:pPr>
        <w:tabs>
          <w:tab w:val="left" w:pos="640"/>
        </w:tabs>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《中小企业声明函》或《残疾人福利性单位声明函》或《监狱企业声明函》（参与价格扣减的投标人应提供）；</w:t>
      </w:r>
    </w:p>
    <w:p>
      <w:pPr>
        <w:spacing w:line="360" w:lineRule="auto"/>
        <w:ind w:firstLine="482" w:firstLineChars="200"/>
        <w:rPr>
          <w:rFonts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投标响应书；</w:t>
      </w:r>
    </w:p>
    <w:p>
      <w:pPr>
        <w:tabs>
          <w:tab w:val="left" w:pos="640"/>
          <w:tab w:val="left" w:pos="1260"/>
          <w:tab w:val="left" w:pos="1418"/>
        </w:tabs>
        <w:spacing w:line="360" w:lineRule="auto"/>
        <w:ind w:firstLine="480" w:firstLineChars="200"/>
        <w:rPr>
          <w:rFonts w:ascii="宋体" w:hAnsi="宋体" w:cs="宋体"/>
          <w:sz w:val="24"/>
          <w:lang w:val="fr-CH"/>
        </w:rPr>
      </w:pPr>
      <w:r>
        <w:rPr>
          <w:rFonts w:ascii="宋体" w:hAnsi="宋体" w:cs="宋体"/>
          <w:sz w:val="24"/>
        </w:rPr>
        <w:t>2.</w:t>
      </w:r>
      <w:r>
        <w:rPr>
          <w:rFonts w:hint="eastAsia" w:ascii="宋体" w:hAnsi="宋体" w:cs="宋体"/>
          <w:sz w:val="24"/>
          <w:lang w:val="fr-CH"/>
        </w:rPr>
        <w:t>营业执照【其他组织视其实际情况提供：《事业单位法人证书》或《民办非企业单位登记证书》等】及税务登记册证副本复印件(加盖投标人公章，若提供的营业执照为三证合一，则税务登记证可不单独提供)；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ind w:firstLine="480" w:firstLineChars="200"/>
        <w:rPr>
          <w:rFonts w:ascii="宋体" w:hAnsi="宋体" w:cs="宋体"/>
          <w:sz w:val="24"/>
          <w:lang w:val="fr-CH"/>
        </w:rPr>
      </w:pPr>
      <w:r>
        <w:rPr>
          <w:rFonts w:ascii="宋体" w:hAnsi="宋体" w:cs="宋体"/>
          <w:sz w:val="24"/>
        </w:rPr>
        <w:t>3.</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ascii="宋体" w:hAnsi="宋体" w:cs="宋体"/>
          <w:sz w:val="24"/>
          <w:lang w:val="fr-CH"/>
        </w:rPr>
      </w:pPr>
      <w:r>
        <w:rPr>
          <w:rFonts w:ascii="宋体" w:hAnsi="宋体" w:cs="宋体"/>
          <w:sz w:val="24"/>
        </w:rPr>
        <w:t>4.</w:t>
      </w:r>
      <w:r>
        <w:rPr>
          <w:rFonts w:hint="eastAsia" w:ascii="宋体" w:hAnsi="宋体" w:cs="宋体"/>
          <w:sz w:val="24"/>
          <w:lang w:val="fr-CH"/>
        </w:rPr>
        <w:t>关于资格的声明函；</w:t>
      </w:r>
    </w:p>
    <w:p>
      <w:pPr>
        <w:pStyle w:val="22"/>
        <w:spacing w:line="360" w:lineRule="auto"/>
        <w:ind w:firstLine="480"/>
        <w:rPr>
          <w:lang w:val="fr-CH"/>
        </w:rPr>
      </w:pPr>
      <w:r>
        <w:rPr>
          <w:rFonts w:ascii="宋体" w:hAnsi="宋体" w:cs="宋体"/>
          <w:kern w:val="2"/>
          <w:sz w:val="24"/>
          <w:szCs w:val="24"/>
        </w:rPr>
        <w:t>5.</w:t>
      </w:r>
      <w:r>
        <w:rPr>
          <w:rFonts w:hint="eastAsia" w:ascii="宋体" w:hAnsi="宋体" w:cs="宋体"/>
          <w:kern w:val="2"/>
          <w:sz w:val="24"/>
          <w:szCs w:val="24"/>
          <w:lang w:val="fr-CH"/>
        </w:rPr>
        <w:t>企业诚信声明与承诺；</w:t>
      </w:r>
    </w:p>
    <w:p>
      <w:pPr>
        <w:tabs>
          <w:tab w:val="left" w:pos="640"/>
          <w:tab w:val="left" w:pos="1260"/>
          <w:tab w:val="left" w:pos="1418"/>
        </w:tabs>
        <w:spacing w:line="360" w:lineRule="auto"/>
        <w:ind w:firstLine="480" w:firstLineChars="200"/>
        <w:rPr>
          <w:rFonts w:ascii="宋体" w:hAnsi="宋体" w:cs="宋体"/>
          <w:sz w:val="24"/>
          <w:lang w:val="fr-CH"/>
        </w:rPr>
      </w:pPr>
      <w:r>
        <w:rPr>
          <w:rFonts w:ascii="宋体" w:hAnsi="宋体" w:cs="宋体"/>
          <w:sz w:val="24"/>
        </w:rPr>
        <w:t>6.</w:t>
      </w:r>
      <w:r>
        <w:rPr>
          <w:rFonts w:hint="eastAsia" w:ascii="宋体" w:hAnsi="宋体" w:cs="宋体"/>
          <w:sz w:val="24"/>
          <w:lang w:val="fr-CH"/>
        </w:rPr>
        <w:t>法人代表证明书及身份证明；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ascii="宋体" w:hAnsi="宋体" w:cs="宋体"/>
          <w:sz w:val="24"/>
        </w:rPr>
        <w:t>7.</w:t>
      </w:r>
      <w:r>
        <w:rPr>
          <w:rFonts w:hint="eastAsia" w:ascii="宋体" w:hAnsi="宋体" w:cs="宋体"/>
          <w:sz w:val="24"/>
          <w:lang w:val="fr-CH"/>
        </w:rPr>
        <w:t>法定代表人授权书及身份证明；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ascii="宋体" w:hAnsi="宋体" w:cs="宋体"/>
          <w:sz w:val="24"/>
        </w:rPr>
        <w:t>8.</w:t>
      </w:r>
      <w:r>
        <w:rPr>
          <w:rFonts w:hint="eastAsia" w:ascii="宋体" w:hAnsi="宋体" w:cs="宋体"/>
          <w:sz w:val="24"/>
          <w:lang w:val="fr-CH"/>
        </w:rPr>
        <w:t>招标代理服务费承诺书；</w:t>
      </w:r>
    </w:p>
    <w:p>
      <w:pPr>
        <w:tabs>
          <w:tab w:val="left" w:pos="640"/>
          <w:tab w:val="left" w:pos="1260"/>
          <w:tab w:val="left" w:pos="1418"/>
        </w:tabs>
        <w:spacing w:line="360" w:lineRule="auto"/>
        <w:ind w:firstLine="480" w:firstLineChars="200"/>
        <w:rPr>
          <w:rFonts w:ascii="宋体" w:hAnsi="宋体" w:cs="宋体"/>
          <w:sz w:val="24"/>
          <w:lang w:val="fr-CH"/>
        </w:rPr>
      </w:pPr>
      <w:r>
        <w:rPr>
          <w:rFonts w:ascii="宋体" w:hAnsi="宋体" w:cs="宋体"/>
          <w:sz w:val="24"/>
        </w:rPr>
        <w:t>9.</w:t>
      </w:r>
      <w:r>
        <w:rPr>
          <w:rFonts w:hint="eastAsia" w:ascii="宋体" w:hAnsi="宋体" w:cs="宋体"/>
          <w:sz w:val="24"/>
          <w:lang w:val="fr-CH"/>
        </w:rPr>
        <w:t>投标人简介</w:t>
      </w:r>
    </w:p>
    <w:p>
      <w:pPr>
        <w:tabs>
          <w:tab w:val="left" w:pos="640"/>
          <w:tab w:val="left" w:pos="1260"/>
          <w:tab w:val="left" w:pos="1418"/>
        </w:tabs>
        <w:spacing w:line="360" w:lineRule="auto"/>
        <w:ind w:firstLine="480" w:firstLineChars="200"/>
        <w:rPr>
          <w:rFonts w:ascii="宋体" w:hAnsi="宋体" w:cs="宋体"/>
          <w:sz w:val="24"/>
          <w:lang w:val="fr-CH"/>
        </w:rPr>
      </w:pPr>
      <w:r>
        <w:rPr>
          <w:rFonts w:ascii="宋体" w:hAnsi="宋体" w:cs="宋体"/>
          <w:sz w:val="24"/>
        </w:rPr>
        <w:t>10.</w:t>
      </w:r>
      <w:r>
        <w:rPr>
          <w:rFonts w:hint="eastAsia" w:ascii="宋体" w:hAnsi="宋体" w:cs="宋体"/>
          <w:sz w:val="24"/>
          <w:lang w:val="fr-CH"/>
        </w:rPr>
        <w:t>企业资质情况</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fr-CH"/>
        </w:rPr>
        <w:t>1</w:t>
      </w:r>
      <w:r>
        <w:rPr>
          <w:rFonts w:ascii="宋体" w:hAnsi="宋体" w:cs="宋体"/>
          <w:sz w:val="24"/>
        </w:rPr>
        <w:t>1.</w:t>
      </w:r>
      <w:r>
        <w:rPr>
          <w:rFonts w:hint="eastAsia" w:ascii="宋体" w:hAnsi="宋体" w:cs="宋体"/>
          <w:sz w:val="24"/>
          <w:lang w:val="fr-CH"/>
        </w:rPr>
        <w:t>投标人同类项目业绩情况（</w:t>
      </w:r>
      <w:r>
        <w:rPr>
          <w:rFonts w:hint="eastAsia" w:ascii="宋体" w:hAnsi="宋体" w:cs="宋体"/>
          <w:sz w:val="24"/>
        </w:rPr>
        <w:t>格式自拟</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w:t>
      </w:r>
      <w:r>
        <w:rPr>
          <w:rFonts w:ascii="宋体" w:hAnsi="宋体" w:cs="宋体"/>
          <w:sz w:val="24"/>
        </w:rPr>
        <w:t>3.</w:t>
      </w:r>
      <w:r>
        <w:rPr>
          <w:rFonts w:hint="eastAsia" w:ascii="宋体" w:hAnsi="宋体" w:cs="宋体"/>
          <w:sz w:val="24"/>
          <w:lang w:val="fr-CH"/>
        </w:rPr>
        <w:t>项目负责人（1人）（</w:t>
      </w:r>
      <w:r>
        <w:rPr>
          <w:rFonts w:hint="eastAsia" w:ascii="宋体" w:hAnsi="宋体" w:cs="宋体"/>
          <w:sz w:val="24"/>
        </w:rPr>
        <w:t>格式自拟</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w:t>
      </w:r>
      <w:r>
        <w:rPr>
          <w:rFonts w:ascii="宋体" w:hAnsi="宋体" w:cs="宋体"/>
          <w:sz w:val="24"/>
        </w:rPr>
        <w:t>4.</w:t>
      </w:r>
      <w:r>
        <w:rPr>
          <w:rFonts w:hint="eastAsia" w:ascii="宋体" w:hAnsi="宋体" w:cs="宋体"/>
          <w:sz w:val="24"/>
        </w:rPr>
        <w:t>项目团队成员（项目负责人除外）</w:t>
      </w:r>
      <w:r>
        <w:rPr>
          <w:rFonts w:hint="eastAsia" w:ascii="宋体" w:hAnsi="宋体" w:cs="宋体"/>
          <w:sz w:val="24"/>
          <w:lang w:val="fr-CH"/>
        </w:rPr>
        <w:t>（</w:t>
      </w:r>
      <w:r>
        <w:rPr>
          <w:rFonts w:hint="eastAsia" w:ascii="宋体" w:hAnsi="宋体" w:cs="宋体"/>
          <w:sz w:val="24"/>
        </w:rPr>
        <w:t>格式自拟</w:t>
      </w:r>
      <w:r>
        <w:rPr>
          <w:rFonts w:hint="eastAsia" w:ascii="宋体" w:hAnsi="宋体" w:cs="宋体"/>
          <w:sz w:val="24"/>
          <w:lang w:val="fr-CH"/>
        </w:rPr>
        <w:t>）</w:t>
      </w:r>
    </w:p>
    <w:p>
      <w:pPr>
        <w:tabs>
          <w:tab w:val="left" w:pos="640"/>
          <w:tab w:val="left" w:pos="1260"/>
          <w:tab w:val="left" w:pos="1418"/>
        </w:tabs>
        <w:spacing w:line="360" w:lineRule="auto"/>
        <w:ind w:firstLine="480" w:firstLineChars="200"/>
      </w:pPr>
      <w:r>
        <w:rPr>
          <w:rFonts w:hint="eastAsia" w:ascii="宋体" w:hAnsi="宋体" w:cs="宋体"/>
          <w:sz w:val="24"/>
        </w:rPr>
        <w:t>1</w:t>
      </w:r>
      <w:r>
        <w:rPr>
          <w:rFonts w:ascii="宋体" w:hAnsi="宋体" w:cs="宋体"/>
          <w:sz w:val="24"/>
        </w:rPr>
        <w:t>5.</w:t>
      </w:r>
      <w:r>
        <w:rPr>
          <w:rFonts w:hint="eastAsia" w:ascii="宋体" w:hAnsi="宋体" w:cs="宋体"/>
          <w:sz w:val="24"/>
        </w:rPr>
        <w:t>服务资质</w:t>
      </w:r>
      <w:r>
        <w:rPr>
          <w:rFonts w:hint="eastAsia" w:ascii="宋体" w:hAnsi="宋体" w:cs="宋体"/>
          <w:sz w:val="24"/>
          <w:lang w:val="fr-CH"/>
        </w:rPr>
        <w:t>（</w:t>
      </w:r>
      <w:r>
        <w:rPr>
          <w:rFonts w:hint="eastAsia" w:ascii="宋体" w:hAnsi="宋体" w:cs="宋体"/>
          <w:sz w:val="24"/>
        </w:rPr>
        <w:t>格式自拟</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fr-CH"/>
        </w:rPr>
        <w:t>1</w:t>
      </w:r>
      <w:r>
        <w:rPr>
          <w:rFonts w:ascii="宋体" w:hAnsi="宋体" w:cs="宋体"/>
          <w:sz w:val="24"/>
        </w:rPr>
        <w:t>6.</w:t>
      </w:r>
      <w:r>
        <w:rPr>
          <w:rFonts w:hint="eastAsia" w:ascii="宋体" w:hAnsi="宋体" w:cs="宋体"/>
          <w:sz w:val="24"/>
          <w:lang w:val="fr-CH"/>
        </w:rPr>
        <w:t>投标单位认为有必要提供的其他材料（</w:t>
      </w:r>
      <w:r>
        <w:rPr>
          <w:rFonts w:hint="eastAsia" w:ascii="宋体" w:hAnsi="宋体" w:cs="宋体"/>
          <w:sz w:val="24"/>
        </w:rPr>
        <w:t>格式自拟</w:t>
      </w:r>
      <w:r>
        <w:rPr>
          <w:rFonts w:hint="eastAsia" w:ascii="宋体" w:hAnsi="宋体" w:cs="宋体"/>
          <w:sz w:val="24"/>
          <w:lang w:val="fr-CH"/>
        </w:rPr>
        <w:t>）</w:t>
      </w:r>
    </w:p>
    <w:p>
      <w:pPr>
        <w:spacing w:line="360" w:lineRule="auto"/>
        <w:ind w:firstLine="482" w:firstLineChars="200"/>
        <w:rPr>
          <w:rFonts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ascii="宋体" w:hAnsi="宋体" w:cs="宋体"/>
          <w:sz w:val="24"/>
        </w:rPr>
        <w:t>1.</w:t>
      </w:r>
      <w:r>
        <w:rPr>
          <w:rFonts w:hint="eastAsia" w:ascii="宋体" w:hAnsi="宋体" w:cs="宋体"/>
          <w:sz w:val="24"/>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ascii="宋体" w:hAnsi="宋体" w:cs="宋体"/>
          <w:sz w:val="24"/>
        </w:rPr>
        <w:t>2.</w:t>
      </w:r>
      <w:r>
        <w:rPr>
          <w:rFonts w:hint="eastAsia" w:ascii="宋体" w:hAnsi="宋体" w:cs="宋体"/>
          <w:sz w:val="24"/>
        </w:rPr>
        <w:t>项目整体理解与认知（格式自拟）</w:t>
      </w:r>
    </w:p>
    <w:p>
      <w:pPr>
        <w:tabs>
          <w:tab w:val="left" w:pos="640"/>
          <w:tab w:val="left" w:pos="1260"/>
          <w:tab w:val="left" w:pos="1418"/>
        </w:tabs>
        <w:spacing w:line="360" w:lineRule="auto"/>
        <w:ind w:right="-420" w:rightChars="-200" w:firstLine="480" w:firstLineChars="200"/>
        <w:rPr>
          <w:rFonts w:ascii="宋体" w:hAnsi="宋体" w:cs="宋体"/>
          <w:sz w:val="24"/>
        </w:rPr>
      </w:pPr>
      <w:r>
        <w:rPr>
          <w:rFonts w:ascii="宋体" w:hAnsi="宋体" w:cs="宋体"/>
          <w:sz w:val="24"/>
        </w:rPr>
        <w:t>3.</w:t>
      </w:r>
      <w:r>
        <w:rPr>
          <w:rFonts w:hint="eastAsia" w:ascii="宋体" w:hAnsi="宋体" w:cs="宋体"/>
          <w:sz w:val="24"/>
        </w:rPr>
        <w:t>项目设计方案（格式自拟）</w:t>
      </w:r>
    </w:p>
    <w:p>
      <w:pPr>
        <w:tabs>
          <w:tab w:val="left" w:pos="640"/>
          <w:tab w:val="left" w:pos="1260"/>
          <w:tab w:val="left" w:pos="1418"/>
        </w:tabs>
        <w:spacing w:line="360" w:lineRule="auto"/>
        <w:ind w:right="-420" w:rightChars="-200" w:firstLine="480" w:firstLineChars="200"/>
        <w:rPr>
          <w:rFonts w:ascii="宋体" w:hAnsi="宋体" w:cs="宋体"/>
          <w:sz w:val="24"/>
        </w:rPr>
      </w:pPr>
      <w:r>
        <w:rPr>
          <w:rFonts w:ascii="宋体" w:hAnsi="宋体" w:cs="宋体"/>
          <w:sz w:val="24"/>
        </w:rPr>
        <w:t>4.</w:t>
      </w:r>
      <w:r>
        <w:rPr>
          <w:rFonts w:hint="eastAsia" w:ascii="宋体" w:hAnsi="宋体" w:cs="宋体"/>
          <w:sz w:val="24"/>
        </w:rPr>
        <w:t>项目重点难点分析、应对措施及相关的合理化建议（格式自拟）</w:t>
      </w:r>
    </w:p>
    <w:p>
      <w:pPr>
        <w:tabs>
          <w:tab w:val="left" w:pos="640"/>
          <w:tab w:val="left" w:pos="1260"/>
          <w:tab w:val="left" w:pos="1418"/>
        </w:tabs>
        <w:spacing w:line="360" w:lineRule="auto"/>
        <w:ind w:right="-420" w:rightChars="-200" w:firstLine="480" w:firstLineChars="200"/>
      </w:pPr>
      <w:r>
        <w:rPr>
          <w:rFonts w:ascii="宋体" w:hAnsi="宋体" w:cs="宋体"/>
          <w:sz w:val="24"/>
        </w:rPr>
        <w:t>5.</w:t>
      </w:r>
      <w:r>
        <w:rPr>
          <w:rFonts w:hint="eastAsia" w:ascii="宋体" w:hAnsi="宋体" w:cs="宋体"/>
          <w:sz w:val="24"/>
        </w:rPr>
        <w:t>质量保障措施及方案（格式自拟）</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lang w:val="fr-CH"/>
        </w:rPr>
        <w:br w:type="page"/>
      </w:r>
      <w:r>
        <w:rPr>
          <w:rFonts w:hint="eastAsia" w:ascii="宋体" w:hAnsi="宋体" w:cs="宋体"/>
          <w:b/>
          <w:bCs/>
          <w:sz w:val="24"/>
        </w:rPr>
        <w:t>（一）</w:t>
      </w:r>
      <w:r>
        <w:rPr>
          <w:rFonts w:hint="eastAsia" w:ascii="宋体" w:hAnsi="宋体" w:cs="宋体"/>
          <w:b/>
          <w:bCs/>
          <w:sz w:val="24"/>
          <w:lang w:val="zh-CN"/>
        </w:rPr>
        <w:t>价格部分</w:t>
      </w:r>
    </w:p>
    <w:p>
      <w:pPr>
        <w:spacing w:line="360" w:lineRule="auto"/>
        <w:jc w:val="center"/>
        <w:rPr>
          <w:rFonts w:ascii="宋体" w:hAnsi="宋体" w:cs="宋体"/>
          <w:b/>
          <w:bCs/>
          <w:sz w:val="24"/>
        </w:rPr>
      </w:pPr>
      <w:r>
        <w:rPr>
          <w:rFonts w:ascii="宋体" w:hAnsi="宋体" w:cs="宋体"/>
          <w:b/>
          <w:bCs/>
          <w:sz w:val="24"/>
        </w:rPr>
        <w:t>1.</w:t>
      </w:r>
      <w:r>
        <w:rPr>
          <w:rFonts w:hint="eastAsia" w:ascii="宋体" w:hAnsi="宋体" w:cs="宋体"/>
          <w:b/>
          <w:bCs/>
          <w:sz w:val="24"/>
        </w:rPr>
        <w:t>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18"/>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3225" w:type="dxa"/>
            <w:vAlign w:val="center"/>
          </w:tcPr>
          <w:p>
            <w:pPr>
              <w:spacing w:after="60" w:line="360" w:lineRule="auto"/>
              <w:jc w:val="center"/>
              <w:rPr>
                <w:rFonts w:ascii="宋体" w:hAnsi="宋体" w:cs="宋体"/>
                <w:sz w:val="24"/>
              </w:rPr>
            </w:pPr>
            <w:r>
              <w:rPr>
                <w:rFonts w:hint="eastAsia" w:ascii="宋体" w:hAnsi="宋体" w:cs="宋体"/>
                <w:sz w:val="24"/>
              </w:rPr>
              <w:t>投标总价</w:t>
            </w:r>
          </w:p>
          <w:p>
            <w:pPr>
              <w:spacing w:after="60" w:line="360" w:lineRule="auto"/>
              <w:jc w:val="center"/>
              <w:rPr>
                <w:rFonts w:ascii="宋体" w:hAnsi="宋体" w:cs="宋体"/>
                <w:sz w:val="24"/>
              </w:rPr>
            </w:pPr>
            <w:r>
              <w:rPr>
                <w:rFonts w:hint="eastAsia" w:ascii="宋体" w:hAnsi="宋体" w:cs="宋体"/>
                <w:sz w:val="24"/>
              </w:rPr>
              <w:t>（人民币）</w:t>
            </w:r>
          </w:p>
        </w:tc>
        <w:tc>
          <w:tcPr>
            <w:tcW w:w="275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ascii="宋体" w:hAnsi="宋体" w:cs="宋体"/>
                <w:sz w:val="24"/>
                <w:u w:val="single"/>
              </w:rPr>
            </w:pPr>
          </w:p>
        </w:tc>
        <w:tc>
          <w:tcPr>
            <w:tcW w:w="3225" w:type="dxa"/>
            <w:vAlign w:val="center"/>
          </w:tcPr>
          <w:p>
            <w:pPr>
              <w:spacing w:line="360" w:lineRule="auto"/>
              <w:jc w:val="center"/>
              <w:rPr>
                <w:rFonts w:ascii="宋体" w:hAnsi="宋体" w:cs="宋体"/>
                <w:sz w:val="24"/>
                <w:u w:val="single"/>
              </w:rPr>
            </w:pPr>
          </w:p>
        </w:tc>
        <w:tc>
          <w:tcPr>
            <w:tcW w:w="275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pStyle w:val="22"/>
        <w:ind w:firstLine="0" w:firstLineChars="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bCs/>
          <w:sz w:val="24"/>
        </w:rPr>
        <w:br w:type="page"/>
      </w:r>
      <w:r>
        <w:rPr>
          <w:rFonts w:ascii="宋体" w:hAnsi="宋体" w:cs="宋体"/>
          <w:b/>
          <w:bCs/>
          <w:sz w:val="24"/>
        </w:rPr>
        <w:t>2.</w:t>
      </w:r>
      <w:r>
        <w:rPr>
          <w:rFonts w:hint="eastAsia" w:ascii="宋体" w:hAnsi="宋体" w:cs="宋体"/>
          <w:b/>
          <w:bCs/>
          <w:sz w:val="24"/>
        </w:rPr>
        <w:t>分项报价清单</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18"/>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黑体" w:cs="仿宋_GB2312"/>
                <w:b/>
                <w:bCs/>
                <w:color w:val="000000"/>
                <w:kern w:val="0"/>
                <w:sz w:val="24"/>
                <w:lang w:bidi="ar"/>
              </w:rPr>
            </w:pPr>
            <w:r>
              <w:rPr>
                <w:rFonts w:hint="eastAsia" w:ascii="黑体" w:hAnsi="黑体" w:eastAsia="黑体" w:cs="黑体"/>
                <w:b/>
                <w:bCs/>
                <w:color w:val="000000"/>
                <w:kern w:val="0"/>
                <w:sz w:val="28"/>
                <w:szCs w:val="28"/>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b/>
                <w:bCs/>
                <w:color w:val="000000"/>
                <w:kern w:val="0"/>
                <w:sz w:val="24"/>
                <w:lang w:bidi="zh-CN"/>
              </w:rPr>
            </w:pPr>
            <w:r>
              <w:rPr>
                <w:rFonts w:hint="eastAsia" w:ascii="仿宋_GB2312" w:hAnsi="仿宋_GB2312" w:eastAsia="仿宋_GB2312" w:cs="仿宋_GB2312"/>
                <w:b/>
                <w:bCs/>
                <w:color w:val="000000"/>
                <w:kern w:val="0"/>
                <w:sz w:val="24"/>
                <w:lang w:bidi="zh-CN"/>
              </w:rPr>
              <w:t>服务内容</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FF0000"/>
                <w:kern w:val="0"/>
                <w:sz w:val="24"/>
                <w:lang w:bidi="ar"/>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注：可根据需要自行调整报价格式。含税总计应等于投标总价。</w:t>
      </w: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numPr>
          <w:ilvl w:val="255"/>
          <w:numId w:val="0"/>
        </w:numPr>
        <w:spacing w:line="360" w:lineRule="auto"/>
        <w:outlineLvl w:val="2"/>
        <w:rPr>
          <w:rFonts w:ascii="宋体" w:hAnsi="宋体" w:cs="宋体"/>
          <w:b/>
          <w:bCs/>
          <w:sz w:val="24"/>
        </w:rPr>
      </w:pPr>
      <w:r>
        <w:rPr>
          <w:rFonts w:hint="eastAsia" w:ascii="宋体" w:hAnsi="宋体" w:cs="宋体"/>
          <w:b/>
          <w:bCs/>
          <w:sz w:val="24"/>
        </w:rPr>
        <w:br w:type="page"/>
      </w:r>
      <w:r>
        <w:rPr>
          <w:rFonts w:ascii="宋体" w:hAnsi="宋体" w:cs="宋体"/>
          <w:b/>
          <w:bCs/>
          <w:sz w:val="24"/>
        </w:rPr>
        <w:t xml:space="preserve">  （二）</w:t>
      </w:r>
      <w:r>
        <w:rPr>
          <w:rFonts w:hint="eastAsia" w:ascii="宋体" w:hAnsi="宋体" w:cs="宋体"/>
          <w:b/>
          <w:bCs/>
          <w:sz w:val="24"/>
        </w:rPr>
        <w:t>商务部分</w:t>
      </w:r>
    </w:p>
    <w:p>
      <w:pPr>
        <w:pStyle w:val="22"/>
        <w:spacing w:line="400" w:lineRule="exact"/>
        <w:ind w:firstLine="0" w:firstLineChars="0"/>
      </w:pPr>
    </w:p>
    <w:p>
      <w:pPr>
        <w:spacing w:line="400" w:lineRule="exact"/>
        <w:jc w:val="center"/>
        <w:rPr>
          <w:rFonts w:ascii="宋体" w:hAnsi="宋体" w:cs="宋体"/>
          <w:b/>
          <w:bCs/>
          <w:sz w:val="24"/>
        </w:rPr>
      </w:pPr>
      <w:r>
        <w:rPr>
          <w:rFonts w:ascii="宋体" w:hAnsi="宋体" w:cs="宋体"/>
          <w:b/>
          <w:bCs/>
          <w:sz w:val="24"/>
        </w:rPr>
        <w:t>1.</w:t>
      </w:r>
      <w:r>
        <w:rPr>
          <w:rFonts w:hint="eastAsia" w:ascii="宋体" w:hAnsi="宋体" w:cs="宋体"/>
          <w:b/>
          <w:bCs/>
          <w:sz w:val="24"/>
        </w:rPr>
        <w:t>投标响应书</w:t>
      </w:r>
    </w:p>
    <w:p>
      <w:pPr>
        <w:spacing w:line="400" w:lineRule="exact"/>
        <w:rPr>
          <w:rFonts w:ascii="宋体" w:hAnsi="宋体" w:cs="宋体"/>
          <w:sz w:val="24"/>
        </w:rPr>
      </w:pPr>
    </w:p>
    <w:p>
      <w:pPr>
        <w:spacing w:line="400" w:lineRule="exact"/>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400" w:lineRule="exact"/>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400" w:lineRule="exact"/>
        <w:ind w:firstLine="480" w:firstLineChars="200"/>
        <w:rPr>
          <w:rFonts w:ascii="宋体" w:hAnsi="宋体" w:cs="宋体"/>
          <w:sz w:val="24"/>
        </w:rPr>
      </w:pPr>
      <w:r>
        <w:rPr>
          <w:rFonts w:hint="eastAsia" w:ascii="宋体" w:hAnsi="宋体" w:cs="宋体"/>
          <w:sz w:val="24"/>
        </w:rPr>
        <w:t>据此函，签字代表宣布同意如下：</w:t>
      </w:r>
    </w:p>
    <w:p>
      <w:pPr>
        <w:spacing w:line="40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供应商方将按招标文件的规定履行合同责任和义务。</w:t>
      </w:r>
    </w:p>
    <w:p>
      <w:pPr>
        <w:spacing w:line="40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供应商方已详细审查全部投标文件，包括修改文件（如有的话）以及全部参考资料和有关附件。我们完全理解并同意放弃对这方面有不明及误解的权利。</w:t>
      </w:r>
    </w:p>
    <w:p>
      <w:pPr>
        <w:spacing w:line="40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与本投标项目有关的一切正式往来通讯请寄：</w:t>
      </w:r>
    </w:p>
    <w:p>
      <w:pPr>
        <w:spacing w:line="400" w:lineRule="exact"/>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400" w:lineRule="exact"/>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400" w:lineRule="exact"/>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400" w:lineRule="exact"/>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400" w:lineRule="exact"/>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400" w:lineRule="exact"/>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400" w:lineRule="exact"/>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6"/>
        <w:spacing w:after="0" w:line="400" w:lineRule="exact"/>
      </w:pPr>
    </w:p>
    <w:p>
      <w:pPr>
        <w:tabs>
          <w:tab w:val="left" w:pos="640"/>
          <w:tab w:val="left" w:pos="1260"/>
          <w:tab w:val="left" w:pos="1418"/>
        </w:tabs>
        <w:spacing w:line="400" w:lineRule="exact"/>
        <w:jc w:val="center"/>
        <w:rPr>
          <w:rFonts w:ascii="宋体" w:hAnsi="宋体" w:cs="宋体"/>
          <w:sz w:val="24"/>
          <w:lang w:val="fr-CH"/>
        </w:rPr>
      </w:pPr>
      <w:r>
        <w:rPr>
          <w:rFonts w:hint="eastAsia" w:ascii="宋体" w:hAnsi="宋体" w:cs="宋体"/>
          <w:sz w:val="24"/>
          <w:lang w:val="fr-CH"/>
        </w:rPr>
        <w:br w:type="page"/>
      </w:r>
      <w:r>
        <w:rPr>
          <w:rFonts w:ascii="宋体" w:hAnsi="宋体" w:cs="宋体"/>
          <w:b/>
          <w:bCs/>
          <w:sz w:val="24"/>
        </w:rPr>
        <w:t>2.</w:t>
      </w:r>
      <w:r>
        <w:rPr>
          <w:rFonts w:hint="eastAsia" w:ascii="宋体" w:hAnsi="宋体" w:cs="宋体"/>
          <w:b/>
          <w:bCs/>
          <w:sz w:val="24"/>
          <w:lang w:val="fr-CH"/>
        </w:rPr>
        <w:t>营业执照</w:t>
      </w:r>
    </w:p>
    <w:p>
      <w:pPr>
        <w:tabs>
          <w:tab w:val="left" w:pos="640"/>
          <w:tab w:val="left" w:pos="1260"/>
          <w:tab w:val="left" w:pos="1418"/>
        </w:tabs>
        <w:spacing w:line="400" w:lineRule="exact"/>
        <w:ind w:firstLine="480" w:firstLineChars="200"/>
        <w:rPr>
          <w:rFonts w:ascii="宋体" w:hAnsi="宋体" w:cs="宋体"/>
          <w:sz w:val="24"/>
          <w:lang w:val="fr-CH"/>
        </w:rPr>
      </w:pPr>
    </w:p>
    <w:p>
      <w:pPr>
        <w:tabs>
          <w:tab w:val="left" w:pos="640"/>
          <w:tab w:val="left" w:pos="1260"/>
          <w:tab w:val="left" w:pos="1418"/>
        </w:tabs>
        <w:spacing w:line="400" w:lineRule="exact"/>
        <w:ind w:firstLine="480" w:firstLineChars="200"/>
        <w:rPr>
          <w:rFonts w:ascii="宋体" w:hAnsi="宋体" w:cs="宋体"/>
          <w:sz w:val="24"/>
          <w:lang w:val="fr-CH"/>
        </w:rPr>
      </w:pPr>
      <w:r>
        <w:rPr>
          <w:rFonts w:hint="eastAsia" w:ascii="宋体" w:hAnsi="宋体" w:cs="宋体"/>
          <w:sz w:val="24"/>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400" w:lineRule="exact"/>
        <w:jc w:val="center"/>
        <w:rPr>
          <w:rFonts w:ascii="宋体" w:hAnsi="宋体" w:cs="宋体"/>
          <w:b/>
          <w:bCs/>
          <w:sz w:val="24"/>
          <w:lang w:val="fr-CH"/>
        </w:rPr>
      </w:pPr>
      <w:r>
        <w:rPr>
          <w:rFonts w:hint="eastAsia" w:ascii="宋体" w:hAnsi="宋体" w:cs="宋体"/>
          <w:sz w:val="24"/>
          <w:lang w:val="fr-CH"/>
        </w:rPr>
        <w:br w:type="page"/>
      </w:r>
      <w:r>
        <w:rPr>
          <w:rFonts w:ascii="宋体" w:hAnsi="宋体" w:cs="宋体"/>
          <w:b/>
          <w:bCs/>
          <w:sz w:val="24"/>
        </w:rPr>
        <w:t>3.</w:t>
      </w:r>
      <w:r>
        <w:rPr>
          <w:rFonts w:hint="eastAsia" w:ascii="宋体" w:hAnsi="宋体" w:cs="宋体"/>
          <w:b/>
          <w:bCs/>
          <w:sz w:val="24"/>
          <w:lang w:val="fr-CH"/>
        </w:rPr>
        <w:t>政府采购投标及履约承诺函</w:t>
      </w:r>
    </w:p>
    <w:p>
      <w:pPr>
        <w:spacing w:line="400" w:lineRule="exact"/>
        <w:rPr>
          <w:rFonts w:ascii="宋体" w:hAnsi="宋体" w:cs="宋体"/>
          <w:sz w:val="24"/>
        </w:rPr>
      </w:pPr>
    </w:p>
    <w:p>
      <w:pPr>
        <w:spacing w:line="400" w:lineRule="exact"/>
        <w:rPr>
          <w:rFonts w:ascii="宋体" w:hAnsi="宋体" w:cs="宋体"/>
          <w:sz w:val="24"/>
        </w:rPr>
      </w:pPr>
      <w:r>
        <w:rPr>
          <w:rFonts w:hint="eastAsia" w:ascii="宋体" w:hAnsi="宋体" w:cs="宋体"/>
          <w:sz w:val="24"/>
        </w:rPr>
        <w:t>（采购单位名称/代理机构名称）：</w:t>
      </w:r>
    </w:p>
    <w:p>
      <w:pPr>
        <w:spacing w:line="400" w:lineRule="exact"/>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400" w:lineRule="exact"/>
        <w:ind w:firstLine="480" w:firstLineChars="200"/>
        <w:rPr>
          <w:rFonts w:ascii="宋体" w:hAnsi="宋体" w:cs="宋体"/>
          <w:sz w:val="24"/>
        </w:rPr>
      </w:pPr>
      <w:r>
        <w:rPr>
          <w:rFonts w:hint="eastAsia" w:ascii="宋体" w:hAnsi="宋体" w:cs="宋体"/>
          <w:sz w:val="24"/>
        </w:rPr>
        <w:t>1.我单位本招标项目所提供的货物或服务未侵犯知识产权。</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400" w:lineRule="exact"/>
        <w:ind w:firstLine="480" w:firstLineChars="200"/>
        <w:rPr>
          <w:rFonts w:ascii="宋体" w:hAnsi="宋体" w:cs="宋体"/>
          <w:sz w:val="24"/>
        </w:rPr>
      </w:pPr>
      <w:r>
        <w:rPr>
          <w:rFonts w:hint="eastAsia" w:ascii="宋体" w:hAnsi="宋体" w:cs="宋体"/>
          <w:sz w:val="24"/>
        </w:rPr>
        <w:t>4.我单位具备《中华人民共和国政府采购法》第二十二条的条件。</w:t>
      </w:r>
    </w:p>
    <w:p>
      <w:pPr>
        <w:spacing w:line="400" w:lineRule="exact"/>
        <w:ind w:firstLine="480" w:firstLineChars="200"/>
        <w:rPr>
          <w:rFonts w:ascii="宋体" w:hAnsi="宋体" w:cs="宋体"/>
          <w:kern w:val="0"/>
          <w:sz w:val="24"/>
        </w:rPr>
      </w:pPr>
      <w:r>
        <w:rPr>
          <w:rFonts w:hint="eastAsia" w:ascii="宋体" w:hAnsi="宋体" w:cs="宋体"/>
          <w:sz w:val="24"/>
        </w:rPr>
        <w:t>5.</w:t>
      </w:r>
      <w:r>
        <w:rPr>
          <w:rFonts w:hint="eastAsia" w:ascii="宋体" w:hAnsi="宋体" w:cs="宋体"/>
          <w:kern w:val="0"/>
          <w:sz w:val="24"/>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400" w:lineRule="exact"/>
        <w:ind w:firstLine="480" w:firstLineChars="200"/>
        <w:rPr>
          <w:rFonts w:ascii="宋体" w:hAnsi="宋体" w:cs="宋体"/>
          <w:sz w:val="24"/>
        </w:rPr>
      </w:pPr>
      <w:r>
        <w:rPr>
          <w:rFonts w:hint="eastAsia" w:ascii="宋体" w:hAnsi="宋体" w:cs="宋体"/>
          <w:sz w:val="24"/>
        </w:rPr>
        <w:t>6.我单位参与该项目投标，严格遵循公平竞争的原则，不恶意串通，不妨碍其他投标人的竞争行为，不损害</w:t>
      </w:r>
      <w:r>
        <w:rPr>
          <w:rFonts w:ascii="宋体" w:hAnsi="宋体" w:cs="宋体"/>
          <w:sz w:val="24"/>
        </w:rPr>
        <w:t>采购单位</w:t>
      </w:r>
      <w:r>
        <w:rPr>
          <w:rFonts w:hint="eastAsia" w:ascii="宋体" w:hAnsi="宋体" w:cs="宋体"/>
          <w:sz w:val="24"/>
        </w:rPr>
        <w:t>或者其他投标人的合法权益。我单位已清楚，如违反上述要求，将作投标无效处理，并自动放弃贵局自本项目起所有采购项目的投标事宜。</w:t>
      </w:r>
    </w:p>
    <w:p>
      <w:pPr>
        <w:spacing w:line="400" w:lineRule="exact"/>
        <w:ind w:firstLine="480" w:firstLineChars="200"/>
        <w:rPr>
          <w:rFonts w:ascii="宋体" w:hAnsi="宋体" w:cs="宋体"/>
          <w:sz w:val="24"/>
        </w:rPr>
      </w:pPr>
      <w:r>
        <w:rPr>
          <w:rFonts w:hint="eastAsia" w:ascii="宋体" w:hAnsi="宋体" w:cs="宋体"/>
          <w:sz w:val="24"/>
        </w:rPr>
        <w:t>7.我单位如果中标，做到诚实守信，依照本项目招标文件需求内容、签署的采购合同及本单位在投标中所作的一切承诺履约；不非法转包、分包。</w:t>
      </w:r>
    </w:p>
    <w:p>
      <w:pPr>
        <w:spacing w:line="400" w:lineRule="exact"/>
        <w:ind w:firstLine="480" w:firstLineChars="200"/>
        <w:rPr>
          <w:rFonts w:ascii="宋体" w:hAnsi="宋体" w:cs="宋体"/>
          <w:sz w:val="24"/>
        </w:rPr>
      </w:pPr>
      <w:r>
        <w:rPr>
          <w:rFonts w:hint="eastAsia" w:ascii="宋体" w:hAnsi="宋体" w:cs="宋体"/>
          <w:sz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80" w:firstLineChars="200"/>
        <w:rPr>
          <w:rFonts w:ascii="宋体" w:hAnsi="宋体" w:cs="宋体"/>
          <w:sz w:val="24"/>
        </w:rPr>
      </w:pPr>
      <w:r>
        <w:rPr>
          <w:rFonts w:hint="eastAsia" w:ascii="宋体" w:hAnsi="宋体" w:cs="宋体"/>
          <w:sz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400" w:lineRule="exact"/>
        <w:ind w:firstLine="480" w:firstLineChars="200"/>
        <w:rPr>
          <w:rFonts w:ascii="宋体" w:hAnsi="宋体" w:cs="宋体"/>
          <w:sz w:val="24"/>
        </w:rPr>
      </w:pPr>
      <w:r>
        <w:rPr>
          <w:rFonts w:hint="eastAsia" w:ascii="宋体" w:hAnsi="宋体" w:cs="宋体"/>
          <w:sz w:val="24"/>
        </w:rPr>
        <w:t>10.我单位承诺未参与本项目的采购需求、技术指标、商务指标等内容的设定，不存在对其他投标单位不公平的行为。</w:t>
      </w:r>
    </w:p>
    <w:p>
      <w:pPr>
        <w:spacing w:line="400" w:lineRule="exact"/>
        <w:ind w:firstLine="480" w:firstLineChars="200"/>
        <w:rPr>
          <w:rFonts w:ascii="宋体" w:hAnsi="宋体" w:cs="宋体"/>
          <w:sz w:val="24"/>
        </w:rPr>
      </w:pPr>
      <w:r>
        <w:rPr>
          <w:rFonts w:hint="eastAsia" w:ascii="宋体" w:hAnsi="宋体" w:cs="宋体"/>
          <w:sz w:val="24"/>
        </w:rPr>
        <w:t>11.我单位承诺严格遵守贵局廉政建设的相关要求，不对</w:t>
      </w:r>
      <w:r>
        <w:rPr>
          <w:rFonts w:ascii="宋体" w:hAnsi="宋体" w:cs="宋体"/>
          <w:sz w:val="24"/>
        </w:rPr>
        <w:t>采购单位</w:t>
      </w:r>
      <w:r>
        <w:rPr>
          <w:rFonts w:hint="eastAsia" w:ascii="宋体" w:hAnsi="宋体" w:cs="宋体"/>
          <w:sz w:val="24"/>
        </w:rPr>
        <w:t>进行贿赂，进行有偿报答；不对</w:t>
      </w:r>
      <w:r>
        <w:rPr>
          <w:rFonts w:ascii="宋体" w:hAnsi="宋体" w:cs="宋体"/>
          <w:sz w:val="24"/>
        </w:rPr>
        <w:t>采购单位</w:t>
      </w:r>
      <w:r>
        <w:rPr>
          <w:rFonts w:hint="eastAsia" w:ascii="宋体" w:hAnsi="宋体" w:cs="宋体"/>
          <w:sz w:val="24"/>
        </w:rPr>
        <w:t>进行任何形式的利益输送；不对</w:t>
      </w:r>
      <w:r>
        <w:rPr>
          <w:rFonts w:ascii="宋体" w:hAnsi="宋体" w:cs="宋体"/>
          <w:sz w:val="24"/>
        </w:rPr>
        <w:t>采购单位</w:t>
      </w:r>
      <w:r>
        <w:rPr>
          <w:rFonts w:hint="eastAsia" w:ascii="宋体" w:hAnsi="宋体" w:cs="宋体"/>
          <w:sz w:val="24"/>
        </w:rPr>
        <w:t>进行宴请和娱乐等消费活动；不对</w:t>
      </w:r>
      <w:r>
        <w:rPr>
          <w:rFonts w:ascii="宋体" w:hAnsi="宋体" w:cs="宋体"/>
          <w:sz w:val="24"/>
        </w:rPr>
        <w:t>采购单位</w:t>
      </w:r>
      <w:r>
        <w:rPr>
          <w:rFonts w:hint="eastAsia" w:ascii="宋体" w:hAnsi="宋体" w:cs="宋体"/>
          <w:sz w:val="24"/>
        </w:rPr>
        <w:t>进行赠送各种礼品、现金、有价证券、中介费、好处费等行为。</w:t>
      </w:r>
    </w:p>
    <w:p>
      <w:pPr>
        <w:spacing w:line="400" w:lineRule="exact"/>
        <w:ind w:firstLine="480" w:firstLineChars="200"/>
        <w:rPr>
          <w:rFonts w:ascii="宋体" w:hAnsi="宋体" w:cs="宋体"/>
          <w:sz w:val="24"/>
        </w:rPr>
      </w:pPr>
      <w:r>
        <w:rPr>
          <w:rFonts w:hint="eastAsia" w:ascii="宋体" w:hAnsi="宋体" w:cs="宋体"/>
          <w:sz w:val="24"/>
        </w:rPr>
        <w:t>以上承诺，如有违反，愿依照国家相关法律处理，并承担由此给</w:t>
      </w:r>
      <w:r>
        <w:rPr>
          <w:rFonts w:ascii="宋体" w:hAnsi="宋体" w:cs="宋体"/>
          <w:sz w:val="24"/>
        </w:rPr>
        <w:t>采购单位</w:t>
      </w:r>
      <w:r>
        <w:rPr>
          <w:rFonts w:hint="eastAsia" w:ascii="宋体" w:hAnsi="宋体" w:cs="宋体"/>
          <w:sz w:val="24"/>
        </w:rPr>
        <w:t>带来的损失。</w:t>
      </w:r>
    </w:p>
    <w:p>
      <w:pPr>
        <w:spacing w:line="400" w:lineRule="exact"/>
        <w:ind w:firstLine="480" w:firstLineChars="200"/>
        <w:rPr>
          <w:rFonts w:ascii="宋体" w:hAnsi="宋体" w:cs="宋体"/>
          <w:sz w:val="24"/>
        </w:rPr>
      </w:pPr>
    </w:p>
    <w:p>
      <w:pPr>
        <w:tabs>
          <w:tab w:val="left" w:pos="4860"/>
        </w:tabs>
        <w:adjustRightInd w:val="0"/>
        <w:snapToGrid w:val="0"/>
        <w:spacing w:line="400" w:lineRule="exact"/>
        <w:ind w:firstLine="241" w:firstLineChars="100"/>
        <w:rPr>
          <w:rFonts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400" w:lineRule="exact"/>
        <w:ind w:firstLine="241" w:firstLineChars="100"/>
        <w:rPr>
          <w:rFonts w:ascii="宋体" w:hAnsi="宋体" w:cs="宋体"/>
          <w:b/>
          <w:bCs/>
          <w:sz w:val="24"/>
        </w:rPr>
      </w:pPr>
    </w:p>
    <w:p>
      <w:pPr>
        <w:tabs>
          <w:tab w:val="left" w:pos="4860"/>
        </w:tabs>
        <w:adjustRightInd w:val="0"/>
        <w:snapToGrid w:val="0"/>
        <w:spacing w:line="400" w:lineRule="exact"/>
        <w:ind w:firstLine="241" w:firstLineChars="100"/>
        <w:rPr>
          <w:rFonts w:ascii="宋体" w:hAnsi="宋体" w:cs="宋体"/>
          <w:b/>
          <w:bCs/>
          <w:sz w:val="24"/>
        </w:rPr>
      </w:pPr>
      <w:r>
        <w:rPr>
          <w:rFonts w:hint="eastAsia" w:ascii="宋体" w:hAnsi="宋体" w:cs="宋体"/>
          <w:b/>
          <w:bCs/>
          <w:sz w:val="24"/>
        </w:rPr>
        <w:t>供应商（盖章）：</w:t>
      </w:r>
    </w:p>
    <w:p>
      <w:pPr>
        <w:tabs>
          <w:tab w:val="left" w:pos="4860"/>
        </w:tabs>
        <w:adjustRightInd w:val="0"/>
        <w:snapToGrid w:val="0"/>
        <w:spacing w:line="400" w:lineRule="exact"/>
        <w:ind w:firstLine="241" w:firstLineChars="100"/>
        <w:rPr>
          <w:rFonts w:ascii="宋体" w:hAnsi="宋体" w:cs="宋体"/>
          <w:b/>
          <w:bCs/>
          <w:sz w:val="24"/>
        </w:rPr>
      </w:pPr>
    </w:p>
    <w:p>
      <w:pPr>
        <w:tabs>
          <w:tab w:val="left" w:pos="4860"/>
        </w:tabs>
        <w:adjustRightInd w:val="0"/>
        <w:snapToGrid w:val="0"/>
        <w:spacing w:line="400" w:lineRule="exact"/>
        <w:ind w:firstLine="241" w:firstLineChars="100"/>
        <w:rPr>
          <w:rFonts w:ascii="宋体" w:hAnsi="宋体" w:cs="宋体"/>
          <w:b/>
          <w:bCs/>
          <w:sz w:val="24"/>
        </w:rPr>
      </w:pPr>
      <w:r>
        <w:rPr>
          <w:rFonts w:hint="eastAsia" w:ascii="宋体" w:hAnsi="宋体" w:cs="宋体"/>
          <w:b/>
          <w:bCs/>
          <w:sz w:val="24"/>
        </w:rPr>
        <w:t>日期：   年  月   日</w:t>
      </w:r>
    </w:p>
    <w:p>
      <w:pPr>
        <w:pStyle w:val="6"/>
        <w:spacing w:after="0" w:line="400" w:lineRule="exact"/>
        <w:jc w:val="center"/>
        <w:rPr>
          <w:b/>
          <w:sz w:val="24"/>
          <w:lang w:val="fr-CH"/>
        </w:rPr>
      </w:pPr>
      <w:r>
        <w:rPr>
          <w:rFonts w:hint="eastAsia" w:hAnsi="宋体" w:cs="宋体"/>
        </w:rPr>
        <w:br w:type="page"/>
      </w:r>
      <w:r>
        <w:rPr>
          <w:b/>
          <w:sz w:val="24"/>
        </w:rPr>
        <w:t>4.</w:t>
      </w:r>
      <w:r>
        <w:rPr>
          <w:rFonts w:hint="eastAsia"/>
          <w:b/>
          <w:sz w:val="24"/>
          <w:lang w:val="fr-CH"/>
        </w:rPr>
        <w:t>政府采购违法行为风险知悉确认书</w:t>
      </w:r>
    </w:p>
    <w:p>
      <w:pPr>
        <w:spacing w:line="400" w:lineRule="exact"/>
        <w:jc w:val="center"/>
        <w:rPr>
          <w:lang w:val="fr-CH"/>
        </w:rPr>
      </w:pPr>
      <w:r>
        <w:rPr>
          <w:rFonts w:hint="eastAsia"/>
          <w:b/>
          <w:sz w:val="24"/>
          <w:lang w:val="fr-CH"/>
        </w:rPr>
        <w:t>政府采购违法行为风险知悉确认书</w:t>
      </w:r>
    </w:p>
    <w:p>
      <w:pPr>
        <w:spacing w:line="400" w:lineRule="exact"/>
        <w:ind w:firstLine="480" w:firstLineChars="200"/>
        <w:rPr>
          <w:sz w:val="24"/>
          <w:lang w:val="fr-CH"/>
        </w:rPr>
      </w:pPr>
    </w:p>
    <w:p>
      <w:pPr>
        <w:spacing w:line="400" w:lineRule="exact"/>
        <w:ind w:firstLine="480" w:firstLineChars="20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line="400" w:lineRule="exact"/>
        <w:ind w:firstLine="480" w:firstLineChars="200"/>
        <w:rPr>
          <w:sz w:val="24"/>
          <w:lang w:val="fr-CH"/>
        </w:rPr>
      </w:pPr>
      <w:r>
        <w:rPr>
          <w:rFonts w:hint="eastAsia"/>
          <w:sz w:val="24"/>
          <w:lang w:val="fr-CH"/>
        </w:rPr>
        <w:t>一、本公司已充分知悉“隐瞒真实情况，提供虚假资料”的法定情形，相关情形包括但不限于：</w:t>
      </w:r>
    </w:p>
    <w:p>
      <w:pPr>
        <w:spacing w:line="400" w:lineRule="exact"/>
        <w:ind w:firstLine="480" w:firstLineChars="200"/>
        <w:rPr>
          <w:sz w:val="24"/>
          <w:lang w:val="fr-CH"/>
        </w:rPr>
      </w:pPr>
      <w:r>
        <w:rPr>
          <w:rFonts w:hint="eastAsia"/>
          <w:sz w:val="24"/>
          <w:lang w:val="fr-CH"/>
        </w:rPr>
        <w:t>（一）通过转让或者租借等方式从其他单位获取资格或者资质证书投标的。</w:t>
      </w:r>
    </w:p>
    <w:p>
      <w:pPr>
        <w:spacing w:line="400" w:lineRule="exact"/>
        <w:ind w:firstLine="480" w:firstLineChars="200"/>
        <w:rPr>
          <w:sz w:val="24"/>
          <w:lang w:val="fr-CH"/>
        </w:rPr>
      </w:pPr>
      <w:r>
        <w:rPr>
          <w:rFonts w:hint="eastAsia"/>
          <w:sz w:val="24"/>
          <w:lang w:val="fr-CH"/>
        </w:rPr>
        <w:t>（二）由其他单位或者其他单位负责人在投标供应商编制的投标文件上加盖印章或者签字的。</w:t>
      </w:r>
    </w:p>
    <w:p>
      <w:pPr>
        <w:spacing w:line="400" w:lineRule="exact"/>
        <w:ind w:firstLine="480" w:firstLineChars="200"/>
        <w:rPr>
          <w:sz w:val="24"/>
          <w:lang w:val="fr-CH"/>
        </w:rPr>
      </w:pPr>
      <w:r>
        <w:rPr>
          <w:rFonts w:hint="eastAsia"/>
          <w:sz w:val="24"/>
          <w:lang w:val="fr-CH"/>
        </w:rPr>
        <w:t>（三）项目负责人或者主要技术人员不是本单位人员的。</w:t>
      </w:r>
    </w:p>
    <w:p>
      <w:pPr>
        <w:spacing w:line="400" w:lineRule="exact"/>
        <w:ind w:firstLine="480" w:firstLineChars="200"/>
        <w:rPr>
          <w:sz w:val="24"/>
          <w:lang w:val="fr-CH"/>
        </w:rPr>
      </w:pPr>
      <w:r>
        <w:rPr>
          <w:rFonts w:hint="eastAsia"/>
          <w:sz w:val="24"/>
          <w:lang w:val="fr-CH"/>
        </w:rPr>
        <w:t>（四）投标保证金不是从投标供应商基本账户转出的。</w:t>
      </w:r>
    </w:p>
    <w:p>
      <w:pPr>
        <w:spacing w:line="400" w:lineRule="exact"/>
        <w:ind w:firstLine="480" w:firstLineChars="200"/>
        <w:rPr>
          <w:sz w:val="24"/>
          <w:lang w:val="fr-CH"/>
        </w:rPr>
      </w:pPr>
      <w:r>
        <w:rPr>
          <w:rFonts w:hint="eastAsia"/>
          <w:sz w:val="24"/>
          <w:lang w:val="fr-CH"/>
        </w:rPr>
        <w:t>（五）其他隐瞒真实情况、提供虚假资料的行为。</w:t>
      </w:r>
    </w:p>
    <w:p>
      <w:pPr>
        <w:spacing w:line="400" w:lineRule="exact"/>
        <w:ind w:firstLine="480" w:firstLineChars="200"/>
        <w:rPr>
          <w:sz w:val="24"/>
          <w:lang w:val="fr-CH"/>
        </w:rPr>
      </w:pPr>
      <w:r>
        <w:rPr>
          <w:rFonts w:hint="eastAsia"/>
          <w:sz w:val="24"/>
          <w:lang w:val="fr-CH"/>
        </w:rPr>
        <w:t>二、本公司已充分知悉“与其他采购参加人串通投标”的法定情形，相关情形包括但不限于：</w:t>
      </w:r>
    </w:p>
    <w:p>
      <w:pPr>
        <w:spacing w:line="400" w:lineRule="exact"/>
        <w:ind w:firstLine="480" w:firstLineChars="200"/>
        <w:rPr>
          <w:sz w:val="24"/>
          <w:lang w:val="fr-CH"/>
        </w:rPr>
      </w:pPr>
      <w:r>
        <w:rPr>
          <w:rFonts w:hint="eastAsia"/>
          <w:sz w:val="24"/>
          <w:lang w:val="fr-CH"/>
        </w:rPr>
        <w:t>（一）投标供应商之间相互约定给予未中标的供应商利益补偿。</w:t>
      </w:r>
    </w:p>
    <w:p>
      <w:pPr>
        <w:spacing w:line="400" w:lineRule="exact"/>
        <w:ind w:firstLine="480" w:firstLineChars="20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line="400" w:lineRule="exact"/>
        <w:ind w:firstLine="480" w:firstLineChars="200"/>
        <w:rPr>
          <w:sz w:val="24"/>
          <w:lang w:val="fr-CH"/>
        </w:rPr>
      </w:pPr>
      <w:r>
        <w:rPr>
          <w:rFonts w:hint="eastAsia"/>
          <w:sz w:val="24"/>
          <w:lang w:val="fr-CH"/>
        </w:rPr>
        <w:t>（三）不同投标供应商的投标文件由同一单位或者同一人编制，或者由同一人分阶段参与编制的。</w:t>
      </w:r>
    </w:p>
    <w:p>
      <w:pPr>
        <w:spacing w:line="400" w:lineRule="exact"/>
        <w:ind w:firstLine="480" w:firstLineChars="200"/>
        <w:rPr>
          <w:sz w:val="24"/>
          <w:lang w:val="fr-CH"/>
        </w:rPr>
      </w:pPr>
      <w:r>
        <w:rPr>
          <w:rFonts w:hint="eastAsia"/>
          <w:sz w:val="24"/>
          <w:lang w:val="fr-CH"/>
        </w:rPr>
        <w:t>（四）不同投标供应商的投标文件或部分投标文件相互混装。</w:t>
      </w:r>
    </w:p>
    <w:p>
      <w:pPr>
        <w:spacing w:line="400" w:lineRule="exact"/>
        <w:ind w:firstLine="480" w:firstLineChars="200"/>
        <w:rPr>
          <w:sz w:val="24"/>
          <w:lang w:val="fr-CH"/>
        </w:rPr>
      </w:pPr>
      <w:r>
        <w:rPr>
          <w:rFonts w:hint="eastAsia"/>
          <w:sz w:val="24"/>
          <w:lang w:val="fr-CH"/>
        </w:rPr>
        <w:t>（五）不同投标供应商的投标文件内容存在非正常一致。</w:t>
      </w:r>
    </w:p>
    <w:p>
      <w:pPr>
        <w:spacing w:line="400" w:lineRule="exact"/>
        <w:ind w:firstLine="480" w:firstLineChars="200"/>
        <w:rPr>
          <w:sz w:val="24"/>
          <w:lang w:val="fr-CH"/>
        </w:rPr>
      </w:pPr>
      <w:r>
        <w:rPr>
          <w:rFonts w:hint="eastAsia"/>
          <w:sz w:val="24"/>
          <w:lang w:val="fr-CH"/>
        </w:rPr>
        <w:t>（六）由同一单位工作人员为两家以上（含两家）供应商进行同一项投标活动的。</w:t>
      </w:r>
    </w:p>
    <w:p>
      <w:pPr>
        <w:spacing w:line="400" w:lineRule="exact"/>
        <w:ind w:firstLine="480" w:firstLineChars="200"/>
        <w:rPr>
          <w:sz w:val="24"/>
          <w:lang w:val="fr-CH"/>
        </w:rPr>
      </w:pPr>
      <w:r>
        <w:rPr>
          <w:rFonts w:hint="eastAsia"/>
          <w:sz w:val="24"/>
          <w:lang w:val="fr-CH"/>
        </w:rPr>
        <w:t>（七）不同投标人的投标报价呈规律性差异。</w:t>
      </w:r>
    </w:p>
    <w:p>
      <w:pPr>
        <w:spacing w:line="400" w:lineRule="exact"/>
        <w:ind w:firstLine="480" w:firstLineChars="200"/>
        <w:rPr>
          <w:sz w:val="24"/>
          <w:lang w:val="fr-CH"/>
        </w:rPr>
      </w:pPr>
      <w:r>
        <w:rPr>
          <w:rFonts w:hint="eastAsia"/>
          <w:sz w:val="24"/>
          <w:lang w:val="fr-CH"/>
        </w:rPr>
        <w:t>（八）不同投标人的投标保证金从同一单位或者个人的账户转出。</w:t>
      </w:r>
    </w:p>
    <w:p>
      <w:pPr>
        <w:spacing w:line="400" w:lineRule="exact"/>
        <w:ind w:firstLine="480" w:firstLineChars="200"/>
        <w:rPr>
          <w:sz w:val="24"/>
          <w:lang w:val="fr-CH"/>
        </w:rPr>
      </w:pPr>
      <w:r>
        <w:rPr>
          <w:rFonts w:hint="eastAsia"/>
          <w:sz w:val="24"/>
          <w:lang w:val="fr-CH"/>
        </w:rPr>
        <w:t>（九）主管部门依照法律、法规认定的其他情形。</w:t>
      </w:r>
    </w:p>
    <w:p>
      <w:pPr>
        <w:spacing w:line="400" w:lineRule="exact"/>
        <w:ind w:firstLine="480" w:firstLineChars="200"/>
        <w:rPr>
          <w:sz w:val="24"/>
          <w:lang w:val="fr-CH"/>
        </w:rPr>
      </w:pPr>
      <w:r>
        <w:rPr>
          <w:rFonts w:hint="eastAsia"/>
          <w:sz w:val="24"/>
          <w:lang w:val="fr-CH"/>
        </w:rPr>
        <w:t>三、本公司已充分知悉下列情形所对应的法律风险，并在投标前已对相关风险事项进行排查。</w:t>
      </w:r>
    </w:p>
    <w:p>
      <w:pPr>
        <w:spacing w:line="400" w:lineRule="exact"/>
        <w:ind w:firstLine="480" w:firstLineChars="200"/>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line="400" w:lineRule="exact"/>
        <w:ind w:firstLine="480" w:firstLineChars="20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line="400" w:lineRule="exact"/>
        <w:ind w:firstLine="480" w:firstLineChars="20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line="400" w:lineRule="exact"/>
        <w:ind w:firstLine="480" w:firstLineChars="20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400" w:lineRule="exact"/>
        <w:ind w:firstLine="480" w:firstLineChars="20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400" w:lineRule="exact"/>
        <w:ind w:firstLine="480" w:firstLineChars="200"/>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400" w:lineRule="exact"/>
        <w:ind w:firstLine="480" w:firstLineChars="200"/>
        <w:rPr>
          <w:sz w:val="24"/>
          <w:lang w:val="fr-CH"/>
        </w:rPr>
      </w:pPr>
      <w:r>
        <w:rPr>
          <w:rFonts w:hint="eastAsia"/>
          <w:sz w:val="24"/>
          <w:lang w:val="fr-CH"/>
        </w:rPr>
        <w:t>四、本公司已充分知悉政府采购违法、违规行为的法律后果。</w:t>
      </w:r>
    </w:p>
    <w:p>
      <w:pPr>
        <w:spacing w:line="400" w:lineRule="exact"/>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400" w:lineRule="exact"/>
        <w:ind w:firstLine="480" w:firstLineChars="200"/>
        <w:rPr>
          <w:rFonts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400" w:lineRule="exact"/>
        <w:rPr>
          <w:lang w:val="fr-CH"/>
        </w:rPr>
      </w:pPr>
    </w:p>
    <w:p>
      <w:pPr>
        <w:spacing w:line="400" w:lineRule="exact"/>
        <w:rPr>
          <w:sz w:val="24"/>
          <w:lang w:val="fr-CH"/>
        </w:rPr>
      </w:pPr>
      <w:r>
        <w:rPr>
          <w:sz w:val="24"/>
          <w:lang w:val="fr-CH"/>
        </w:rPr>
        <w:t xml:space="preserve">                                                                                              </w:t>
      </w:r>
    </w:p>
    <w:p>
      <w:pPr>
        <w:spacing w:line="400" w:lineRule="exact"/>
        <w:rPr>
          <w:sz w:val="24"/>
          <w:lang w:val="fr-CH"/>
        </w:rPr>
      </w:pPr>
      <w:r>
        <w:rPr>
          <w:sz w:val="24"/>
          <w:lang w:val="fr-CH"/>
        </w:rPr>
        <w:t xml:space="preserve">                                                                             </w:t>
      </w:r>
    </w:p>
    <w:p>
      <w:pPr>
        <w:spacing w:line="400" w:lineRule="exact"/>
        <w:rPr>
          <w:sz w:val="24"/>
          <w:lang w:val="fr-CH"/>
        </w:rPr>
      </w:pPr>
      <w:r>
        <w:rPr>
          <w:rFonts w:hint="eastAsia"/>
          <w:sz w:val="24"/>
          <w:lang w:val="fr-CH"/>
        </w:rPr>
        <w:t>负责人/投标授权代表签名：</w:t>
      </w:r>
    </w:p>
    <w:p>
      <w:pPr>
        <w:spacing w:line="400" w:lineRule="exact"/>
        <w:rPr>
          <w:sz w:val="24"/>
          <w:lang w:val="fr-CH"/>
        </w:rPr>
      </w:pPr>
    </w:p>
    <w:p>
      <w:pPr>
        <w:spacing w:line="400" w:lineRule="exact"/>
        <w:rPr>
          <w:sz w:val="24"/>
          <w:lang w:val="fr-CH"/>
        </w:rPr>
      </w:pPr>
      <w:r>
        <w:rPr>
          <w:rFonts w:hint="eastAsia"/>
          <w:sz w:val="24"/>
          <w:lang w:val="fr-CH"/>
        </w:rPr>
        <w:t>知悉人（公章）：</w:t>
      </w:r>
    </w:p>
    <w:p>
      <w:pPr>
        <w:spacing w:line="400" w:lineRule="exact"/>
        <w:rPr>
          <w:sz w:val="24"/>
          <w:lang w:val="fr-CH"/>
        </w:rPr>
      </w:pPr>
    </w:p>
    <w:p>
      <w:pPr>
        <w:spacing w:line="400" w:lineRule="exact"/>
        <w:rPr>
          <w:sz w:val="24"/>
          <w:lang w:val="fr-CH"/>
        </w:rPr>
      </w:pPr>
      <w:r>
        <w:rPr>
          <w:rFonts w:hint="eastAsia"/>
          <w:sz w:val="24"/>
          <w:lang w:val="fr-CH"/>
        </w:rPr>
        <w:t>日期：</w:t>
      </w:r>
    </w:p>
    <w:p>
      <w:pPr>
        <w:pStyle w:val="6"/>
        <w:rPr>
          <w:lang w:val="fr-CH"/>
        </w:rPr>
      </w:pPr>
    </w:p>
    <w:p>
      <w:pPr>
        <w:tabs>
          <w:tab w:val="left" w:pos="640"/>
          <w:tab w:val="left" w:pos="1260"/>
          <w:tab w:val="left" w:pos="1418"/>
        </w:tabs>
        <w:spacing w:line="360" w:lineRule="auto"/>
        <w:jc w:val="center"/>
        <w:rPr>
          <w:rFonts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400" w:lineRule="exact"/>
        <w:jc w:val="center"/>
        <w:rPr>
          <w:rFonts w:ascii="宋体" w:hAnsi="宋体" w:cs="宋体"/>
          <w:b/>
          <w:bCs/>
          <w:sz w:val="24"/>
        </w:rPr>
      </w:pPr>
      <w:r>
        <w:rPr>
          <w:rFonts w:ascii="宋体" w:hAnsi="宋体" w:cs="宋体"/>
          <w:b/>
          <w:bCs/>
          <w:sz w:val="24"/>
        </w:rPr>
        <w:t>5.</w:t>
      </w:r>
      <w:r>
        <w:rPr>
          <w:rFonts w:hint="eastAsia" w:ascii="宋体" w:hAnsi="宋体" w:cs="宋体"/>
          <w:b/>
          <w:bCs/>
          <w:sz w:val="24"/>
        </w:rPr>
        <w:t>关于资格的声明函</w:t>
      </w:r>
    </w:p>
    <w:p>
      <w:pPr>
        <w:spacing w:line="400" w:lineRule="exact"/>
        <w:rPr>
          <w:rFonts w:ascii="宋体" w:hAnsi="宋体" w:cs="宋体"/>
          <w:sz w:val="24"/>
        </w:rPr>
      </w:pPr>
    </w:p>
    <w:p>
      <w:pPr>
        <w:spacing w:line="400" w:lineRule="exact"/>
        <w:rPr>
          <w:rFonts w:ascii="宋体" w:hAnsi="宋体" w:cs="宋体"/>
          <w:sz w:val="24"/>
        </w:rPr>
      </w:pPr>
      <w:r>
        <w:rPr>
          <w:rFonts w:hint="eastAsia" w:ascii="宋体" w:hAnsi="宋体" w:cs="宋体"/>
          <w:sz w:val="24"/>
        </w:rPr>
        <w:t>（采购单位名称/代理机构名称）：</w:t>
      </w:r>
    </w:p>
    <w:p>
      <w:pPr>
        <w:spacing w:line="400" w:lineRule="exact"/>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400" w:lineRule="exact"/>
        <w:ind w:firstLine="480" w:firstLineChars="200"/>
        <w:rPr>
          <w:rFonts w:ascii="宋体" w:hAnsi="宋体" w:cs="宋体"/>
          <w:sz w:val="24"/>
        </w:rPr>
      </w:pPr>
      <w:r>
        <w:rPr>
          <w:rFonts w:hint="eastAsia" w:ascii="宋体" w:hAnsi="宋体" w:cs="宋体"/>
          <w:sz w:val="24"/>
        </w:rPr>
        <w:t>特此承诺！</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rPr>
          <w:rFonts w:ascii="宋体" w:hAnsi="宋体" w:cs="宋体"/>
          <w:sz w:val="24"/>
        </w:rPr>
      </w:pPr>
    </w:p>
    <w:p>
      <w:pPr>
        <w:pStyle w:val="8"/>
        <w:spacing w:line="400" w:lineRule="exact"/>
        <w:jc w:val="center"/>
        <w:rPr>
          <w:rFonts w:hAnsi="宋体" w:cs="宋体"/>
          <w:sz w:val="24"/>
        </w:rPr>
      </w:pPr>
      <w:r>
        <w:rPr>
          <w:rFonts w:hint="eastAsia" w:hAnsi="宋体" w:cs="宋体"/>
          <w:sz w:val="24"/>
        </w:rPr>
        <w:t xml:space="preserve">                投标人名称（投标人法人公章）：</w:t>
      </w:r>
    </w:p>
    <w:p>
      <w:pPr>
        <w:spacing w:line="400" w:lineRule="exact"/>
        <w:jc w:val="center"/>
        <w:rPr>
          <w:rFonts w:ascii="宋体" w:hAnsi="宋体" w:cs="宋体"/>
          <w:sz w:val="24"/>
        </w:rPr>
      </w:pPr>
      <w:r>
        <w:rPr>
          <w:rFonts w:hint="eastAsia" w:ascii="宋体" w:hAnsi="宋体" w:cs="宋体"/>
          <w:sz w:val="24"/>
        </w:rPr>
        <w:t xml:space="preserve">       </w:t>
      </w:r>
    </w:p>
    <w:p>
      <w:pPr>
        <w:spacing w:line="400" w:lineRule="exact"/>
        <w:jc w:val="center"/>
        <w:rPr>
          <w:rFonts w:ascii="宋体" w:hAnsi="宋体" w:cs="宋体"/>
          <w:kern w:val="0"/>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承诺日期：   年     月     日</w:t>
      </w:r>
    </w:p>
    <w:p>
      <w:pPr>
        <w:tabs>
          <w:tab w:val="left" w:pos="640"/>
          <w:tab w:val="left" w:pos="1260"/>
          <w:tab w:val="left" w:pos="1418"/>
        </w:tabs>
        <w:spacing w:line="400" w:lineRule="exact"/>
        <w:rPr>
          <w:rFonts w:ascii="宋体" w:hAnsi="宋体" w:cs="宋体"/>
          <w:sz w:val="24"/>
          <w:lang w:val="fr-CH"/>
        </w:rPr>
      </w:pPr>
    </w:p>
    <w:p>
      <w:pPr>
        <w:spacing w:line="400" w:lineRule="exact"/>
        <w:jc w:val="center"/>
        <w:rPr>
          <w:rFonts w:ascii="宋体" w:hAnsi="宋体" w:cs="宋体"/>
          <w:b/>
          <w:sz w:val="24"/>
        </w:rPr>
      </w:pPr>
    </w:p>
    <w:p>
      <w:pPr>
        <w:pStyle w:val="22"/>
        <w:spacing w:line="400" w:lineRule="exact"/>
        <w:ind w:firstLine="482"/>
        <w:rPr>
          <w:rFonts w:ascii="宋体" w:hAnsi="宋体" w:cs="宋体"/>
          <w:b/>
          <w:sz w:val="24"/>
        </w:rPr>
      </w:pPr>
    </w:p>
    <w:p>
      <w:pPr>
        <w:pStyle w:val="22"/>
        <w:spacing w:line="400" w:lineRule="exact"/>
        <w:ind w:firstLine="482"/>
        <w:rPr>
          <w:rFonts w:ascii="宋体" w:hAnsi="宋体" w:cs="宋体"/>
          <w:b/>
          <w:sz w:val="24"/>
        </w:rPr>
      </w:pPr>
    </w:p>
    <w:p>
      <w:pPr>
        <w:pStyle w:val="22"/>
        <w:spacing w:line="400" w:lineRule="exact"/>
        <w:ind w:firstLine="482"/>
        <w:rPr>
          <w:rFonts w:ascii="宋体" w:hAnsi="宋体" w:cs="宋体"/>
          <w:b/>
          <w:sz w:val="24"/>
        </w:rPr>
      </w:pPr>
    </w:p>
    <w:p>
      <w:pPr>
        <w:pStyle w:val="22"/>
        <w:spacing w:line="400" w:lineRule="exact"/>
        <w:ind w:firstLine="482"/>
        <w:rPr>
          <w:rFonts w:ascii="宋体" w:hAnsi="宋体" w:cs="宋体"/>
          <w:b/>
          <w:sz w:val="24"/>
        </w:rPr>
      </w:pPr>
    </w:p>
    <w:p>
      <w:pPr>
        <w:pStyle w:val="22"/>
        <w:spacing w:line="400" w:lineRule="exact"/>
        <w:ind w:firstLine="482"/>
        <w:rPr>
          <w:rFonts w:ascii="宋体" w:hAnsi="宋体" w:cs="宋体"/>
          <w:b/>
          <w:sz w:val="24"/>
        </w:rPr>
      </w:pPr>
    </w:p>
    <w:p>
      <w:pPr>
        <w:pStyle w:val="22"/>
        <w:spacing w:line="400" w:lineRule="exact"/>
        <w:ind w:firstLine="482"/>
        <w:rPr>
          <w:rFonts w:ascii="宋体" w:hAnsi="宋体" w:cs="宋体"/>
          <w:b/>
          <w:sz w:val="24"/>
        </w:rPr>
      </w:pPr>
    </w:p>
    <w:p>
      <w:pPr>
        <w:pStyle w:val="22"/>
        <w:spacing w:line="400" w:lineRule="exact"/>
        <w:ind w:firstLine="482"/>
        <w:rPr>
          <w:rFonts w:ascii="宋体" w:hAnsi="宋体" w:cs="宋体"/>
          <w:b/>
          <w:sz w:val="24"/>
        </w:rPr>
      </w:pPr>
    </w:p>
    <w:p>
      <w:pPr>
        <w:pStyle w:val="22"/>
        <w:spacing w:line="400" w:lineRule="exact"/>
        <w:ind w:firstLine="482"/>
        <w:rPr>
          <w:rFonts w:ascii="宋体" w:hAnsi="宋体" w:cs="宋体"/>
          <w:b/>
          <w:sz w:val="24"/>
        </w:rPr>
      </w:pPr>
    </w:p>
    <w:p>
      <w:pPr>
        <w:spacing w:line="400" w:lineRule="exact"/>
        <w:jc w:val="left"/>
        <w:rPr>
          <w:rFonts w:ascii="宋体" w:hAnsi="宋体" w:cs="宋体"/>
          <w:b/>
          <w:bCs/>
          <w:sz w:val="24"/>
        </w:rPr>
      </w:pPr>
      <w:r>
        <w:rPr>
          <w:rFonts w:hint="eastAsia" w:ascii="宋体" w:hAnsi="宋体" w:cs="宋体"/>
          <w:b/>
          <w:bCs/>
          <w:sz w:val="24"/>
        </w:rPr>
        <w:br w:type="page"/>
      </w:r>
    </w:p>
    <w:p>
      <w:pPr>
        <w:spacing w:line="400" w:lineRule="exact"/>
        <w:jc w:val="center"/>
        <w:rPr>
          <w:rFonts w:ascii="宋体" w:hAnsi="宋体" w:cs="宋体"/>
          <w:b/>
          <w:bCs/>
          <w:sz w:val="24"/>
        </w:rPr>
      </w:pPr>
      <w:r>
        <w:rPr>
          <w:rFonts w:ascii="宋体" w:hAnsi="宋体" w:cs="宋体"/>
          <w:b/>
          <w:bCs/>
          <w:sz w:val="24"/>
        </w:rPr>
        <w:t>6.</w:t>
      </w:r>
      <w:r>
        <w:rPr>
          <w:rFonts w:hint="eastAsia" w:ascii="宋体" w:hAnsi="宋体" w:cs="宋体"/>
          <w:b/>
          <w:bCs/>
          <w:sz w:val="24"/>
        </w:rPr>
        <w:t>企业诚信声明与承诺</w:t>
      </w:r>
    </w:p>
    <w:p>
      <w:pPr>
        <w:spacing w:line="400" w:lineRule="exact"/>
        <w:rPr>
          <w:rFonts w:ascii="宋体" w:hAnsi="宋体" w:cs="宋体"/>
          <w:b/>
          <w:bCs/>
          <w:sz w:val="24"/>
        </w:rPr>
      </w:pPr>
    </w:p>
    <w:p>
      <w:pPr>
        <w:spacing w:line="400" w:lineRule="exact"/>
        <w:rPr>
          <w:rFonts w:ascii="宋体" w:hAnsi="宋体" w:cs="宋体"/>
          <w:b/>
          <w:bCs/>
          <w:sz w:val="24"/>
        </w:rPr>
      </w:pPr>
      <w:r>
        <w:rPr>
          <w:rFonts w:hint="eastAsia" w:ascii="宋体" w:hAnsi="宋体" w:cs="宋体"/>
          <w:b/>
          <w:bCs/>
          <w:sz w:val="24"/>
        </w:rPr>
        <w:t>深圳交易咨询集团有限公司：</w:t>
      </w:r>
    </w:p>
    <w:p>
      <w:pPr>
        <w:spacing w:line="400" w:lineRule="exact"/>
        <w:ind w:firstLine="480" w:firstLineChars="200"/>
        <w:jc w:val="left"/>
        <w:rPr>
          <w:rFonts w:ascii="宋体" w:hAnsi="宋体" w:cs="宋体"/>
          <w:sz w:val="24"/>
        </w:rPr>
      </w:pPr>
      <w:r>
        <w:rPr>
          <w:rFonts w:hint="eastAsia" w:ascii="宋体" w:hAnsi="宋体" w:cs="宋体"/>
          <w:sz w:val="24"/>
        </w:rPr>
        <w:t>我公司参与贵代理机构组织的项目（项目编号：）投标，现就企业诚信作如下声明与承诺：</w:t>
      </w:r>
    </w:p>
    <w:p>
      <w:pPr>
        <w:spacing w:line="400" w:lineRule="exact"/>
        <w:ind w:firstLine="480" w:firstLineChars="200"/>
        <w:jc w:val="left"/>
        <w:rPr>
          <w:rFonts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pacing w:line="400" w:lineRule="exact"/>
        <w:ind w:firstLine="480" w:firstLineChars="200"/>
        <w:jc w:val="left"/>
        <w:rPr>
          <w:rFonts w:ascii="宋体" w:hAnsi="宋体" w:cs="宋体"/>
          <w:sz w:val="24"/>
        </w:rPr>
      </w:pPr>
      <w:r>
        <w:rPr>
          <w:rFonts w:hint="eastAsia" w:ascii="宋体" w:hAnsi="宋体" w:cs="宋体"/>
          <w:sz w:val="24"/>
        </w:rPr>
        <w:t>我司对上述内容的真实性负责。如有虚假，将依法承担相应责任。</w:t>
      </w:r>
    </w:p>
    <w:p>
      <w:pPr>
        <w:spacing w:line="400" w:lineRule="exact"/>
        <w:ind w:firstLine="480" w:firstLineChars="200"/>
        <w:jc w:val="left"/>
        <w:rPr>
          <w:rFonts w:ascii="宋体" w:hAnsi="宋体" w:cs="宋体"/>
          <w:sz w:val="24"/>
        </w:rPr>
      </w:pPr>
      <w:r>
        <w:rPr>
          <w:rFonts w:hint="eastAsia" w:ascii="宋体" w:hAnsi="宋体" w:cs="宋体"/>
          <w:sz w:val="24"/>
        </w:rPr>
        <w:t>特此声明与承诺！</w:t>
      </w:r>
    </w:p>
    <w:p>
      <w:pPr>
        <w:spacing w:line="400" w:lineRule="exact"/>
        <w:jc w:val="left"/>
        <w:rPr>
          <w:rFonts w:ascii="宋体" w:hAnsi="宋体" w:cs="宋体"/>
          <w:sz w:val="24"/>
        </w:rPr>
      </w:pPr>
    </w:p>
    <w:p>
      <w:pPr>
        <w:spacing w:line="400" w:lineRule="exact"/>
        <w:jc w:val="left"/>
        <w:rPr>
          <w:rFonts w:ascii="宋体" w:hAnsi="宋体" w:cs="宋体"/>
          <w:sz w:val="24"/>
        </w:rPr>
      </w:pPr>
    </w:p>
    <w:p>
      <w:pPr>
        <w:widowControl/>
        <w:autoSpaceDE w:val="0"/>
        <w:autoSpaceDN w:val="0"/>
        <w:spacing w:line="400" w:lineRule="exact"/>
        <w:jc w:val="center"/>
        <w:textAlignment w:val="bottom"/>
        <w:rPr>
          <w:rFonts w:ascii="宋体" w:hAnsi="宋体" w:cs="宋体"/>
          <w:sz w:val="24"/>
        </w:rPr>
      </w:pPr>
      <w:r>
        <w:rPr>
          <w:rFonts w:hint="eastAsia" w:ascii="宋体" w:hAnsi="宋体" w:cs="宋体"/>
          <w:sz w:val="24"/>
        </w:rPr>
        <w:t xml:space="preserve">                                       供应商名称：（法人公章）</w:t>
      </w:r>
    </w:p>
    <w:p>
      <w:pPr>
        <w:pStyle w:val="8"/>
        <w:spacing w:line="400" w:lineRule="exact"/>
        <w:jc w:val="center"/>
        <w:rPr>
          <w:rFonts w:hAnsi="宋体" w:cs="宋体"/>
          <w:sz w:val="24"/>
        </w:rPr>
      </w:pPr>
      <w:r>
        <w:rPr>
          <w:rFonts w:hint="eastAsia" w:hAnsi="宋体" w:cs="宋体"/>
          <w:sz w:val="24"/>
        </w:rPr>
        <w:t xml:space="preserve">                                  承诺日期：    年  月  日</w:t>
      </w:r>
    </w:p>
    <w:p>
      <w:pPr>
        <w:pStyle w:val="8"/>
        <w:spacing w:line="400" w:lineRule="exact"/>
        <w:jc w:val="left"/>
        <w:rPr>
          <w:rFonts w:hAnsi="宋体" w:cs="宋体"/>
          <w:sz w:val="24"/>
        </w:rPr>
      </w:pPr>
    </w:p>
    <w:p>
      <w:pPr>
        <w:pStyle w:val="8"/>
        <w:spacing w:line="400" w:lineRule="exact"/>
        <w:jc w:val="left"/>
        <w:rPr>
          <w:rFonts w:hAnsi="宋体" w:cs="宋体"/>
          <w:sz w:val="24"/>
        </w:rPr>
      </w:pPr>
    </w:p>
    <w:p>
      <w:pPr>
        <w:spacing w:line="400" w:lineRule="exact"/>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6"/>
        <w:spacing w:after="0" w:line="400" w:lineRule="exact"/>
        <w:rPr>
          <w:lang w:val="fr-CH"/>
        </w:rPr>
      </w:pPr>
    </w:p>
    <w:p>
      <w:pPr>
        <w:spacing w:line="400" w:lineRule="exact"/>
        <w:rPr>
          <w:lang w:val="fr-CH"/>
        </w:rPr>
      </w:pPr>
    </w:p>
    <w:p>
      <w:pPr>
        <w:pStyle w:val="22"/>
        <w:spacing w:line="400" w:lineRule="exact"/>
        <w:ind w:firstLine="420"/>
        <w:rPr>
          <w:lang w:val="fr-CH"/>
        </w:rPr>
      </w:pPr>
    </w:p>
    <w:p>
      <w:pPr>
        <w:pStyle w:val="22"/>
        <w:spacing w:line="400" w:lineRule="exact"/>
        <w:ind w:firstLine="420"/>
        <w:rPr>
          <w:lang w:val="fr-CH"/>
        </w:rPr>
      </w:pPr>
    </w:p>
    <w:p>
      <w:pPr>
        <w:pStyle w:val="22"/>
        <w:spacing w:line="400" w:lineRule="exact"/>
        <w:ind w:firstLine="420"/>
        <w:rPr>
          <w:lang w:val="fr-CH"/>
        </w:rPr>
      </w:pPr>
    </w:p>
    <w:p>
      <w:pPr>
        <w:tabs>
          <w:tab w:val="left" w:pos="640"/>
          <w:tab w:val="left" w:pos="840"/>
          <w:tab w:val="left" w:pos="1260"/>
          <w:tab w:val="left" w:pos="1418"/>
        </w:tabs>
        <w:spacing w:line="400" w:lineRule="exact"/>
        <w:rPr>
          <w:rFonts w:ascii="宋体" w:hAnsi="宋体" w:cs="宋体"/>
          <w:sz w:val="24"/>
        </w:rPr>
      </w:pPr>
    </w:p>
    <w:p>
      <w:pPr>
        <w:spacing w:line="400" w:lineRule="exact"/>
        <w:jc w:val="left"/>
        <w:rPr>
          <w:rFonts w:ascii="宋体" w:hAnsi="宋体" w:cs="宋体"/>
          <w:b/>
          <w:sz w:val="24"/>
        </w:rPr>
      </w:pPr>
      <w:r>
        <w:rPr>
          <w:rFonts w:hint="eastAsia" w:ascii="宋体" w:hAnsi="宋体" w:cs="宋体"/>
          <w:b/>
          <w:sz w:val="24"/>
        </w:rPr>
        <w:br w:type="page"/>
      </w:r>
    </w:p>
    <w:p>
      <w:pPr>
        <w:spacing w:line="400" w:lineRule="exact"/>
        <w:jc w:val="center"/>
        <w:rPr>
          <w:rFonts w:ascii="宋体" w:hAnsi="宋体" w:cs="宋体"/>
          <w:b/>
          <w:sz w:val="24"/>
        </w:rPr>
      </w:pPr>
      <w:r>
        <w:rPr>
          <w:rFonts w:ascii="宋体" w:hAnsi="宋体" w:cs="宋体"/>
          <w:b/>
          <w:sz w:val="24"/>
        </w:rPr>
        <w:t>7.</w:t>
      </w:r>
      <w:r>
        <w:rPr>
          <w:rFonts w:hint="eastAsia" w:ascii="宋体" w:hAnsi="宋体" w:cs="宋体"/>
          <w:b/>
          <w:sz w:val="24"/>
        </w:rPr>
        <w:t>法定代表人证明书</w:t>
      </w:r>
    </w:p>
    <w:p>
      <w:pPr>
        <w:spacing w:line="400" w:lineRule="exact"/>
        <w:rPr>
          <w:rFonts w:ascii="宋体" w:hAnsi="宋体" w:cs="宋体"/>
          <w:sz w:val="24"/>
          <w:u w:val="single"/>
        </w:rPr>
      </w:pPr>
    </w:p>
    <w:p>
      <w:pPr>
        <w:spacing w:line="40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pacing w:line="400" w:lineRule="exact"/>
        <w:rPr>
          <w:rFonts w:ascii="宋体" w:hAnsi="宋体" w:cs="宋体"/>
          <w:sz w:val="24"/>
        </w:rPr>
      </w:pPr>
      <w:r>
        <w:rPr>
          <w:rFonts w:hint="eastAsia" w:ascii="宋体" w:hAnsi="宋体" w:cs="宋体"/>
          <w:sz w:val="24"/>
        </w:rPr>
        <w:t xml:space="preserve">签发日期：             有效日期：         单位：              </w:t>
      </w:r>
    </w:p>
    <w:p>
      <w:pPr>
        <w:spacing w:line="400" w:lineRule="exact"/>
        <w:ind w:firstLine="480" w:firstLineChars="200"/>
        <w:rPr>
          <w:rFonts w:ascii="宋体" w:hAnsi="宋体" w:cs="宋体"/>
          <w:sz w:val="24"/>
        </w:rPr>
      </w:pPr>
      <w:r>
        <w:rPr>
          <w:rFonts w:hint="eastAsia" w:ascii="宋体" w:hAnsi="宋体" w:cs="宋体"/>
          <w:sz w:val="24"/>
        </w:rPr>
        <w:t>附：代表人性别：   年龄：      身份证号码：</w:t>
      </w:r>
    </w:p>
    <w:p>
      <w:pPr>
        <w:spacing w:line="400" w:lineRule="exact"/>
        <w:ind w:firstLine="480" w:firstLineChars="200"/>
        <w:rPr>
          <w:rFonts w:ascii="宋体" w:hAnsi="宋体" w:cs="宋体"/>
          <w:sz w:val="24"/>
        </w:rPr>
      </w:pPr>
      <w:r>
        <w:rPr>
          <w:rFonts w:hint="eastAsia" w:ascii="宋体" w:hAnsi="宋体" w:cs="宋体"/>
          <w:sz w:val="24"/>
        </w:rPr>
        <w:t>营业执照号码：                 经济性质：</w:t>
      </w:r>
    </w:p>
    <w:p>
      <w:pPr>
        <w:spacing w:line="400" w:lineRule="exact"/>
        <w:ind w:firstLine="480" w:firstLineChars="200"/>
        <w:rPr>
          <w:rFonts w:ascii="宋体" w:hAnsi="宋体" w:cs="宋体"/>
          <w:sz w:val="24"/>
        </w:rPr>
      </w:pPr>
      <w:r>
        <w:rPr>
          <w:rFonts w:hint="eastAsia" w:ascii="宋体" w:hAnsi="宋体" w:cs="宋体"/>
          <w:sz w:val="24"/>
        </w:rPr>
        <w:t>主营（产）：</w:t>
      </w:r>
    </w:p>
    <w:p>
      <w:pPr>
        <w:spacing w:line="400" w:lineRule="exact"/>
        <w:ind w:firstLine="480" w:firstLineChars="200"/>
        <w:rPr>
          <w:rFonts w:ascii="宋体" w:hAnsi="宋体" w:cs="宋体"/>
          <w:sz w:val="24"/>
        </w:rPr>
      </w:pPr>
      <w:r>
        <w:rPr>
          <w:rFonts w:hint="eastAsia" w:ascii="宋体" w:hAnsi="宋体" w:cs="宋体"/>
          <w:sz w:val="24"/>
        </w:rPr>
        <w:t>兼营（产）：</w:t>
      </w:r>
    </w:p>
    <w:p>
      <w:pPr>
        <w:spacing w:line="400" w:lineRule="exact"/>
        <w:ind w:firstLine="480" w:firstLineChars="200"/>
        <w:rPr>
          <w:rFonts w:ascii="宋体" w:hAnsi="宋体" w:cs="宋体"/>
          <w:sz w:val="24"/>
        </w:rPr>
      </w:pPr>
      <w:r>
        <w:rPr>
          <w:rFonts w:hint="eastAsia" w:ascii="宋体" w:hAnsi="宋体" w:cs="宋体"/>
          <w:sz w:val="24"/>
        </w:rPr>
        <w:t>进口物品经营许可证号码：</w:t>
      </w:r>
    </w:p>
    <w:p>
      <w:pPr>
        <w:spacing w:line="400" w:lineRule="exact"/>
        <w:ind w:firstLine="480" w:firstLineChars="200"/>
        <w:rPr>
          <w:rFonts w:ascii="宋体" w:hAnsi="宋体" w:cs="宋体"/>
          <w:sz w:val="24"/>
        </w:rPr>
      </w:pPr>
      <w:r>
        <w:rPr>
          <w:rFonts w:hint="eastAsia" w:ascii="宋体" w:hAnsi="宋体" w:cs="宋体"/>
          <w:sz w:val="24"/>
        </w:rPr>
        <w:t>主营：</w:t>
      </w:r>
    </w:p>
    <w:p>
      <w:pPr>
        <w:spacing w:line="400" w:lineRule="exact"/>
        <w:ind w:firstLine="480" w:firstLineChars="200"/>
        <w:rPr>
          <w:rFonts w:ascii="宋体" w:hAnsi="宋体" w:cs="宋体"/>
          <w:sz w:val="24"/>
        </w:rPr>
      </w:pPr>
      <w:r>
        <w:rPr>
          <w:rFonts w:hint="eastAsia" w:ascii="宋体" w:hAnsi="宋体" w:cs="宋体"/>
          <w:sz w:val="24"/>
        </w:rPr>
        <w:t>兼营：</w:t>
      </w:r>
    </w:p>
    <w:p>
      <w:pPr>
        <w:spacing w:line="400" w:lineRule="exact"/>
        <w:ind w:firstLine="480" w:firstLineChars="200"/>
        <w:rPr>
          <w:rFonts w:ascii="宋体" w:hAnsi="宋体" w:cs="宋体"/>
          <w:sz w:val="24"/>
        </w:rPr>
      </w:pPr>
      <w:r>
        <w:rPr>
          <w:rFonts w:hint="eastAsia" w:ascii="宋体" w:hAnsi="宋体" w:cs="宋体"/>
          <w:sz w:val="24"/>
        </w:rPr>
        <w:t>说明：</w:t>
      </w:r>
    </w:p>
    <w:p>
      <w:pPr>
        <w:spacing w:line="400" w:lineRule="exact"/>
        <w:ind w:firstLine="960" w:firstLineChars="400"/>
        <w:rPr>
          <w:rFonts w:ascii="宋体" w:hAnsi="宋体" w:cs="宋体"/>
          <w:sz w:val="24"/>
        </w:rPr>
      </w:pPr>
      <w:r>
        <w:rPr>
          <w:rFonts w:ascii="宋体" w:hAnsi="宋体" w:cs="宋体"/>
          <w:sz w:val="24"/>
        </w:rPr>
        <w:t>1.</w:t>
      </w:r>
      <w:r>
        <w:rPr>
          <w:rFonts w:hint="eastAsia" w:ascii="宋体" w:hAnsi="宋体" w:cs="宋体"/>
          <w:sz w:val="24"/>
        </w:rPr>
        <w:t>法定代表人/单位负责人为企业事业单位、国家机关、社会团体的主要行政负责人。</w:t>
      </w:r>
    </w:p>
    <w:p>
      <w:pPr>
        <w:spacing w:line="400" w:lineRule="exact"/>
        <w:ind w:firstLine="960" w:firstLineChars="400"/>
        <w:rPr>
          <w:rFonts w:ascii="宋体" w:hAnsi="宋体" w:cs="宋体"/>
          <w:sz w:val="24"/>
        </w:rPr>
      </w:pPr>
      <w:r>
        <w:rPr>
          <w:rFonts w:ascii="宋体" w:hAnsi="宋体" w:cs="宋体"/>
          <w:sz w:val="24"/>
        </w:rPr>
        <w:t>2.</w:t>
      </w:r>
      <w:r>
        <w:rPr>
          <w:rFonts w:hint="eastAsia" w:ascii="宋体" w:hAnsi="宋体" w:cs="宋体"/>
          <w:sz w:val="24"/>
        </w:rPr>
        <w:t>内容必须填写真实、清楚，涂改无效，不得转让、买卖.</w:t>
      </w:r>
    </w:p>
    <w:p>
      <w:pPr>
        <w:spacing w:line="400" w:lineRule="exact"/>
        <w:rPr>
          <w:rFonts w:ascii="宋体" w:hAnsi="宋体" w:cs="宋体"/>
          <w:sz w:val="24"/>
        </w:rPr>
      </w:pPr>
    </w:p>
    <w:p>
      <w:pPr>
        <w:tabs>
          <w:tab w:val="left" w:pos="3780"/>
        </w:tabs>
        <w:spacing w:line="400" w:lineRule="exact"/>
        <w:rPr>
          <w:rFonts w:ascii="宋体" w:hAnsi="宋体" w:cs="宋体"/>
          <w:sz w:val="24"/>
        </w:rPr>
      </w:pPr>
    </w:p>
    <w:p>
      <w:pPr>
        <w:tabs>
          <w:tab w:val="left" w:pos="3780"/>
        </w:tabs>
        <w:spacing w:line="400" w:lineRule="exact"/>
        <w:rPr>
          <w:rFonts w:ascii="宋体" w:hAnsi="宋体" w:cs="宋体"/>
          <w:b/>
          <w:bCs/>
          <w:sz w:val="24"/>
        </w:rPr>
      </w:pPr>
      <w:r>
        <w:rPr>
          <w:rFonts w:hint="eastAsia" w:ascii="宋体" w:hAnsi="宋体" w:cs="宋体"/>
          <w:b/>
          <w:bCs/>
          <w:sz w:val="24"/>
        </w:rPr>
        <w:t>投标供应商（公章）：</w:t>
      </w:r>
    </w:p>
    <w:p>
      <w:pPr>
        <w:tabs>
          <w:tab w:val="left" w:pos="3780"/>
        </w:tabs>
        <w:spacing w:line="400" w:lineRule="exact"/>
        <w:rPr>
          <w:rFonts w:ascii="宋体" w:hAnsi="宋体" w:cs="宋体"/>
          <w:b/>
          <w:bCs/>
          <w:sz w:val="24"/>
        </w:rPr>
      </w:pPr>
    </w:p>
    <w:p>
      <w:pPr>
        <w:tabs>
          <w:tab w:val="left" w:pos="3780"/>
        </w:tabs>
        <w:spacing w:line="400" w:lineRule="exact"/>
        <w:rPr>
          <w:rFonts w:ascii="宋体" w:hAnsi="宋体" w:cs="宋体"/>
          <w:b/>
          <w:bCs/>
          <w:sz w:val="24"/>
        </w:rPr>
      </w:pPr>
      <w:r>
        <w:rPr>
          <w:rFonts w:hint="eastAsia" w:ascii="宋体" w:hAnsi="宋体" w:cs="宋体"/>
          <w:b/>
          <w:bCs/>
          <w:sz w:val="24"/>
        </w:rPr>
        <w:t>法定代表人/单位负责人（签字或盖章）：</w:t>
      </w:r>
    </w:p>
    <w:p>
      <w:pPr>
        <w:spacing w:line="400" w:lineRule="exact"/>
        <w:jc w:val="left"/>
        <w:rPr>
          <w:rFonts w:ascii="宋体" w:hAnsi="宋体" w:cs="宋体"/>
          <w:szCs w:val="21"/>
        </w:rPr>
      </w:pPr>
    </w:p>
    <w:p>
      <w:pPr>
        <w:spacing w:line="400" w:lineRule="exact"/>
        <w:rPr>
          <w:rFonts w:ascii="宋体" w:hAnsi="宋体" w:cs="宋体"/>
          <w:szCs w:val="21"/>
        </w:rPr>
      </w:pPr>
    </w:p>
    <w:p>
      <w:pPr>
        <w:spacing w:line="400" w:lineRule="exact"/>
      </w:pPr>
    </w:p>
    <w:p>
      <w:pPr>
        <w:spacing w:line="400" w:lineRule="exact"/>
        <w:jc w:val="left"/>
        <w:rPr>
          <w:rFonts w:ascii="宋体" w:hAnsi="宋体" w:cs="宋体"/>
          <w:b/>
          <w:sz w:val="24"/>
        </w:rPr>
      </w:pPr>
      <w:r>
        <w:rPr>
          <w:rFonts w:hint="eastAsia" w:ascii="宋体" w:hAnsi="宋体" w:cs="宋体"/>
          <w:b/>
          <w:sz w:val="24"/>
        </w:rPr>
        <w:t>附身份证正反面</w:t>
      </w:r>
    </w:p>
    <w:tbl>
      <w:tblPr>
        <w:tblStyle w:val="1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8"/>
              <w:spacing w:line="400" w:lineRule="exact"/>
              <w:rPr>
                <w:rFonts w:ascii="Arial Narrow" w:hAnsi="Arial Narrow"/>
                <w:b/>
                <w:bCs/>
                <w:szCs w:val="21"/>
              </w:rPr>
            </w:pPr>
          </w:p>
        </w:tc>
        <w:tc>
          <w:tcPr>
            <w:tcW w:w="4677" w:type="dxa"/>
          </w:tcPr>
          <w:p>
            <w:pPr>
              <w:pStyle w:val="8"/>
              <w:spacing w:line="400" w:lineRule="exact"/>
              <w:rPr>
                <w:rFonts w:ascii="Arial Narrow" w:hAnsi="Arial Narrow"/>
                <w:b/>
                <w:bCs/>
                <w:szCs w:val="21"/>
              </w:rPr>
            </w:pPr>
          </w:p>
        </w:tc>
      </w:tr>
    </w:tbl>
    <w:p>
      <w:pPr>
        <w:rPr>
          <w:rFonts w:hAnsi="宋体" w:cs="宋体"/>
          <w:b/>
          <w:sz w:val="24"/>
        </w:rPr>
      </w:pPr>
      <w:r>
        <w:rPr>
          <w:rFonts w:hint="eastAsia" w:hAnsi="宋体" w:cs="宋体"/>
          <w:b/>
          <w:sz w:val="24"/>
        </w:rPr>
        <w:br w:type="page"/>
      </w:r>
    </w:p>
    <w:p>
      <w:pPr>
        <w:pStyle w:val="8"/>
        <w:spacing w:line="400" w:lineRule="exact"/>
        <w:jc w:val="center"/>
        <w:rPr>
          <w:rFonts w:hAnsi="宋体" w:cs="宋体"/>
          <w:b/>
          <w:sz w:val="24"/>
        </w:rPr>
      </w:pPr>
      <w:r>
        <w:rPr>
          <w:rFonts w:hAnsi="宋体" w:cs="宋体"/>
          <w:b/>
          <w:sz w:val="24"/>
        </w:rPr>
        <w:t>8.</w:t>
      </w:r>
      <w:r>
        <w:rPr>
          <w:rFonts w:hint="eastAsia" w:hAnsi="宋体" w:cs="宋体"/>
          <w:b/>
          <w:sz w:val="24"/>
        </w:rPr>
        <w:t>法定代表人/单位负责人授权书</w:t>
      </w:r>
    </w:p>
    <w:p>
      <w:pPr>
        <w:pStyle w:val="8"/>
        <w:spacing w:line="400" w:lineRule="exact"/>
        <w:rPr>
          <w:rFonts w:hAnsi="宋体" w:cs="宋体"/>
          <w:sz w:val="24"/>
        </w:rPr>
      </w:pPr>
    </w:p>
    <w:p>
      <w:pPr>
        <w:pStyle w:val="8"/>
        <w:spacing w:line="400" w:lineRule="exact"/>
        <w:rPr>
          <w:rFonts w:hAnsi="宋体" w:cs="宋体"/>
          <w:sz w:val="24"/>
        </w:rPr>
      </w:pPr>
      <w:r>
        <w:rPr>
          <w:rFonts w:hint="eastAsia" w:hAnsi="宋体" w:cs="宋体"/>
          <w:b/>
          <w:sz w:val="24"/>
        </w:rPr>
        <w:t>深圳市前海深港现代服务业合作区管理局：</w:t>
      </w:r>
    </w:p>
    <w:p>
      <w:pPr>
        <w:pStyle w:val="8"/>
        <w:spacing w:line="400" w:lineRule="exact"/>
        <w:ind w:firstLine="480" w:firstLineChars="20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8"/>
        <w:spacing w:line="400" w:lineRule="exact"/>
        <w:rPr>
          <w:rFonts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tabs>
          <w:tab w:val="left" w:pos="3780"/>
        </w:tabs>
        <w:spacing w:line="400" w:lineRule="exact"/>
        <w:rPr>
          <w:rFonts w:ascii="宋体" w:hAnsi="宋体" w:cs="宋体"/>
          <w:b/>
          <w:bCs/>
          <w:sz w:val="24"/>
        </w:rPr>
      </w:pPr>
      <w:r>
        <w:rPr>
          <w:rFonts w:hint="eastAsia" w:ascii="宋体" w:hAnsi="宋体" w:cs="宋体"/>
          <w:b/>
          <w:bCs/>
          <w:sz w:val="24"/>
        </w:rPr>
        <w:t>投标供应商（公章）：</w:t>
      </w:r>
    </w:p>
    <w:p>
      <w:pPr>
        <w:tabs>
          <w:tab w:val="left" w:pos="3780"/>
        </w:tabs>
        <w:spacing w:line="400" w:lineRule="exact"/>
        <w:jc w:val="left"/>
        <w:rPr>
          <w:rFonts w:ascii="宋体" w:hAnsi="宋体" w:cs="宋体"/>
          <w:b/>
          <w:bCs/>
          <w:sz w:val="24"/>
        </w:rPr>
      </w:pPr>
    </w:p>
    <w:p>
      <w:pPr>
        <w:tabs>
          <w:tab w:val="left" w:pos="3780"/>
        </w:tabs>
        <w:spacing w:line="400" w:lineRule="exact"/>
        <w:jc w:val="left"/>
        <w:rPr>
          <w:rFonts w:ascii="宋体" w:hAnsi="宋体" w:cs="宋体"/>
          <w:b/>
          <w:bCs/>
          <w:sz w:val="24"/>
        </w:rPr>
      </w:pPr>
      <w:r>
        <w:rPr>
          <w:rFonts w:hint="eastAsia" w:ascii="宋体" w:hAnsi="宋体" w:cs="宋体"/>
          <w:b/>
          <w:bCs/>
          <w:sz w:val="24"/>
        </w:rPr>
        <w:t>法定代表人/单位负责人（签字或盖章）：</w:t>
      </w:r>
    </w:p>
    <w:p>
      <w:pPr>
        <w:spacing w:line="400" w:lineRule="exact"/>
        <w:jc w:val="left"/>
        <w:rPr>
          <w:rFonts w:ascii="宋体" w:hAnsi="宋体" w:cs="宋体"/>
          <w:b/>
          <w:bCs/>
          <w:spacing w:val="20"/>
          <w:sz w:val="24"/>
        </w:rPr>
      </w:pPr>
    </w:p>
    <w:p>
      <w:pPr>
        <w:spacing w:line="400" w:lineRule="exact"/>
        <w:jc w:val="left"/>
        <w:rPr>
          <w:rFonts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ascii="宋体" w:hAnsi="宋体" w:cs="宋体"/>
          <w:b/>
          <w:sz w:val="24"/>
        </w:rPr>
      </w:pPr>
    </w:p>
    <w:p>
      <w:pPr>
        <w:pStyle w:val="6"/>
      </w:pPr>
    </w:p>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1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8"/>
              <w:spacing w:line="360" w:lineRule="auto"/>
              <w:rPr>
                <w:rFonts w:ascii="Arial Narrow" w:hAnsi="Arial Narrow"/>
                <w:b/>
                <w:bCs/>
                <w:szCs w:val="21"/>
              </w:rPr>
            </w:pPr>
          </w:p>
        </w:tc>
        <w:tc>
          <w:tcPr>
            <w:tcW w:w="4677" w:type="dxa"/>
          </w:tcPr>
          <w:p>
            <w:pPr>
              <w:pStyle w:val="8"/>
              <w:spacing w:line="360" w:lineRule="auto"/>
              <w:rPr>
                <w:rFonts w:ascii="Arial Narrow" w:hAnsi="Arial Narrow"/>
                <w:b/>
                <w:bCs/>
                <w:szCs w:val="21"/>
              </w:rPr>
            </w:pPr>
          </w:p>
        </w:tc>
      </w:tr>
    </w:tbl>
    <w:p>
      <w:pPr>
        <w:pStyle w:val="6"/>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widowControl/>
        <w:autoSpaceDE w:val="0"/>
        <w:autoSpaceDN w:val="0"/>
        <w:spacing w:line="360" w:lineRule="auto"/>
        <w:ind w:left="359" w:right="26" w:hanging="357"/>
        <w:jc w:val="center"/>
        <w:textAlignment w:val="bottom"/>
        <w:rPr>
          <w:rFonts w:ascii="宋体" w:hAnsi="宋体" w:cs="宋体"/>
          <w:b/>
          <w:bCs/>
          <w:sz w:val="24"/>
          <w:lang w:val="fr-CH"/>
        </w:rPr>
      </w:pPr>
    </w:p>
    <w:p>
      <w:pPr>
        <w:widowControl/>
        <w:autoSpaceDE w:val="0"/>
        <w:autoSpaceDN w:val="0"/>
        <w:spacing w:line="400" w:lineRule="exact"/>
        <w:jc w:val="center"/>
        <w:textAlignment w:val="bottom"/>
        <w:rPr>
          <w:rFonts w:ascii="宋体" w:hAnsi="宋体" w:cs="宋体"/>
          <w:b/>
          <w:bCs/>
          <w:sz w:val="24"/>
          <w:lang w:val="fr-CH"/>
        </w:rPr>
      </w:pPr>
      <w:r>
        <w:rPr>
          <w:rFonts w:ascii="宋体" w:hAnsi="宋体" w:cs="宋体"/>
          <w:b/>
          <w:bCs/>
          <w:sz w:val="24"/>
        </w:rPr>
        <w:t>9.</w:t>
      </w:r>
      <w:r>
        <w:rPr>
          <w:rFonts w:hint="eastAsia" w:ascii="宋体" w:hAnsi="宋体" w:cs="宋体"/>
          <w:b/>
          <w:bCs/>
          <w:sz w:val="24"/>
          <w:lang w:val="fr-CH"/>
        </w:rPr>
        <w:t>招标代理服务费承诺书</w:t>
      </w:r>
    </w:p>
    <w:p>
      <w:pPr>
        <w:widowControl/>
        <w:autoSpaceDE w:val="0"/>
        <w:autoSpaceDN w:val="0"/>
        <w:spacing w:line="400" w:lineRule="exact"/>
        <w:ind w:hanging="357"/>
        <w:textAlignment w:val="bottom"/>
        <w:rPr>
          <w:rFonts w:ascii="宋体" w:hAnsi="宋体" w:cs="宋体"/>
          <w:sz w:val="24"/>
        </w:rPr>
      </w:pPr>
    </w:p>
    <w:p>
      <w:pPr>
        <w:pStyle w:val="8"/>
        <w:spacing w:line="400" w:lineRule="exact"/>
        <w:rPr>
          <w:rFonts w:hAnsi="宋体" w:cs="宋体"/>
          <w:sz w:val="24"/>
        </w:rPr>
      </w:pPr>
      <w:r>
        <w:rPr>
          <w:rFonts w:hint="eastAsia" w:hAnsi="宋体" w:cs="宋体"/>
          <w:sz w:val="24"/>
        </w:rPr>
        <w:t>致：深圳交易咨询集团有限公司：</w:t>
      </w:r>
    </w:p>
    <w:p>
      <w:pPr>
        <w:pStyle w:val="8"/>
        <w:spacing w:line="400" w:lineRule="exact"/>
        <w:ind w:firstLine="480" w:firstLineChars="200"/>
        <w:rPr>
          <w:rFonts w:hAnsi="宋体" w:cs="宋体"/>
          <w:sz w:val="24"/>
        </w:rPr>
      </w:pPr>
      <w:r>
        <w:rPr>
          <w:rFonts w:hint="eastAsia" w:hAnsi="宋体" w:cs="宋体"/>
          <w:sz w:val="24"/>
        </w:rPr>
        <w:t>我们在贵司代理的</w:t>
      </w:r>
      <w:r>
        <w:rPr>
          <w:rFonts w:hint="eastAsia" w:hAnsi="宋体" w:cs="宋体"/>
          <w:sz w:val="24"/>
          <w:u w:val="single"/>
        </w:rPr>
        <w:t xml:space="preserve">           </w:t>
      </w:r>
      <w:r>
        <w:rPr>
          <w:rFonts w:hint="eastAsia" w:hAnsi="宋体" w:cs="宋体"/>
          <w:sz w:val="24"/>
        </w:rPr>
        <w:t>项目（货物/服务/工程）招标中若获中标（招标文件编号：</w:t>
      </w:r>
      <w:r>
        <w:rPr>
          <w:rFonts w:hint="eastAsia" w:hAnsi="宋体" w:cs="宋体"/>
          <w:sz w:val="24"/>
          <w:u w:val="single"/>
        </w:rPr>
        <w:t xml:space="preserve">           </w:t>
      </w:r>
      <w:r>
        <w:rPr>
          <w:rFonts w:hint="eastAsia" w:hAnsi="宋体" w:cs="宋体"/>
          <w:sz w:val="24"/>
        </w:rPr>
        <w:t>），我们保证在收到中标通知书后5日内按招标文件的规定，以现金或电汇向贵公司即深圳交易咨询集团有限公司指定的银行帐号支付全额招标代理服务费。招标代理服务费按照招标文件中的规定以差额定率累进法计算。</w:t>
      </w:r>
    </w:p>
    <w:p>
      <w:pPr>
        <w:pStyle w:val="8"/>
        <w:spacing w:line="400" w:lineRule="exact"/>
        <w:ind w:firstLine="480" w:firstLineChars="200"/>
        <w:rPr>
          <w:rFonts w:hAnsi="宋体" w:cs="宋体"/>
          <w:sz w:val="24"/>
        </w:rPr>
      </w:pPr>
      <w:r>
        <w:rPr>
          <w:rFonts w:hint="eastAsia" w:hAnsi="宋体" w:cs="宋体"/>
          <w:sz w:val="24"/>
        </w:rPr>
        <w:t>特此承诺。</w:t>
      </w:r>
    </w:p>
    <w:p>
      <w:pPr>
        <w:pStyle w:val="8"/>
        <w:spacing w:line="400" w:lineRule="exact"/>
        <w:ind w:firstLine="480" w:firstLineChars="200"/>
        <w:rPr>
          <w:rFonts w:hAnsi="宋体" w:cs="宋体"/>
          <w:sz w:val="24"/>
        </w:rPr>
      </w:pPr>
      <w:r>
        <w:rPr>
          <w:rFonts w:hint="eastAsia" w:hAnsi="宋体" w:cs="宋体"/>
          <w:sz w:val="24"/>
        </w:rPr>
        <w:t>承诺方法定名称（承诺方盖章）：</w:t>
      </w:r>
    </w:p>
    <w:p>
      <w:pPr>
        <w:pStyle w:val="8"/>
        <w:spacing w:line="400" w:lineRule="exact"/>
        <w:ind w:firstLine="480" w:firstLineChars="200"/>
        <w:rPr>
          <w:rFonts w:hAnsi="宋体" w:cs="宋体"/>
          <w:sz w:val="24"/>
        </w:rPr>
      </w:pPr>
      <w:r>
        <w:rPr>
          <w:rFonts w:hint="eastAsia" w:hAnsi="宋体" w:cs="宋体"/>
          <w:sz w:val="24"/>
        </w:rPr>
        <w:t>地址：</w:t>
      </w:r>
    </w:p>
    <w:p>
      <w:pPr>
        <w:pStyle w:val="8"/>
        <w:spacing w:line="400" w:lineRule="exact"/>
        <w:ind w:firstLine="480" w:firstLineChars="200"/>
        <w:rPr>
          <w:rFonts w:hAnsi="宋体" w:cs="宋体"/>
          <w:sz w:val="24"/>
        </w:rPr>
      </w:pPr>
      <w:r>
        <w:rPr>
          <w:rFonts w:hint="eastAsia" w:hAnsi="宋体" w:cs="宋体"/>
          <w:sz w:val="24"/>
        </w:rPr>
        <w:t xml:space="preserve">电话：         </w:t>
      </w:r>
    </w:p>
    <w:p>
      <w:pPr>
        <w:pStyle w:val="8"/>
        <w:spacing w:line="400" w:lineRule="exact"/>
        <w:ind w:firstLine="480" w:firstLineChars="200"/>
        <w:rPr>
          <w:rFonts w:hAnsi="宋体" w:cs="宋体"/>
          <w:sz w:val="24"/>
        </w:rPr>
      </w:pPr>
      <w:r>
        <w:rPr>
          <w:rFonts w:hint="eastAsia" w:hAnsi="宋体" w:cs="宋体"/>
          <w:sz w:val="24"/>
        </w:rPr>
        <w:t>传真：</w:t>
      </w:r>
    </w:p>
    <w:p>
      <w:pPr>
        <w:pStyle w:val="8"/>
        <w:spacing w:line="400" w:lineRule="exact"/>
        <w:ind w:firstLine="480" w:firstLineChars="200"/>
        <w:rPr>
          <w:rFonts w:hAnsi="宋体" w:cs="宋体"/>
          <w:sz w:val="24"/>
        </w:rPr>
      </w:pPr>
      <w:r>
        <w:rPr>
          <w:rFonts w:hint="eastAsia" w:hAnsi="宋体" w:cs="宋体"/>
          <w:sz w:val="24"/>
        </w:rPr>
        <w:t>承诺日期：</w:t>
      </w:r>
    </w:p>
    <w:p>
      <w:pPr>
        <w:pStyle w:val="6"/>
        <w:spacing w:after="0" w:line="400" w:lineRule="exact"/>
        <w:rPr>
          <w:lang w:val="fr-CH"/>
        </w:rPr>
      </w:pPr>
    </w:p>
    <w:p>
      <w:pPr>
        <w:tabs>
          <w:tab w:val="left" w:pos="640"/>
          <w:tab w:val="left" w:pos="1260"/>
          <w:tab w:val="left" w:pos="1418"/>
        </w:tabs>
        <w:spacing w:line="400" w:lineRule="exact"/>
        <w:rPr>
          <w:rFonts w:ascii="宋体" w:hAnsi="宋体" w:cs="宋体"/>
          <w:sz w:val="24"/>
          <w:lang w:val="fr-CH"/>
        </w:rPr>
      </w:pPr>
    </w:p>
    <w:p>
      <w:pPr>
        <w:tabs>
          <w:tab w:val="left" w:pos="640"/>
          <w:tab w:val="left" w:pos="1260"/>
          <w:tab w:val="left" w:pos="1418"/>
        </w:tabs>
        <w:spacing w:line="400" w:lineRule="exact"/>
        <w:rPr>
          <w:rFonts w:ascii="宋体" w:hAnsi="宋体" w:cs="宋体"/>
          <w:sz w:val="24"/>
        </w:rPr>
      </w:pPr>
      <w:r>
        <w:rPr>
          <w:rFonts w:hint="eastAsia" w:ascii="宋体" w:hAnsi="宋体" w:cs="宋体"/>
          <w:sz w:val="24"/>
          <w:lang w:val="fr-CH"/>
        </w:rPr>
        <w:br w:type="page"/>
      </w:r>
    </w:p>
    <w:p>
      <w:pPr>
        <w:tabs>
          <w:tab w:val="left" w:pos="640"/>
          <w:tab w:val="left" w:pos="1260"/>
          <w:tab w:val="left" w:pos="1418"/>
        </w:tabs>
        <w:spacing w:line="400" w:lineRule="exact"/>
        <w:rPr>
          <w:rFonts w:ascii="宋体" w:hAnsi="宋体" w:cs="宋体"/>
          <w:b/>
          <w:bCs/>
          <w:sz w:val="24"/>
          <w:lang w:val="fr-CH"/>
        </w:rPr>
      </w:pPr>
      <w:r>
        <w:rPr>
          <w:rFonts w:ascii="宋体" w:hAnsi="宋体" w:cs="宋体"/>
          <w:b/>
          <w:bCs/>
          <w:sz w:val="24"/>
        </w:rPr>
        <w:t>10.</w:t>
      </w:r>
      <w:r>
        <w:rPr>
          <w:rFonts w:hint="eastAsia" w:ascii="宋体" w:hAnsi="宋体" w:cs="宋体"/>
          <w:b/>
          <w:bCs/>
          <w:sz w:val="24"/>
          <w:lang w:val="fr-CH"/>
        </w:rPr>
        <w:t>投标人简介</w:t>
      </w:r>
    </w:p>
    <w:p>
      <w:pPr>
        <w:tabs>
          <w:tab w:val="left" w:pos="640"/>
          <w:tab w:val="left" w:pos="1260"/>
          <w:tab w:val="left" w:pos="1418"/>
        </w:tabs>
        <w:spacing w:line="400" w:lineRule="exact"/>
        <w:rPr>
          <w:rFonts w:ascii="宋体" w:hAnsi="宋体" w:cs="宋体"/>
          <w:b/>
          <w:bCs/>
          <w:sz w:val="24"/>
          <w:lang w:val="fr-CH"/>
        </w:rPr>
      </w:pPr>
      <w:r>
        <w:rPr>
          <w:rFonts w:hint="eastAsia" w:ascii="宋体" w:hAnsi="宋体" w:cs="宋体"/>
          <w:b/>
          <w:bCs/>
          <w:sz w:val="24"/>
          <w:lang w:val="fr-CH"/>
        </w:rPr>
        <w:t>1</w:t>
      </w:r>
      <w:r>
        <w:rPr>
          <w:rFonts w:ascii="宋体" w:hAnsi="宋体" w:cs="宋体"/>
          <w:b/>
          <w:bCs/>
          <w:sz w:val="24"/>
        </w:rPr>
        <w:t>1.</w:t>
      </w:r>
      <w:r>
        <w:rPr>
          <w:rFonts w:hint="eastAsia" w:ascii="宋体" w:hAnsi="宋体" w:cs="宋体"/>
          <w:b/>
          <w:bCs/>
          <w:sz w:val="24"/>
          <w:lang w:val="fr-CH"/>
        </w:rPr>
        <w:t>投标人同类项目业绩情况（格式自拟）</w:t>
      </w:r>
    </w:p>
    <w:p>
      <w:pPr>
        <w:tabs>
          <w:tab w:val="left" w:pos="640"/>
          <w:tab w:val="left" w:pos="1260"/>
          <w:tab w:val="left" w:pos="1418"/>
        </w:tabs>
        <w:spacing w:line="400" w:lineRule="exact"/>
        <w:rPr>
          <w:rFonts w:ascii="宋体" w:hAnsi="宋体" w:cs="宋体"/>
          <w:b/>
          <w:bCs/>
          <w:sz w:val="24"/>
          <w:lang w:val="fr-CH"/>
        </w:rPr>
      </w:pPr>
      <w:r>
        <w:rPr>
          <w:rFonts w:hint="eastAsia" w:ascii="宋体" w:hAnsi="宋体" w:cs="宋体"/>
          <w:b/>
          <w:bCs/>
          <w:sz w:val="24"/>
          <w:lang w:val="fr-CH"/>
        </w:rPr>
        <w:t>1</w:t>
      </w:r>
      <w:r>
        <w:rPr>
          <w:rFonts w:ascii="宋体" w:hAnsi="宋体" w:cs="宋体"/>
          <w:b/>
          <w:bCs/>
          <w:sz w:val="24"/>
        </w:rPr>
        <w:t>3.</w:t>
      </w:r>
      <w:r>
        <w:rPr>
          <w:rFonts w:hint="eastAsia" w:ascii="宋体" w:hAnsi="宋体" w:cs="宋体"/>
          <w:b/>
          <w:bCs/>
          <w:sz w:val="24"/>
          <w:lang w:val="fr-CH"/>
        </w:rPr>
        <w:t>项目负责人（1人）（格式自拟）</w:t>
      </w:r>
    </w:p>
    <w:p>
      <w:pPr>
        <w:tabs>
          <w:tab w:val="left" w:pos="640"/>
          <w:tab w:val="left" w:pos="1260"/>
          <w:tab w:val="left" w:pos="1418"/>
        </w:tabs>
        <w:spacing w:line="400" w:lineRule="exact"/>
        <w:rPr>
          <w:rFonts w:ascii="宋体" w:hAnsi="宋体" w:cs="宋体"/>
          <w:b/>
          <w:bCs/>
          <w:sz w:val="24"/>
          <w:lang w:val="fr-CH"/>
        </w:rPr>
      </w:pPr>
      <w:r>
        <w:rPr>
          <w:rFonts w:hint="eastAsia" w:ascii="宋体" w:hAnsi="宋体" w:cs="宋体"/>
          <w:b/>
          <w:bCs/>
          <w:sz w:val="24"/>
          <w:lang w:val="fr-CH"/>
        </w:rPr>
        <w:t>1</w:t>
      </w:r>
      <w:r>
        <w:rPr>
          <w:rFonts w:ascii="宋体" w:hAnsi="宋体" w:cs="宋体"/>
          <w:b/>
          <w:bCs/>
          <w:sz w:val="24"/>
        </w:rPr>
        <w:t>4.</w:t>
      </w:r>
      <w:r>
        <w:rPr>
          <w:rFonts w:hint="eastAsia" w:ascii="宋体" w:hAnsi="宋体" w:cs="宋体"/>
          <w:b/>
          <w:bCs/>
          <w:sz w:val="24"/>
          <w:lang w:val="fr-CH"/>
        </w:rPr>
        <w:t>项目团队成员（项目负责人除外）（格式自拟）</w:t>
      </w:r>
    </w:p>
    <w:p>
      <w:pPr>
        <w:tabs>
          <w:tab w:val="left" w:pos="640"/>
          <w:tab w:val="left" w:pos="1260"/>
          <w:tab w:val="left" w:pos="1418"/>
        </w:tabs>
        <w:spacing w:line="400" w:lineRule="exact"/>
        <w:rPr>
          <w:rFonts w:ascii="宋体" w:hAnsi="宋体" w:cs="宋体"/>
          <w:b/>
          <w:bCs/>
          <w:sz w:val="24"/>
          <w:lang w:val="fr-CH"/>
        </w:rPr>
      </w:pPr>
      <w:r>
        <w:rPr>
          <w:rFonts w:hint="eastAsia" w:ascii="宋体" w:hAnsi="宋体" w:cs="宋体"/>
          <w:b/>
          <w:bCs/>
          <w:sz w:val="24"/>
          <w:lang w:val="fr-CH"/>
        </w:rPr>
        <w:t>1</w:t>
      </w:r>
      <w:r>
        <w:rPr>
          <w:rFonts w:ascii="宋体" w:hAnsi="宋体" w:cs="宋体"/>
          <w:b/>
          <w:bCs/>
          <w:sz w:val="24"/>
        </w:rPr>
        <w:t>5.</w:t>
      </w:r>
      <w:r>
        <w:rPr>
          <w:rFonts w:hint="eastAsia" w:ascii="宋体" w:hAnsi="宋体" w:cs="宋体"/>
          <w:b/>
          <w:bCs/>
          <w:sz w:val="24"/>
          <w:lang w:val="fr-CH"/>
        </w:rPr>
        <w:t>服务资质（格式自拟）</w:t>
      </w:r>
    </w:p>
    <w:p>
      <w:pPr>
        <w:tabs>
          <w:tab w:val="left" w:pos="640"/>
          <w:tab w:val="left" w:pos="1260"/>
          <w:tab w:val="left" w:pos="1418"/>
        </w:tabs>
        <w:spacing w:line="400" w:lineRule="exact"/>
        <w:rPr>
          <w:rFonts w:ascii="宋体" w:hAnsi="宋体" w:cs="宋体"/>
          <w:b/>
          <w:bCs/>
          <w:sz w:val="24"/>
          <w:lang w:val="fr-CH"/>
        </w:rPr>
      </w:pPr>
      <w:r>
        <w:rPr>
          <w:rFonts w:hint="eastAsia" w:ascii="宋体" w:hAnsi="宋体" w:cs="宋体"/>
          <w:b/>
          <w:bCs/>
          <w:sz w:val="24"/>
          <w:lang w:val="fr-CH"/>
        </w:rPr>
        <w:t>1</w:t>
      </w:r>
      <w:r>
        <w:rPr>
          <w:rFonts w:ascii="宋体" w:hAnsi="宋体" w:cs="宋体"/>
          <w:b/>
          <w:bCs/>
          <w:sz w:val="24"/>
        </w:rPr>
        <w:t>6.</w:t>
      </w:r>
      <w:r>
        <w:rPr>
          <w:rFonts w:hint="eastAsia" w:ascii="宋体" w:hAnsi="宋体" w:cs="宋体"/>
          <w:b/>
          <w:bCs/>
          <w:sz w:val="24"/>
          <w:lang w:val="fr-CH"/>
        </w:rPr>
        <w:t>投标单位认为有必要提供的其他材料（格式自拟）</w:t>
      </w:r>
    </w:p>
    <w:p>
      <w:pPr>
        <w:tabs>
          <w:tab w:val="left" w:pos="640"/>
          <w:tab w:val="left" w:pos="1260"/>
          <w:tab w:val="left" w:pos="1418"/>
        </w:tabs>
        <w:spacing w:line="400" w:lineRule="exact"/>
        <w:rPr>
          <w:rFonts w:ascii="宋体" w:hAnsi="宋体" w:cs="宋体"/>
          <w:b/>
          <w:bCs/>
          <w:sz w:val="24"/>
          <w:lang w:val="fr-CH"/>
        </w:rPr>
      </w:pPr>
    </w:p>
    <w:p>
      <w:pPr>
        <w:tabs>
          <w:tab w:val="left" w:pos="640"/>
          <w:tab w:val="left" w:pos="840"/>
          <w:tab w:val="left" w:pos="1260"/>
          <w:tab w:val="left" w:pos="1418"/>
        </w:tabs>
        <w:spacing w:line="400" w:lineRule="exact"/>
        <w:rPr>
          <w:rFonts w:ascii="宋体" w:hAnsi="宋体" w:cs="宋体"/>
          <w:sz w:val="24"/>
        </w:rPr>
      </w:pPr>
    </w:p>
    <w:p>
      <w:pPr>
        <w:spacing w:line="400" w:lineRule="exact"/>
        <w:outlineLvl w:val="2"/>
        <w:rPr>
          <w:rFonts w:ascii="宋体" w:hAnsi="宋体" w:cs="宋体"/>
          <w:b/>
          <w:bCs/>
          <w:sz w:val="24"/>
        </w:rPr>
      </w:pPr>
      <w:r>
        <w:rPr>
          <w:rFonts w:hint="eastAsia" w:ascii="宋体" w:hAnsi="宋体" w:cs="宋体"/>
          <w:b/>
          <w:bCs/>
          <w:sz w:val="24"/>
        </w:rPr>
        <w:br w:type="page"/>
      </w:r>
      <w:r>
        <w:rPr>
          <w:rFonts w:ascii="宋体" w:hAnsi="宋体" w:cs="宋体"/>
          <w:b/>
          <w:bCs/>
          <w:sz w:val="24"/>
        </w:rPr>
        <w:t xml:space="preserve">  </w:t>
      </w:r>
      <w:r>
        <w:rPr>
          <w:rFonts w:hint="eastAsia" w:ascii="宋体" w:hAnsi="宋体" w:cs="宋体"/>
          <w:b/>
          <w:bCs/>
          <w:sz w:val="24"/>
        </w:rPr>
        <w:t>（三）技术部分</w:t>
      </w:r>
    </w:p>
    <w:p>
      <w:pPr>
        <w:spacing w:after="78" w:line="360" w:lineRule="auto"/>
        <w:jc w:val="center"/>
        <w:rPr>
          <w:rFonts w:ascii="宋体" w:hAnsi="宋体" w:cs="宋体"/>
          <w:b/>
          <w:bCs/>
          <w:sz w:val="24"/>
          <w:lang w:val="fr-CH"/>
        </w:rPr>
      </w:pPr>
    </w:p>
    <w:p>
      <w:pPr>
        <w:spacing w:line="400" w:lineRule="exact"/>
        <w:jc w:val="center"/>
        <w:rPr>
          <w:rFonts w:ascii="宋体" w:hAnsi="宋体" w:cs="宋体"/>
          <w:b/>
          <w:bCs/>
          <w:sz w:val="24"/>
          <w:lang w:val="fr-CH"/>
        </w:rPr>
      </w:pPr>
      <w:r>
        <w:rPr>
          <w:rFonts w:ascii="宋体" w:hAnsi="宋体" w:cs="宋体"/>
          <w:b/>
          <w:bCs/>
          <w:sz w:val="24"/>
        </w:rPr>
        <w:t>1.</w:t>
      </w:r>
      <w:r>
        <w:rPr>
          <w:rFonts w:hint="eastAsia" w:ascii="宋体" w:hAnsi="宋体" w:cs="宋体"/>
          <w:b/>
          <w:bCs/>
          <w:sz w:val="24"/>
          <w:lang w:val="fr-CH"/>
        </w:rPr>
        <w:t>用户需求响应表</w:t>
      </w:r>
    </w:p>
    <w:p>
      <w:pPr>
        <w:spacing w:line="400" w:lineRule="exact"/>
        <w:jc w:val="center"/>
        <w:rPr>
          <w:rFonts w:ascii="宋体" w:hAnsi="宋体" w:cs="宋体"/>
          <w:b/>
          <w:bCs/>
          <w:sz w:val="24"/>
          <w:lang w:val="fr-CH"/>
        </w:rPr>
      </w:pPr>
    </w:p>
    <w:p>
      <w:pPr>
        <w:spacing w:line="400" w:lineRule="exact"/>
        <w:rPr>
          <w:rFonts w:ascii="宋体" w:hAnsi="宋体" w:cs="宋体"/>
          <w:sz w:val="24"/>
        </w:rPr>
      </w:pPr>
      <w:r>
        <w:rPr>
          <w:rFonts w:hint="eastAsia" w:ascii="宋体" w:hAnsi="宋体" w:cs="宋体"/>
          <w:sz w:val="24"/>
        </w:rPr>
        <w:t>投标人名称____________________          招标编号____________________</w:t>
      </w:r>
    </w:p>
    <w:p>
      <w:pPr>
        <w:spacing w:line="400" w:lineRule="exact"/>
        <w:rPr>
          <w:rFonts w:ascii="宋体" w:hAnsi="宋体" w:cs="宋体"/>
          <w:bCs/>
          <w:sz w:val="24"/>
        </w:rPr>
      </w:pPr>
      <w:r>
        <w:rPr>
          <w:rFonts w:hint="eastAsia" w:ascii="宋体" w:hAnsi="宋体" w:cs="宋体"/>
          <w:bCs/>
          <w:sz w:val="24"/>
        </w:rPr>
        <w:t>据招标文件要求，我公司承诺响应如下：</w:t>
      </w:r>
    </w:p>
    <w:tbl>
      <w:tblPr>
        <w:tblStyle w:val="18"/>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400" w:lineRule="exact"/>
              <w:jc w:val="center"/>
              <w:rPr>
                <w:rFonts w:ascii="宋体" w:hAnsi="宋体" w:cs="宋体"/>
                <w:bCs/>
                <w:sz w:val="24"/>
              </w:rPr>
            </w:pPr>
            <w:r>
              <w:rPr>
                <w:rFonts w:hint="eastAsia" w:ascii="宋体" w:hAnsi="宋体" w:cs="宋体"/>
                <w:bCs/>
                <w:sz w:val="24"/>
              </w:rPr>
              <w:t>序号</w:t>
            </w:r>
          </w:p>
        </w:tc>
        <w:tc>
          <w:tcPr>
            <w:tcW w:w="3507" w:type="dxa"/>
            <w:vAlign w:val="center"/>
          </w:tcPr>
          <w:p>
            <w:pPr>
              <w:spacing w:line="400" w:lineRule="exact"/>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400" w:lineRule="exact"/>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400" w:lineRule="exact"/>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400" w:lineRule="exact"/>
              <w:jc w:val="center"/>
              <w:rPr>
                <w:rFonts w:ascii="宋体" w:hAnsi="宋体" w:cs="宋体"/>
                <w:bCs/>
                <w:sz w:val="24"/>
              </w:rPr>
            </w:pPr>
            <w:r>
              <w:rPr>
                <w:rFonts w:hint="eastAsia" w:ascii="宋体" w:hAnsi="宋体" w:cs="宋体"/>
                <w:bCs/>
                <w:sz w:val="24"/>
              </w:rPr>
              <w:t>1</w:t>
            </w:r>
          </w:p>
        </w:tc>
        <w:tc>
          <w:tcPr>
            <w:tcW w:w="3507" w:type="dxa"/>
            <w:vAlign w:val="center"/>
          </w:tcPr>
          <w:p>
            <w:pPr>
              <w:spacing w:line="400" w:lineRule="exact"/>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400" w:lineRule="exact"/>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400" w:lineRule="exact"/>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pacing w:line="400" w:lineRule="exact"/>
              <w:jc w:val="center"/>
              <w:rPr>
                <w:rFonts w:ascii="宋体" w:hAnsi="宋体" w:cs="宋体"/>
                <w:bCs/>
                <w:sz w:val="24"/>
              </w:rPr>
            </w:pPr>
          </w:p>
        </w:tc>
      </w:tr>
    </w:tbl>
    <w:p>
      <w:pPr>
        <w:spacing w:line="400" w:lineRule="exact"/>
        <w:rPr>
          <w:rFonts w:ascii="宋体" w:hAnsi="宋体" w:cs="宋体"/>
          <w:bCs/>
          <w:sz w:val="24"/>
        </w:rPr>
      </w:pPr>
    </w:p>
    <w:p>
      <w:pPr>
        <w:spacing w:line="400" w:lineRule="exact"/>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pacing w:line="400" w:lineRule="exact"/>
        <w:rPr>
          <w:rFonts w:ascii="宋体" w:hAnsi="宋体" w:cs="宋体"/>
          <w:bCs/>
          <w:sz w:val="24"/>
        </w:rPr>
      </w:pPr>
    </w:p>
    <w:p>
      <w:pPr>
        <w:pStyle w:val="8"/>
        <w:spacing w:line="400" w:lineRule="exact"/>
        <w:rPr>
          <w:rFonts w:hAnsi="宋体" w:cs="宋体"/>
          <w:bCs/>
          <w:sz w:val="24"/>
        </w:rPr>
      </w:pPr>
    </w:p>
    <w:p>
      <w:pPr>
        <w:pStyle w:val="8"/>
        <w:spacing w:line="400" w:lineRule="exact"/>
        <w:ind w:firstLine="5760" w:firstLineChars="2400"/>
        <w:rPr>
          <w:rFonts w:hAnsi="宋体" w:cs="宋体"/>
          <w:bCs/>
          <w:sz w:val="24"/>
        </w:rPr>
      </w:pPr>
      <w:r>
        <w:rPr>
          <w:rFonts w:hint="eastAsia" w:hAnsi="宋体" w:cs="宋体"/>
          <w:bCs/>
          <w:sz w:val="24"/>
        </w:rPr>
        <w:t>供应商：（公章）</w:t>
      </w:r>
    </w:p>
    <w:p>
      <w:pPr>
        <w:spacing w:line="400" w:lineRule="exact"/>
        <w:ind w:firstLine="5589" w:firstLineChars="2329"/>
        <w:rPr>
          <w:rFonts w:ascii="宋体" w:hAnsi="宋体" w:cs="宋体"/>
          <w:bCs/>
          <w:sz w:val="24"/>
        </w:rPr>
      </w:pPr>
    </w:p>
    <w:p>
      <w:pPr>
        <w:spacing w:line="400" w:lineRule="exact"/>
        <w:ind w:firstLine="5589" w:firstLineChars="2329"/>
        <w:rPr>
          <w:rFonts w:ascii="宋体" w:hAnsi="宋体" w:cs="宋体"/>
          <w:bCs/>
          <w:sz w:val="24"/>
        </w:rPr>
      </w:pPr>
      <w:r>
        <w:rPr>
          <w:rFonts w:hint="eastAsia" w:ascii="宋体" w:hAnsi="宋体" w:cs="宋体"/>
          <w:bCs/>
          <w:sz w:val="24"/>
        </w:rPr>
        <w:t>日期：  年   月  日</w:t>
      </w:r>
    </w:p>
    <w:p>
      <w:pPr>
        <w:pStyle w:val="6"/>
        <w:spacing w:after="0" w:line="400" w:lineRule="exact"/>
        <w:rPr>
          <w:lang w:val="fr-CH"/>
        </w:rPr>
      </w:pPr>
    </w:p>
    <w:p>
      <w:pPr>
        <w:tabs>
          <w:tab w:val="left" w:pos="640"/>
          <w:tab w:val="left" w:pos="1260"/>
          <w:tab w:val="left" w:pos="1418"/>
        </w:tabs>
        <w:spacing w:line="400" w:lineRule="exact"/>
        <w:rPr>
          <w:rFonts w:ascii="宋体" w:hAnsi="宋体" w:cs="宋体"/>
          <w:sz w:val="24"/>
          <w:lang w:val="sq-AL"/>
        </w:rPr>
      </w:pPr>
      <w:r>
        <w:rPr>
          <w:rFonts w:hint="eastAsia" w:ascii="宋体" w:hAnsi="宋体" w:cs="宋体"/>
          <w:sz w:val="24"/>
          <w:lang w:val="sq-AL"/>
        </w:rPr>
        <w:br w:type="page"/>
      </w:r>
      <w:r>
        <w:rPr>
          <w:rFonts w:ascii="宋体" w:hAnsi="宋体" w:cs="宋体"/>
          <w:sz w:val="24"/>
        </w:rPr>
        <w:t>2.</w:t>
      </w:r>
      <w:r>
        <w:rPr>
          <w:rFonts w:hint="eastAsia" w:ascii="宋体" w:hAnsi="宋体" w:cs="宋体"/>
          <w:sz w:val="24"/>
          <w:lang w:val="sq-AL"/>
        </w:rPr>
        <w:t>项目整体理解与认知（格式自拟）</w:t>
      </w:r>
    </w:p>
    <w:p>
      <w:pPr>
        <w:tabs>
          <w:tab w:val="left" w:pos="640"/>
          <w:tab w:val="left" w:pos="1260"/>
          <w:tab w:val="left" w:pos="1418"/>
        </w:tabs>
        <w:spacing w:line="400" w:lineRule="exact"/>
        <w:rPr>
          <w:rFonts w:ascii="宋体" w:hAnsi="宋体" w:cs="宋体"/>
          <w:sz w:val="24"/>
          <w:lang w:val="sq-AL"/>
        </w:rPr>
      </w:pPr>
      <w:r>
        <w:rPr>
          <w:rFonts w:ascii="宋体" w:hAnsi="宋体" w:cs="宋体"/>
          <w:sz w:val="24"/>
        </w:rPr>
        <w:t>3.</w:t>
      </w:r>
      <w:r>
        <w:rPr>
          <w:rFonts w:hint="eastAsia" w:ascii="宋体" w:hAnsi="宋体" w:cs="宋体"/>
          <w:sz w:val="24"/>
          <w:lang w:val="sq-AL"/>
        </w:rPr>
        <w:t>项目设计方案（格式自拟）</w:t>
      </w:r>
    </w:p>
    <w:p>
      <w:pPr>
        <w:tabs>
          <w:tab w:val="left" w:pos="640"/>
          <w:tab w:val="left" w:pos="1260"/>
          <w:tab w:val="left" w:pos="1418"/>
        </w:tabs>
        <w:spacing w:line="400" w:lineRule="exact"/>
        <w:rPr>
          <w:rFonts w:ascii="宋体" w:hAnsi="宋体" w:cs="宋体"/>
          <w:sz w:val="24"/>
          <w:lang w:val="sq-AL"/>
        </w:rPr>
      </w:pPr>
      <w:r>
        <w:rPr>
          <w:rFonts w:ascii="宋体" w:hAnsi="宋体" w:cs="宋体"/>
          <w:sz w:val="24"/>
        </w:rPr>
        <w:t>4.</w:t>
      </w:r>
      <w:r>
        <w:rPr>
          <w:rFonts w:hint="eastAsia" w:ascii="宋体" w:hAnsi="宋体" w:cs="宋体"/>
          <w:sz w:val="24"/>
          <w:lang w:val="sq-AL"/>
        </w:rPr>
        <w:t>项目重点难点分析、应对措施及相关的合理化建议（格式自拟）</w:t>
      </w:r>
    </w:p>
    <w:p>
      <w:pPr>
        <w:tabs>
          <w:tab w:val="left" w:pos="640"/>
          <w:tab w:val="left" w:pos="1260"/>
          <w:tab w:val="left" w:pos="1418"/>
        </w:tabs>
        <w:spacing w:line="400" w:lineRule="exact"/>
        <w:rPr>
          <w:rFonts w:ascii="宋体" w:hAnsi="宋体" w:cs="宋体"/>
          <w:b/>
          <w:bCs/>
          <w:sz w:val="24"/>
        </w:rPr>
      </w:pPr>
      <w:r>
        <w:rPr>
          <w:rFonts w:ascii="宋体" w:hAnsi="宋体" w:cs="宋体"/>
          <w:sz w:val="24"/>
        </w:rPr>
        <w:t>5.</w:t>
      </w:r>
      <w:r>
        <w:rPr>
          <w:rFonts w:hint="eastAsia" w:ascii="宋体" w:hAnsi="宋体" w:cs="宋体"/>
          <w:sz w:val="24"/>
          <w:lang w:val="sq-AL"/>
        </w:rPr>
        <w:t>质量保障措施及方案（格式自拟）</w:t>
      </w:r>
    </w:p>
    <w:p>
      <w:pPr>
        <w:tabs>
          <w:tab w:val="left" w:pos="640"/>
          <w:tab w:val="left" w:pos="1260"/>
          <w:tab w:val="left" w:pos="1418"/>
        </w:tabs>
        <w:spacing w:line="400" w:lineRule="exact"/>
        <w:rPr>
          <w:rFonts w:ascii="宋体" w:hAnsi="宋体" w:cs="宋体"/>
          <w:b/>
          <w:bCs/>
          <w:sz w:val="24"/>
        </w:rPr>
      </w:pPr>
    </w:p>
    <w:p>
      <w:pPr>
        <w:tabs>
          <w:tab w:val="left" w:pos="640"/>
          <w:tab w:val="left" w:pos="1260"/>
          <w:tab w:val="left" w:pos="1418"/>
        </w:tabs>
        <w:spacing w:line="400" w:lineRule="exact"/>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tabs>
          <w:tab w:val="left" w:pos="425"/>
          <w:tab w:val="left" w:pos="640"/>
          <w:tab w:val="left" w:pos="1260"/>
          <w:tab w:val="left" w:pos="1418"/>
        </w:tabs>
        <w:spacing w:line="400" w:lineRule="exact"/>
        <w:outlineLvl w:val="0"/>
        <w:rPr>
          <w:rFonts w:ascii="宋体" w:hAnsi="宋体" w:cs="宋体"/>
          <w:b/>
          <w:bCs/>
          <w:sz w:val="24"/>
        </w:rPr>
      </w:pPr>
      <w:r>
        <w:rPr>
          <w:rFonts w:hint="eastAsia" w:ascii="宋体" w:hAnsi="宋体" w:cs="宋体"/>
          <w:sz w:val="24"/>
          <w:lang w:val="fr-CH"/>
        </w:rPr>
        <w:br w:type="page"/>
      </w:r>
      <w:bookmarkEnd w:id="38"/>
      <w:bookmarkStart w:id="45" w:name="_Toc3166"/>
      <w:bookmarkStart w:id="46" w:name="_Toc1706584748"/>
      <w:bookmarkStart w:id="47" w:name="_Toc1677232624"/>
      <w:bookmarkStart w:id="48" w:name="_Toc6251"/>
      <w:r>
        <w:rPr>
          <w:rFonts w:hint="eastAsia" w:ascii="宋体" w:hAnsi="宋体" w:cs="宋体"/>
          <w:b/>
          <w:bCs/>
          <w:sz w:val="24"/>
        </w:rPr>
        <w:t>附件：相关政策</w:t>
      </w:r>
      <w:bookmarkEnd w:id="45"/>
      <w:bookmarkEnd w:id="46"/>
      <w:bookmarkEnd w:id="47"/>
      <w:bookmarkEnd w:id="48"/>
    </w:p>
    <w:p>
      <w:pPr>
        <w:tabs>
          <w:tab w:val="left" w:pos="360"/>
        </w:tabs>
        <w:spacing w:line="400" w:lineRule="exact"/>
        <w:outlineLvl w:val="1"/>
        <w:rPr>
          <w:rFonts w:ascii="宋体" w:hAnsi="宋体" w:cs="宋体"/>
          <w:b/>
          <w:bCs/>
          <w:sz w:val="24"/>
        </w:rPr>
      </w:pPr>
      <w:r>
        <w:rPr>
          <w:rFonts w:ascii="宋体" w:hAnsi="宋体" w:cs="宋体"/>
          <w:b/>
          <w:bCs/>
          <w:sz w:val="24"/>
        </w:rPr>
        <w:t>1.</w:t>
      </w:r>
      <w:r>
        <w:rPr>
          <w:rFonts w:hint="eastAsia" w:ascii="宋体" w:hAnsi="宋体" w:cs="宋体"/>
          <w:b/>
          <w:bCs/>
          <w:sz w:val="24"/>
        </w:rPr>
        <w:t>财政部、工业和信息化部《关于印发〈政府采购促进中小企业发展管理办法〉的通知》（财库〔2020〕46 号）</w:t>
      </w:r>
    </w:p>
    <w:p>
      <w:pPr>
        <w:pStyle w:val="6"/>
        <w:tabs>
          <w:tab w:val="left" w:pos="562"/>
          <w:tab w:val="left" w:pos="3372"/>
          <w:tab w:val="left" w:pos="3653"/>
        </w:tabs>
        <w:spacing w:after="0" w:line="400" w:lineRule="exact"/>
        <w:rPr>
          <w:rFonts w:ascii="宋体" w:hAnsi="宋体" w:cs="宋体"/>
          <w:sz w:val="24"/>
        </w:rPr>
      </w:pPr>
    </w:p>
    <w:p>
      <w:pPr>
        <w:widowControl/>
        <w:shd w:val="clear" w:color="auto" w:fill="FFFFFF"/>
        <w:spacing w:line="400" w:lineRule="exact"/>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line="400" w:lineRule="exact"/>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line="400" w:lineRule="exact"/>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400" w:lineRule="exact"/>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400" w:lineRule="exact"/>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400" w:lineRule="exact"/>
        <w:jc w:val="right"/>
        <w:rPr>
          <w:rFonts w:ascii="宋体" w:hAnsi="宋体" w:cs="宋体"/>
          <w:kern w:val="0"/>
          <w:sz w:val="24"/>
        </w:rPr>
      </w:pPr>
      <w:r>
        <w:rPr>
          <w:rFonts w:hint="eastAsia" w:ascii="宋体" w:hAnsi="宋体" w:cs="宋体"/>
          <w:kern w:val="0"/>
          <w:sz w:val="24"/>
        </w:rPr>
        <w:t>财  政  部</w:t>
      </w:r>
    </w:p>
    <w:p>
      <w:pPr>
        <w:widowControl/>
        <w:shd w:val="clear" w:color="auto" w:fill="FFFFFF"/>
        <w:spacing w:line="400" w:lineRule="exact"/>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spacing w:line="400" w:lineRule="exact"/>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spacing w:line="400" w:lineRule="exact"/>
        <w:jc w:val="left"/>
        <w:rPr>
          <w:rFonts w:ascii="宋体" w:hAnsi="宋体" w:cs="宋体"/>
          <w:kern w:val="0"/>
          <w:sz w:val="24"/>
        </w:rPr>
      </w:pPr>
    </w:p>
    <w:p>
      <w:pPr>
        <w:spacing w:line="400" w:lineRule="exact"/>
        <w:rPr>
          <w:rFonts w:ascii="宋体" w:hAnsi="宋体" w:cs="宋体"/>
          <w:b/>
          <w:bCs/>
          <w:sz w:val="24"/>
        </w:rPr>
      </w:pPr>
      <w:r>
        <w:rPr>
          <w:rFonts w:hint="eastAsia" w:ascii="宋体" w:hAnsi="宋体" w:cs="宋体"/>
          <w:b/>
          <w:bCs/>
          <w:sz w:val="24"/>
        </w:rPr>
        <w:br w:type="page"/>
      </w:r>
    </w:p>
    <w:p>
      <w:pPr>
        <w:spacing w:line="400" w:lineRule="exact"/>
        <w:jc w:val="center"/>
        <w:rPr>
          <w:rFonts w:ascii="宋体" w:hAnsi="宋体" w:cs="宋体"/>
          <w:b/>
          <w:bCs/>
          <w:sz w:val="24"/>
        </w:rPr>
      </w:pPr>
      <w:r>
        <w:rPr>
          <w:rFonts w:hint="eastAsia" w:ascii="宋体" w:hAnsi="宋体" w:cs="宋体"/>
          <w:b/>
          <w:bCs/>
          <w:sz w:val="24"/>
        </w:rPr>
        <w:t>政府采购促进中小企业发展管理办法</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 xml:space="preserve">第三条 </w:t>
      </w:r>
      <w:r>
        <w:rPr>
          <w:rFonts w:ascii="宋体" w:hAnsi="宋体" w:cs="宋体"/>
          <w:kern w:val="0"/>
          <w:sz w:val="24"/>
        </w:rPr>
        <w:t>采购单位</w:t>
      </w:r>
      <w:r>
        <w:rPr>
          <w:rFonts w:hint="eastAsia" w:ascii="宋体" w:hAnsi="宋体" w:cs="宋体"/>
          <w:kern w:val="0"/>
          <w:sz w:val="24"/>
        </w:rPr>
        <w:t>在政府采购活动中应当通过加强采购需求管理，落实预留采购份额、价格评审优惠、优先采购等 措施，提高中小企业在政府采购中的份额，支持中小企业发展。</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（一）在货物采购项目中，货物由中小企业制造，即货 物由中小企业生产且使用该中小企业商号或者注册商标；</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（二）在工程采购项目中，工程由中小企业承建，即工 程施工单位为中小企业；</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 xml:space="preserve">第五条 </w:t>
      </w:r>
      <w:r>
        <w:rPr>
          <w:rFonts w:ascii="宋体" w:hAnsi="宋体" w:cs="宋体"/>
          <w:kern w:val="0"/>
          <w:sz w:val="24"/>
        </w:rPr>
        <w:t>采购单位</w:t>
      </w:r>
      <w:r>
        <w:rPr>
          <w:rFonts w:hint="eastAsia" w:ascii="宋体" w:hAnsi="宋体" w:cs="宋体"/>
          <w:kern w:val="0"/>
          <w:sz w:val="24"/>
        </w:rPr>
        <w:t>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6"/>
        <w:tabs>
          <w:tab w:val="left" w:pos="562"/>
          <w:tab w:val="left" w:pos="3372"/>
          <w:tab w:val="left" w:pos="3653"/>
        </w:tabs>
        <w:spacing w:after="0" w:line="400" w:lineRule="exact"/>
        <w:ind w:firstLine="480" w:firstLineChars="200"/>
        <w:rPr>
          <w:rFonts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（四）框架协议采购项目；</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第七条采购限额标准以上，200万元以下的货物和服务采购项目、400 万元以下的工程采购项目，适宜由中小企业提供的，</w:t>
      </w:r>
      <w:r>
        <w:rPr>
          <w:rFonts w:ascii="宋体" w:hAnsi="宋体" w:cs="宋体"/>
          <w:kern w:val="0"/>
          <w:sz w:val="24"/>
        </w:rPr>
        <w:t>采购单位</w:t>
      </w:r>
      <w:r>
        <w:rPr>
          <w:rFonts w:hint="eastAsia" w:ascii="宋体" w:hAnsi="宋体" w:cs="宋体"/>
          <w:kern w:val="0"/>
          <w:sz w:val="24"/>
        </w:rPr>
        <w:t>应当专门面向中小企业采购。</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（一）将采购项目整体或者设置采购包专门面向中小企业采购；</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组成联合体或者接受分包合同的中小企业与联合体内其他企业、分包企业之间不得存在直接控股、管理关系。</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w:t>
      </w:r>
      <w:r>
        <w:rPr>
          <w:rFonts w:ascii="宋体" w:hAnsi="宋体" w:cs="宋体"/>
          <w:kern w:val="0"/>
          <w:sz w:val="24"/>
        </w:rPr>
        <w:t>采购单位</w:t>
      </w:r>
      <w:r>
        <w:rPr>
          <w:rFonts w:hint="eastAsia" w:ascii="宋体" w:hAnsi="宋体" w:cs="宋体"/>
          <w:kern w:val="0"/>
          <w:sz w:val="24"/>
        </w:rPr>
        <w:t>、采购代理机构应当对符合本办法规定的小微企业报价给予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w:t>
      </w:r>
      <w:r>
        <w:rPr>
          <w:rFonts w:ascii="宋体" w:hAnsi="宋体" w:cs="宋体"/>
          <w:kern w:val="0"/>
          <w:sz w:val="24"/>
        </w:rPr>
        <w:t>采购单位</w:t>
      </w:r>
      <w:r>
        <w:rPr>
          <w:rFonts w:hint="eastAsia" w:ascii="宋体" w:hAnsi="宋体" w:cs="宋体"/>
          <w:kern w:val="0"/>
          <w:sz w:val="24"/>
        </w:rPr>
        <w:t>、采购代理机构应当对联合体或者大中型企业的报价给予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w:t>
      </w:r>
      <w:r>
        <w:rPr>
          <w:rFonts w:ascii="宋体" w:hAnsi="宋体" w:cs="宋体"/>
          <w:kern w:val="0"/>
          <w:sz w:val="24"/>
        </w:rPr>
        <w:t>采购单位</w:t>
      </w:r>
      <w:r>
        <w:rPr>
          <w:rFonts w:hint="eastAsia" w:ascii="宋体" w:hAnsi="宋体" w:cs="宋体"/>
          <w:kern w:val="0"/>
          <w:sz w:val="24"/>
        </w:rPr>
        <w:t>根据采购标的相关行业平均利润率、市场竞争状况等，在本办法规定的幅度内确定。</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 xml:space="preserve">第十条 </w:t>
      </w:r>
      <w:r>
        <w:rPr>
          <w:rFonts w:ascii="宋体" w:hAnsi="宋体" w:cs="宋体"/>
          <w:kern w:val="0"/>
          <w:sz w:val="24"/>
        </w:rPr>
        <w:t>采购单位</w:t>
      </w:r>
      <w:r>
        <w:rPr>
          <w:rFonts w:hint="eastAsia" w:ascii="宋体" w:hAnsi="宋体" w:cs="宋体"/>
          <w:kern w:val="0"/>
          <w:sz w:val="24"/>
        </w:rPr>
        <w:t>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（五）</w:t>
      </w:r>
      <w:r>
        <w:rPr>
          <w:rFonts w:ascii="宋体" w:hAnsi="宋体" w:cs="宋体"/>
          <w:kern w:val="0"/>
          <w:sz w:val="24"/>
        </w:rPr>
        <w:t>采购单位</w:t>
      </w:r>
      <w:r>
        <w:rPr>
          <w:rFonts w:hint="eastAsia" w:ascii="宋体" w:hAnsi="宋体" w:cs="宋体"/>
          <w:kern w:val="0"/>
          <w:sz w:val="24"/>
        </w:rPr>
        <w:t>认为具备相关条件的，明确对中小企业在资金支付期限、预付款比例等方面的优惠措施；</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（六）明确采购标的对应的中小企业划分标准所属行业；</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（七）法律法规和省级以上人民政府财政部门规定的其他事项。</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第十三条 中标、成交供应商享受本办法规定的中小企业扶持政策的，</w:t>
      </w:r>
      <w:r>
        <w:rPr>
          <w:rFonts w:ascii="宋体" w:hAnsi="宋体" w:cs="宋体"/>
          <w:kern w:val="0"/>
          <w:sz w:val="24"/>
        </w:rPr>
        <w:t>采购单位</w:t>
      </w:r>
      <w:r>
        <w:rPr>
          <w:rFonts w:hint="eastAsia" w:ascii="宋体" w:hAnsi="宋体" w:cs="宋体"/>
          <w:kern w:val="0"/>
          <w:sz w:val="24"/>
        </w:rPr>
        <w:t>、采购代理机构应当随中标、成交结果公开中标、成交供应商的《中小企业声明函》。</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 xml:space="preserve">第十九条 </w:t>
      </w:r>
      <w:r>
        <w:rPr>
          <w:rFonts w:ascii="宋体" w:hAnsi="宋体" w:cs="宋体"/>
          <w:kern w:val="0"/>
          <w:sz w:val="24"/>
        </w:rPr>
        <w:t>采购单位</w:t>
      </w:r>
      <w:r>
        <w:rPr>
          <w:rFonts w:hint="eastAsia" w:ascii="宋体" w:hAnsi="宋体" w:cs="宋体"/>
          <w:kern w:val="0"/>
          <w:sz w:val="24"/>
        </w:rPr>
        <w:t>未按本办法规定为中小企业预留采购份额，</w:t>
      </w:r>
      <w:r>
        <w:rPr>
          <w:rFonts w:ascii="宋体" w:hAnsi="宋体" w:cs="宋体"/>
          <w:kern w:val="0"/>
          <w:sz w:val="24"/>
        </w:rPr>
        <w:t>采购单位</w:t>
      </w:r>
      <w:r>
        <w:rPr>
          <w:rFonts w:hint="eastAsia" w:ascii="宋体" w:hAnsi="宋体" w:cs="宋体"/>
          <w:kern w:val="0"/>
          <w:sz w:val="24"/>
        </w:rPr>
        <w:t>、采购代理机构未按照本办法规定要求实施价格扣除或者价格分加分的，属于未按照规定执行政府采购政策，依照《中华人民共和国政府采购法》等国家有关规定追究法律责任。</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6"/>
        <w:tabs>
          <w:tab w:val="left" w:pos="562"/>
          <w:tab w:val="left" w:pos="3372"/>
          <w:tab w:val="left" w:pos="3653"/>
        </w:tabs>
        <w:spacing w:after="0" w:line="400" w:lineRule="exact"/>
        <w:rPr>
          <w:rFonts w:ascii="宋体" w:hAnsi="宋体" w:cs="宋体"/>
          <w:sz w:val="24"/>
        </w:rPr>
      </w:pP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hint="eastAsia" w:ascii="宋体" w:hAnsi="宋体" w:cs="宋体"/>
          <w:kern w:val="0"/>
          <w:sz w:val="24"/>
        </w:rPr>
        <w:t>附：1.中小企业声明函</w:t>
      </w:r>
    </w:p>
    <w:p>
      <w:pPr>
        <w:pStyle w:val="6"/>
        <w:tabs>
          <w:tab w:val="left" w:pos="562"/>
          <w:tab w:val="left" w:pos="3372"/>
          <w:tab w:val="left" w:pos="3653"/>
        </w:tabs>
        <w:spacing w:after="0" w:line="400" w:lineRule="exact"/>
        <w:ind w:firstLine="960" w:firstLineChars="400"/>
        <w:rPr>
          <w:rFonts w:ascii="宋体" w:hAnsi="宋体" w:cs="宋体"/>
          <w:kern w:val="0"/>
          <w:sz w:val="24"/>
        </w:rPr>
      </w:pPr>
      <w:r>
        <w:rPr>
          <w:rFonts w:hint="eastAsia" w:ascii="宋体" w:hAnsi="宋体" w:cs="宋体"/>
          <w:kern w:val="0"/>
          <w:sz w:val="24"/>
        </w:rPr>
        <w:t>2.面向中小企业预留项目执行情况公告</w:t>
      </w:r>
    </w:p>
    <w:p>
      <w:pPr>
        <w:pStyle w:val="6"/>
        <w:tabs>
          <w:tab w:val="left" w:pos="562"/>
          <w:tab w:val="left" w:pos="3372"/>
          <w:tab w:val="left" w:pos="3653"/>
        </w:tabs>
        <w:spacing w:after="0" w:line="400" w:lineRule="exact"/>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附1</w:t>
      </w:r>
    </w:p>
    <w:p>
      <w:pPr>
        <w:spacing w:line="400" w:lineRule="exact"/>
        <w:jc w:val="center"/>
        <w:rPr>
          <w:rFonts w:ascii="宋体" w:hAnsi="宋体" w:cs="宋体"/>
          <w:sz w:val="24"/>
        </w:rPr>
      </w:pPr>
      <w:r>
        <w:rPr>
          <w:rFonts w:hint="eastAsia" w:ascii="宋体" w:hAnsi="宋体" w:cs="宋体"/>
          <w:sz w:val="24"/>
        </w:rPr>
        <w:t>中小企业声明函（货物）</w:t>
      </w:r>
    </w:p>
    <w:p>
      <w:pPr>
        <w:pStyle w:val="6"/>
        <w:tabs>
          <w:tab w:val="left" w:pos="562"/>
          <w:tab w:val="left" w:pos="3372"/>
          <w:tab w:val="left" w:pos="3653"/>
        </w:tabs>
        <w:spacing w:after="0" w:line="400" w:lineRule="exact"/>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6"/>
        <w:tabs>
          <w:tab w:val="left" w:pos="562"/>
          <w:tab w:val="left" w:pos="3372"/>
          <w:tab w:val="left" w:pos="3653"/>
        </w:tabs>
        <w:spacing w:after="0" w:line="400" w:lineRule="exact"/>
        <w:ind w:firstLine="480" w:firstLineChars="200"/>
        <w:rPr>
          <w:rFonts w:ascii="宋体" w:hAnsi="宋体" w:cs="宋体"/>
          <w:kern w:val="0"/>
          <w:sz w:val="24"/>
        </w:rPr>
      </w:pPr>
      <w:r>
        <w:rPr>
          <w:rFonts w:ascii="宋体" w:hAnsi="宋体" w:cs="宋体"/>
          <w:kern w:val="0"/>
          <w:sz w:val="24"/>
        </w:rPr>
        <w:t>1.</w:t>
      </w:r>
      <w:r>
        <w:rPr>
          <w:rFonts w:hint="eastAsia" w:ascii="宋体" w:hAnsi="宋体" w:cs="宋体"/>
          <w:kern w:val="0"/>
          <w:sz w:val="24"/>
        </w:rPr>
        <w:t>（</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lang w:eastAsia="zh-Hans"/>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6"/>
        <w:tabs>
          <w:tab w:val="left" w:pos="562"/>
          <w:tab w:val="left" w:pos="3372"/>
          <w:tab w:val="left" w:pos="3653"/>
        </w:tabs>
        <w:spacing w:after="0" w:line="400" w:lineRule="exact"/>
        <w:ind w:firstLine="472" w:firstLineChars="200"/>
        <w:rPr>
          <w:rFonts w:ascii="宋体" w:hAnsi="宋体" w:cs="宋体"/>
          <w:spacing w:val="-2"/>
          <w:sz w:val="24"/>
        </w:rPr>
      </w:pPr>
      <w:r>
        <w:rPr>
          <w:rFonts w:ascii="宋体" w:hAnsi="宋体" w:cs="宋体"/>
          <w:spacing w:val="-2"/>
          <w:sz w:val="24"/>
        </w:rPr>
        <w:t>2.</w:t>
      </w:r>
      <w:r>
        <w:rPr>
          <w:rFonts w:hint="eastAsia" w:ascii="宋体" w:hAnsi="宋体" w:cs="宋体"/>
          <w:spacing w:val="-2"/>
          <w:sz w:val="24"/>
        </w:rPr>
        <w:t>（</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kern w:val="0"/>
          <w:sz w:val="24"/>
          <w:u w:val="single"/>
          <w:lang w:eastAsia="zh-Hans"/>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after="0" w:line="400" w:lineRule="exact"/>
        <w:ind w:firstLine="472" w:firstLineChars="200"/>
        <w:rPr>
          <w:rFonts w:ascii="宋体" w:hAnsi="宋体" w:cs="宋体"/>
          <w:spacing w:val="-2"/>
          <w:sz w:val="24"/>
        </w:rPr>
      </w:pPr>
      <w:r>
        <w:rPr>
          <w:rFonts w:hint="eastAsia" w:ascii="宋体" w:hAnsi="宋体" w:cs="宋体"/>
          <w:spacing w:val="-2"/>
          <w:sz w:val="24"/>
        </w:rPr>
        <w:t>……</w:t>
      </w:r>
    </w:p>
    <w:p>
      <w:pPr>
        <w:pStyle w:val="6"/>
        <w:tabs>
          <w:tab w:val="left" w:pos="562"/>
          <w:tab w:val="left" w:pos="3372"/>
          <w:tab w:val="left" w:pos="3653"/>
        </w:tabs>
        <w:spacing w:after="0" w:line="400" w:lineRule="exact"/>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6"/>
        <w:tabs>
          <w:tab w:val="left" w:pos="562"/>
          <w:tab w:val="left" w:pos="3372"/>
          <w:tab w:val="left" w:pos="3653"/>
        </w:tabs>
        <w:spacing w:after="0" w:line="400" w:lineRule="exact"/>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6"/>
        <w:tabs>
          <w:tab w:val="left" w:pos="562"/>
          <w:tab w:val="left" w:pos="3372"/>
          <w:tab w:val="left" w:pos="3653"/>
        </w:tabs>
        <w:spacing w:after="0" w:line="400" w:lineRule="exact"/>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after="0" w:line="400" w:lineRule="exact"/>
        <w:rPr>
          <w:rFonts w:ascii="宋体" w:hAnsi="宋体" w:cs="宋体"/>
          <w:sz w:val="24"/>
        </w:rPr>
      </w:pPr>
      <w:r>
        <w:rPr>
          <w:rFonts w:hint="eastAsia" w:ascii="宋体" w:hAnsi="宋体" w:cs="宋体"/>
          <w:spacing w:val="-2"/>
          <w:sz w:val="24"/>
        </w:rPr>
        <w:t>企业名称（盖章）日期：</w:t>
      </w:r>
    </w:p>
    <w:p>
      <w:pPr>
        <w:pStyle w:val="6"/>
        <w:tabs>
          <w:tab w:val="left" w:pos="562"/>
          <w:tab w:val="left" w:pos="3372"/>
          <w:tab w:val="left" w:pos="3653"/>
        </w:tabs>
        <w:spacing w:after="0" w:line="400" w:lineRule="exact"/>
        <w:jc w:val="left"/>
        <w:rPr>
          <w:rFonts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line="400" w:lineRule="exact"/>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6"/>
        <w:tabs>
          <w:tab w:val="left" w:pos="562"/>
          <w:tab w:val="left" w:pos="3372"/>
          <w:tab w:val="left" w:pos="3653"/>
        </w:tabs>
        <w:spacing w:after="0" w:line="400" w:lineRule="exact"/>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6"/>
        <w:tabs>
          <w:tab w:val="left" w:pos="562"/>
          <w:tab w:val="left" w:pos="3372"/>
          <w:tab w:val="left" w:pos="3653"/>
        </w:tabs>
        <w:spacing w:after="0" w:line="400" w:lineRule="exact"/>
        <w:ind w:firstLine="472" w:firstLineChars="200"/>
        <w:rPr>
          <w:rFonts w:ascii="宋体" w:hAnsi="宋体" w:cs="宋体"/>
          <w:spacing w:val="-2"/>
          <w:sz w:val="24"/>
        </w:rPr>
      </w:pPr>
      <w:r>
        <w:rPr>
          <w:rFonts w:ascii="宋体" w:hAnsi="宋体" w:cs="宋体"/>
          <w:spacing w:val="-2"/>
          <w:sz w:val="24"/>
        </w:rPr>
        <w:t>1.</w:t>
      </w:r>
      <w:r>
        <w:rPr>
          <w:rFonts w:hint="eastAsia" w:ascii="宋体" w:hAnsi="宋体" w:cs="宋体"/>
          <w:spacing w:val="-2"/>
          <w:sz w:val="24"/>
        </w:rPr>
        <w:t>（</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其他未列明行业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after="0" w:line="400" w:lineRule="exact"/>
        <w:ind w:firstLine="472" w:firstLineChars="200"/>
        <w:rPr>
          <w:rFonts w:ascii="宋体" w:hAnsi="宋体" w:cs="宋体"/>
          <w:spacing w:val="-2"/>
          <w:sz w:val="24"/>
        </w:rPr>
      </w:pPr>
      <w:r>
        <w:rPr>
          <w:rFonts w:ascii="宋体" w:hAnsi="宋体" w:cs="宋体"/>
          <w:spacing w:val="-2"/>
          <w:sz w:val="24"/>
        </w:rPr>
        <w:t>2.</w:t>
      </w:r>
      <w:r>
        <w:rPr>
          <w:rFonts w:hint="eastAsia" w:ascii="宋体" w:hAnsi="宋体" w:cs="宋体"/>
          <w:spacing w:val="-2"/>
          <w:sz w:val="24"/>
        </w:rPr>
        <w:t>（</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其他未列明行业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after="0" w:line="400" w:lineRule="exact"/>
        <w:ind w:firstLine="472" w:firstLineChars="200"/>
        <w:rPr>
          <w:rFonts w:ascii="宋体" w:hAnsi="宋体" w:cs="宋体"/>
          <w:spacing w:val="-2"/>
          <w:sz w:val="24"/>
        </w:rPr>
      </w:pPr>
      <w:r>
        <w:rPr>
          <w:rFonts w:hint="eastAsia" w:ascii="宋体" w:hAnsi="宋体" w:cs="宋体"/>
          <w:spacing w:val="-2"/>
          <w:sz w:val="24"/>
        </w:rPr>
        <w:t>……</w:t>
      </w:r>
    </w:p>
    <w:p>
      <w:pPr>
        <w:pStyle w:val="6"/>
        <w:tabs>
          <w:tab w:val="left" w:pos="562"/>
          <w:tab w:val="left" w:pos="3372"/>
          <w:tab w:val="left" w:pos="3653"/>
        </w:tabs>
        <w:spacing w:after="0" w:line="400" w:lineRule="exact"/>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6"/>
        <w:tabs>
          <w:tab w:val="left" w:pos="562"/>
          <w:tab w:val="left" w:pos="3372"/>
          <w:tab w:val="left" w:pos="3653"/>
        </w:tabs>
        <w:spacing w:after="0" w:line="400" w:lineRule="exact"/>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6"/>
        <w:tabs>
          <w:tab w:val="left" w:pos="562"/>
          <w:tab w:val="left" w:pos="3372"/>
          <w:tab w:val="left" w:pos="3653"/>
        </w:tabs>
        <w:spacing w:after="0" w:line="400" w:lineRule="exact"/>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after="0" w:line="400" w:lineRule="exact"/>
        <w:rPr>
          <w:rFonts w:ascii="宋体" w:hAnsi="宋体" w:cs="宋体"/>
          <w:spacing w:val="-2"/>
          <w:sz w:val="24"/>
        </w:rPr>
      </w:pPr>
    </w:p>
    <w:p>
      <w:pPr>
        <w:pStyle w:val="6"/>
        <w:tabs>
          <w:tab w:val="left" w:pos="562"/>
          <w:tab w:val="left" w:pos="3372"/>
          <w:tab w:val="left" w:pos="3653"/>
        </w:tabs>
        <w:spacing w:after="0" w:line="400" w:lineRule="exact"/>
        <w:rPr>
          <w:rFonts w:ascii="宋体" w:hAnsi="宋体" w:cs="宋体"/>
          <w:spacing w:val="-2"/>
          <w:sz w:val="24"/>
        </w:rPr>
      </w:pPr>
      <w:r>
        <w:rPr>
          <w:rFonts w:hint="eastAsia" w:ascii="宋体" w:hAnsi="宋体" w:cs="宋体"/>
          <w:spacing w:val="-2"/>
          <w:sz w:val="24"/>
        </w:rPr>
        <w:t>企业名称（盖章）日期：</w:t>
      </w:r>
    </w:p>
    <w:p>
      <w:pPr>
        <w:pStyle w:val="6"/>
        <w:tabs>
          <w:tab w:val="left" w:pos="562"/>
          <w:tab w:val="left" w:pos="3372"/>
          <w:tab w:val="left" w:pos="3653"/>
        </w:tabs>
        <w:spacing w:after="0" w:line="400" w:lineRule="exact"/>
        <w:rPr>
          <w:rFonts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附2</w:t>
      </w:r>
    </w:p>
    <w:p>
      <w:pPr>
        <w:spacing w:line="400" w:lineRule="exact"/>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6"/>
        <w:tabs>
          <w:tab w:val="left" w:pos="562"/>
          <w:tab w:val="left" w:pos="3372"/>
          <w:tab w:val="left" w:pos="3653"/>
        </w:tabs>
        <w:spacing w:after="0" w:line="400" w:lineRule="exact"/>
        <w:ind w:firstLine="480" w:firstLineChars="200"/>
        <w:rPr>
          <w:rFonts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6"/>
        <w:tabs>
          <w:tab w:val="left" w:pos="562"/>
          <w:tab w:val="left" w:pos="3372"/>
          <w:tab w:val="left" w:pos="3653"/>
        </w:tabs>
        <w:spacing w:after="0" w:line="400" w:lineRule="exact"/>
        <w:ind w:firstLine="480" w:firstLineChars="200"/>
        <w:rPr>
          <w:rFonts w:ascii="宋体" w:hAnsi="宋体" w:cs="宋体"/>
          <w:sz w:val="24"/>
        </w:rPr>
      </w:pPr>
      <w:r>
        <w:rPr>
          <w:rFonts w:hint="eastAsia" w:ascii="宋体" w:hAnsi="宋体" w:cs="宋体"/>
          <w:sz w:val="24"/>
        </w:rPr>
        <w:t>本部门（单位）××年预留项目面向中小企业采购共计××万元，其中，面向小微企业采购××万元，占××%。</w:t>
      </w:r>
    </w:p>
    <w:p>
      <w:pPr>
        <w:pStyle w:val="6"/>
        <w:tabs>
          <w:tab w:val="left" w:pos="562"/>
          <w:tab w:val="left" w:pos="3372"/>
          <w:tab w:val="left" w:pos="3653"/>
        </w:tabs>
        <w:spacing w:after="0" w:line="400" w:lineRule="exact"/>
        <w:jc w:val="center"/>
        <w:rPr>
          <w:rFonts w:ascii="宋体" w:hAnsi="宋体" w:cs="宋体"/>
          <w:b/>
          <w:bCs/>
          <w:sz w:val="24"/>
        </w:rPr>
      </w:pPr>
      <w:r>
        <w:rPr>
          <w:rFonts w:hint="eastAsia" w:ascii="宋体" w:hAnsi="宋体" w:cs="宋体"/>
          <w:b/>
          <w:bCs/>
          <w:sz w:val="24"/>
        </w:rPr>
        <w:t>面向中小企业预留项目明细</w:t>
      </w:r>
    </w:p>
    <w:tbl>
      <w:tblPr>
        <w:tblStyle w:val="18"/>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4"/>
              <w:spacing w:line="400" w:lineRule="exact"/>
              <w:jc w:val="center"/>
              <w:rPr>
                <w:b/>
                <w:sz w:val="24"/>
                <w:szCs w:val="24"/>
              </w:rPr>
            </w:pPr>
            <w:r>
              <w:rPr>
                <w:rFonts w:hint="eastAsia"/>
                <w:b/>
                <w:sz w:val="24"/>
                <w:szCs w:val="24"/>
              </w:rPr>
              <w:t>序号</w:t>
            </w:r>
          </w:p>
        </w:tc>
        <w:tc>
          <w:tcPr>
            <w:tcW w:w="1866" w:type="dxa"/>
            <w:vAlign w:val="center"/>
          </w:tcPr>
          <w:p>
            <w:pPr>
              <w:pStyle w:val="24"/>
              <w:spacing w:line="400" w:lineRule="exact"/>
              <w:jc w:val="center"/>
              <w:rPr>
                <w:b/>
                <w:sz w:val="24"/>
                <w:szCs w:val="24"/>
              </w:rPr>
            </w:pPr>
            <w:r>
              <w:rPr>
                <w:rFonts w:hint="eastAsia"/>
                <w:b/>
                <w:sz w:val="24"/>
                <w:szCs w:val="24"/>
              </w:rPr>
              <w:t>项目名称</w:t>
            </w:r>
          </w:p>
        </w:tc>
        <w:tc>
          <w:tcPr>
            <w:tcW w:w="2010" w:type="dxa"/>
            <w:vAlign w:val="center"/>
          </w:tcPr>
          <w:p>
            <w:pPr>
              <w:pStyle w:val="24"/>
              <w:spacing w:line="400" w:lineRule="exact"/>
              <w:jc w:val="center"/>
              <w:rPr>
                <w:b/>
                <w:sz w:val="24"/>
                <w:szCs w:val="24"/>
              </w:rPr>
            </w:pPr>
            <w:r>
              <w:rPr>
                <w:rFonts w:hint="eastAsia"/>
                <w:b/>
                <w:sz w:val="24"/>
                <w:szCs w:val="24"/>
              </w:rPr>
              <w:t>预留选项</w:t>
            </w:r>
          </w:p>
        </w:tc>
        <w:tc>
          <w:tcPr>
            <w:tcW w:w="2296" w:type="dxa"/>
            <w:vAlign w:val="center"/>
          </w:tcPr>
          <w:p>
            <w:pPr>
              <w:pStyle w:val="24"/>
              <w:spacing w:line="400" w:lineRule="exact"/>
              <w:jc w:val="center"/>
              <w:rPr>
                <w:b/>
                <w:sz w:val="24"/>
                <w:szCs w:val="24"/>
              </w:rPr>
            </w:pPr>
            <w:r>
              <w:rPr>
                <w:rFonts w:hint="eastAsia"/>
                <w:b/>
                <w:sz w:val="24"/>
                <w:szCs w:val="24"/>
              </w:rPr>
              <w:t>面向中小企业采购金额</w:t>
            </w:r>
          </w:p>
        </w:tc>
        <w:tc>
          <w:tcPr>
            <w:tcW w:w="1784" w:type="dxa"/>
            <w:vAlign w:val="center"/>
          </w:tcPr>
          <w:p>
            <w:pPr>
              <w:pStyle w:val="24"/>
              <w:spacing w:line="400" w:lineRule="exact"/>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4"/>
              <w:spacing w:line="400" w:lineRule="exact"/>
              <w:jc w:val="center"/>
              <w:rPr>
                <w:sz w:val="24"/>
                <w:szCs w:val="24"/>
              </w:rPr>
            </w:pPr>
          </w:p>
        </w:tc>
        <w:tc>
          <w:tcPr>
            <w:tcW w:w="1866" w:type="dxa"/>
            <w:tcBorders>
              <w:bottom w:val="nil"/>
            </w:tcBorders>
            <w:vAlign w:val="center"/>
          </w:tcPr>
          <w:p>
            <w:pPr>
              <w:pStyle w:val="24"/>
              <w:spacing w:line="400" w:lineRule="exact"/>
              <w:jc w:val="center"/>
              <w:rPr>
                <w:sz w:val="24"/>
                <w:szCs w:val="24"/>
              </w:rPr>
            </w:pPr>
          </w:p>
        </w:tc>
        <w:tc>
          <w:tcPr>
            <w:tcW w:w="2010" w:type="dxa"/>
            <w:tcBorders>
              <w:bottom w:val="nil"/>
            </w:tcBorders>
            <w:vAlign w:val="center"/>
          </w:tcPr>
          <w:p>
            <w:pPr>
              <w:pStyle w:val="24"/>
              <w:spacing w:line="400" w:lineRule="exact"/>
              <w:jc w:val="center"/>
              <w:rPr>
                <w:sz w:val="24"/>
                <w:szCs w:val="24"/>
              </w:rPr>
            </w:pPr>
            <w:r>
              <w:rPr>
                <w:rFonts w:hint="eastAsia"/>
                <w:sz w:val="24"/>
                <w:szCs w:val="24"/>
              </w:rPr>
              <w:t>（填写“采购项</w:t>
            </w:r>
          </w:p>
        </w:tc>
        <w:tc>
          <w:tcPr>
            <w:tcW w:w="2296" w:type="dxa"/>
            <w:tcBorders>
              <w:bottom w:val="nil"/>
            </w:tcBorders>
            <w:vAlign w:val="center"/>
          </w:tcPr>
          <w:p>
            <w:pPr>
              <w:pStyle w:val="24"/>
              <w:spacing w:line="400" w:lineRule="exact"/>
              <w:jc w:val="center"/>
              <w:rPr>
                <w:sz w:val="24"/>
                <w:szCs w:val="24"/>
              </w:rPr>
            </w:pPr>
          </w:p>
        </w:tc>
        <w:tc>
          <w:tcPr>
            <w:tcW w:w="1784" w:type="dxa"/>
            <w:vMerge w:val="restart"/>
            <w:vAlign w:val="center"/>
          </w:tcPr>
          <w:p>
            <w:pPr>
              <w:pStyle w:val="24"/>
              <w:spacing w:line="400" w:lineRule="exact"/>
              <w:jc w:val="center"/>
              <w:rPr>
                <w:sz w:val="24"/>
                <w:szCs w:val="24"/>
              </w:rPr>
            </w:pPr>
          </w:p>
          <w:p>
            <w:pPr>
              <w:pStyle w:val="24"/>
              <w:spacing w:line="400" w:lineRule="exact"/>
              <w:jc w:val="center"/>
              <w:rPr>
                <w:sz w:val="24"/>
                <w:szCs w:val="24"/>
              </w:rPr>
            </w:pPr>
          </w:p>
          <w:p>
            <w:pPr>
              <w:pStyle w:val="24"/>
              <w:spacing w:line="400" w:lineRule="exact"/>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ascii="宋体" w:hAnsi="宋体" w:cs="宋体"/>
                <w:sz w:val="24"/>
              </w:rPr>
            </w:pPr>
          </w:p>
        </w:tc>
        <w:tc>
          <w:tcPr>
            <w:tcW w:w="1866" w:type="dxa"/>
            <w:tcBorders>
              <w:top w:val="nil"/>
              <w:bottom w:val="nil"/>
            </w:tcBorders>
            <w:vAlign w:val="center"/>
          </w:tcPr>
          <w:p>
            <w:pPr>
              <w:pStyle w:val="24"/>
              <w:spacing w:line="400" w:lineRule="exact"/>
              <w:jc w:val="center"/>
              <w:rPr>
                <w:sz w:val="24"/>
                <w:szCs w:val="24"/>
              </w:rPr>
            </w:pPr>
          </w:p>
        </w:tc>
        <w:tc>
          <w:tcPr>
            <w:tcW w:w="2010" w:type="dxa"/>
            <w:tcBorders>
              <w:top w:val="nil"/>
              <w:bottom w:val="nil"/>
            </w:tcBorders>
            <w:vAlign w:val="center"/>
          </w:tcPr>
          <w:p>
            <w:pPr>
              <w:pStyle w:val="24"/>
              <w:spacing w:line="400" w:lineRule="exact"/>
              <w:jc w:val="center"/>
              <w:rPr>
                <w:sz w:val="24"/>
                <w:szCs w:val="24"/>
              </w:rPr>
            </w:pPr>
            <w:r>
              <w:rPr>
                <w:rFonts w:hint="eastAsia"/>
                <w:sz w:val="24"/>
                <w:szCs w:val="24"/>
              </w:rPr>
              <w:t>目整体预留”、</w:t>
            </w:r>
          </w:p>
        </w:tc>
        <w:tc>
          <w:tcPr>
            <w:tcW w:w="2296" w:type="dxa"/>
            <w:tcBorders>
              <w:top w:val="nil"/>
              <w:bottom w:val="nil"/>
            </w:tcBorders>
            <w:vAlign w:val="center"/>
          </w:tcPr>
          <w:p>
            <w:pPr>
              <w:pStyle w:val="24"/>
              <w:spacing w:line="400" w:lineRule="exact"/>
              <w:jc w:val="center"/>
              <w:rPr>
                <w:sz w:val="24"/>
                <w:szCs w:val="24"/>
              </w:rPr>
            </w:pPr>
          </w:p>
        </w:tc>
        <w:tc>
          <w:tcPr>
            <w:tcW w:w="1784" w:type="dxa"/>
            <w:vMerge w:val="continue"/>
            <w:tcBorders>
              <w:top w:val="nil"/>
            </w:tcBorders>
            <w:vAlign w:val="center"/>
          </w:tcPr>
          <w:p>
            <w:pPr>
              <w:spacing w:line="40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ascii="宋体" w:hAnsi="宋体" w:cs="宋体"/>
                <w:sz w:val="24"/>
              </w:rPr>
            </w:pPr>
          </w:p>
        </w:tc>
        <w:tc>
          <w:tcPr>
            <w:tcW w:w="1866" w:type="dxa"/>
            <w:tcBorders>
              <w:top w:val="nil"/>
              <w:bottom w:val="nil"/>
            </w:tcBorders>
            <w:vAlign w:val="center"/>
          </w:tcPr>
          <w:p>
            <w:pPr>
              <w:pStyle w:val="24"/>
              <w:spacing w:line="400" w:lineRule="exact"/>
              <w:jc w:val="center"/>
              <w:rPr>
                <w:sz w:val="24"/>
                <w:szCs w:val="24"/>
              </w:rPr>
            </w:pPr>
          </w:p>
        </w:tc>
        <w:tc>
          <w:tcPr>
            <w:tcW w:w="2010" w:type="dxa"/>
            <w:tcBorders>
              <w:top w:val="nil"/>
              <w:bottom w:val="nil"/>
            </w:tcBorders>
            <w:vAlign w:val="center"/>
          </w:tcPr>
          <w:p>
            <w:pPr>
              <w:pStyle w:val="24"/>
              <w:spacing w:line="400" w:lineRule="exact"/>
              <w:jc w:val="center"/>
              <w:rPr>
                <w:sz w:val="24"/>
                <w:szCs w:val="24"/>
              </w:rPr>
            </w:pPr>
            <w:r>
              <w:rPr>
                <w:rFonts w:hint="eastAsia"/>
                <w:sz w:val="24"/>
                <w:szCs w:val="24"/>
              </w:rPr>
              <w:t>“设置专门采购</w:t>
            </w:r>
          </w:p>
        </w:tc>
        <w:tc>
          <w:tcPr>
            <w:tcW w:w="2296" w:type="dxa"/>
            <w:tcBorders>
              <w:top w:val="nil"/>
              <w:bottom w:val="nil"/>
            </w:tcBorders>
            <w:vAlign w:val="center"/>
          </w:tcPr>
          <w:p>
            <w:pPr>
              <w:pStyle w:val="24"/>
              <w:spacing w:line="400" w:lineRule="exact"/>
              <w:jc w:val="center"/>
              <w:rPr>
                <w:sz w:val="24"/>
                <w:szCs w:val="24"/>
              </w:rPr>
            </w:pPr>
          </w:p>
        </w:tc>
        <w:tc>
          <w:tcPr>
            <w:tcW w:w="1784" w:type="dxa"/>
            <w:vMerge w:val="continue"/>
            <w:tcBorders>
              <w:top w:val="nil"/>
            </w:tcBorders>
            <w:vAlign w:val="center"/>
          </w:tcPr>
          <w:p>
            <w:pPr>
              <w:spacing w:line="40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ascii="宋体" w:hAnsi="宋体" w:cs="宋体"/>
                <w:sz w:val="24"/>
              </w:rPr>
            </w:pPr>
          </w:p>
        </w:tc>
        <w:tc>
          <w:tcPr>
            <w:tcW w:w="1866" w:type="dxa"/>
            <w:tcBorders>
              <w:top w:val="nil"/>
              <w:bottom w:val="nil"/>
            </w:tcBorders>
            <w:vAlign w:val="center"/>
          </w:tcPr>
          <w:p>
            <w:pPr>
              <w:pStyle w:val="24"/>
              <w:spacing w:line="400" w:lineRule="exact"/>
              <w:jc w:val="center"/>
              <w:rPr>
                <w:sz w:val="24"/>
                <w:szCs w:val="24"/>
              </w:rPr>
            </w:pPr>
            <w:r>
              <w:rPr>
                <w:rFonts w:hint="eastAsia"/>
                <w:sz w:val="24"/>
                <w:szCs w:val="24"/>
              </w:rPr>
              <w:t>（填写集中采</w:t>
            </w:r>
          </w:p>
        </w:tc>
        <w:tc>
          <w:tcPr>
            <w:tcW w:w="2010" w:type="dxa"/>
            <w:tcBorders>
              <w:top w:val="nil"/>
              <w:bottom w:val="nil"/>
            </w:tcBorders>
            <w:vAlign w:val="center"/>
          </w:tcPr>
          <w:p>
            <w:pPr>
              <w:pStyle w:val="24"/>
              <w:spacing w:line="400" w:lineRule="exact"/>
              <w:jc w:val="center"/>
              <w:rPr>
                <w:sz w:val="24"/>
                <w:szCs w:val="24"/>
              </w:rPr>
            </w:pPr>
            <w:r>
              <w:rPr>
                <w:rFonts w:hint="eastAsia"/>
                <w:sz w:val="24"/>
                <w:szCs w:val="24"/>
              </w:rPr>
              <w:t>包”、“要求以</w:t>
            </w:r>
          </w:p>
        </w:tc>
        <w:tc>
          <w:tcPr>
            <w:tcW w:w="2296" w:type="dxa"/>
            <w:tcBorders>
              <w:top w:val="nil"/>
              <w:bottom w:val="nil"/>
            </w:tcBorders>
            <w:vAlign w:val="center"/>
          </w:tcPr>
          <w:p>
            <w:pPr>
              <w:pStyle w:val="24"/>
              <w:spacing w:line="400" w:lineRule="exact"/>
              <w:jc w:val="center"/>
              <w:rPr>
                <w:sz w:val="24"/>
                <w:szCs w:val="24"/>
              </w:rPr>
            </w:pPr>
          </w:p>
        </w:tc>
        <w:tc>
          <w:tcPr>
            <w:tcW w:w="1784" w:type="dxa"/>
            <w:vMerge w:val="continue"/>
            <w:tcBorders>
              <w:top w:val="nil"/>
            </w:tcBorders>
            <w:vAlign w:val="center"/>
          </w:tcPr>
          <w:p>
            <w:pPr>
              <w:spacing w:line="40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ascii="宋体" w:hAnsi="宋体" w:cs="宋体"/>
                <w:sz w:val="24"/>
              </w:rPr>
            </w:pPr>
          </w:p>
        </w:tc>
        <w:tc>
          <w:tcPr>
            <w:tcW w:w="1866" w:type="dxa"/>
            <w:tcBorders>
              <w:top w:val="nil"/>
              <w:bottom w:val="nil"/>
            </w:tcBorders>
            <w:vAlign w:val="center"/>
          </w:tcPr>
          <w:p>
            <w:pPr>
              <w:pStyle w:val="24"/>
              <w:spacing w:line="400" w:lineRule="exact"/>
              <w:jc w:val="center"/>
              <w:rPr>
                <w:sz w:val="24"/>
                <w:szCs w:val="24"/>
              </w:rPr>
            </w:pPr>
            <w:r>
              <w:rPr>
                <w:rFonts w:hint="eastAsia"/>
                <w:sz w:val="24"/>
                <w:szCs w:val="24"/>
              </w:rPr>
              <w:t>购目录以内或</w:t>
            </w:r>
          </w:p>
        </w:tc>
        <w:tc>
          <w:tcPr>
            <w:tcW w:w="2010" w:type="dxa"/>
            <w:tcBorders>
              <w:top w:val="nil"/>
              <w:bottom w:val="nil"/>
            </w:tcBorders>
            <w:vAlign w:val="center"/>
          </w:tcPr>
          <w:p>
            <w:pPr>
              <w:pStyle w:val="24"/>
              <w:spacing w:line="400" w:lineRule="exact"/>
              <w:jc w:val="center"/>
              <w:rPr>
                <w:sz w:val="24"/>
                <w:szCs w:val="24"/>
              </w:rPr>
            </w:pPr>
            <w:r>
              <w:rPr>
                <w:rFonts w:hint="eastAsia"/>
                <w:sz w:val="24"/>
                <w:szCs w:val="24"/>
              </w:rPr>
              <w:t>联合体形式参</w:t>
            </w:r>
          </w:p>
        </w:tc>
        <w:tc>
          <w:tcPr>
            <w:tcW w:w="2296" w:type="dxa"/>
            <w:tcBorders>
              <w:top w:val="nil"/>
              <w:bottom w:val="nil"/>
            </w:tcBorders>
            <w:vAlign w:val="center"/>
          </w:tcPr>
          <w:p>
            <w:pPr>
              <w:pStyle w:val="24"/>
              <w:spacing w:line="400" w:lineRule="exact"/>
              <w:jc w:val="center"/>
              <w:rPr>
                <w:sz w:val="24"/>
                <w:szCs w:val="24"/>
              </w:rPr>
            </w:pPr>
            <w:r>
              <w:rPr>
                <w:rFonts w:hint="eastAsia"/>
                <w:sz w:val="24"/>
                <w:szCs w:val="24"/>
              </w:rPr>
              <w:t>（精确到万元）</w:t>
            </w:r>
          </w:p>
        </w:tc>
        <w:tc>
          <w:tcPr>
            <w:tcW w:w="1784" w:type="dxa"/>
            <w:vMerge w:val="continue"/>
            <w:tcBorders>
              <w:top w:val="nil"/>
            </w:tcBorders>
            <w:vAlign w:val="center"/>
          </w:tcPr>
          <w:p>
            <w:pPr>
              <w:spacing w:line="40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ascii="宋体" w:hAnsi="宋体" w:cs="宋体"/>
                <w:sz w:val="24"/>
              </w:rPr>
            </w:pPr>
          </w:p>
        </w:tc>
        <w:tc>
          <w:tcPr>
            <w:tcW w:w="1866" w:type="dxa"/>
            <w:tcBorders>
              <w:top w:val="nil"/>
              <w:bottom w:val="nil"/>
            </w:tcBorders>
            <w:vAlign w:val="center"/>
          </w:tcPr>
          <w:p>
            <w:pPr>
              <w:pStyle w:val="24"/>
              <w:spacing w:line="400" w:lineRule="exact"/>
              <w:jc w:val="center"/>
              <w:rPr>
                <w:sz w:val="24"/>
                <w:szCs w:val="24"/>
              </w:rPr>
            </w:pPr>
            <w:r>
              <w:rPr>
                <w:rFonts w:hint="eastAsia"/>
                <w:sz w:val="24"/>
                <w:szCs w:val="24"/>
              </w:rPr>
              <w:t>者采购限额标</w:t>
            </w:r>
          </w:p>
        </w:tc>
        <w:tc>
          <w:tcPr>
            <w:tcW w:w="2010" w:type="dxa"/>
            <w:tcBorders>
              <w:top w:val="nil"/>
              <w:bottom w:val="nil"/>
            </w:tcBorders>
            <w:vAlign w:val="center"/>
          </w:tcPr>
          <w:p>
            <w:pPr>
              <w:pStyle w:val="24"/>
              <w:spacing w:line="400" w:lineRule="exact"/>
              <w:jc w:val="center"/>
              <w:rPr>
                <w:sz w:val="24"/>
                <w:szCs w:val="24"/>
              </w:rPr>
            </w:pPr>
            <w:r>
              <w:rPr>
                <w:rFonts w:hint="eastAsia"/>
                <w:sz w:val="24"/>
                <w:szCs w:val="24"/>
              </w:rPr>
              <w:t>加”或者“要求</w:t>
            </w:r>
          </w:p>
        </w:tc>
        <w:tc>
          <w:tcPr>
            <w:tcW w:w="2296" w:type="dxa"/>
            <w:tcBorders>
              <w:top w:val="nil"/>
              <w:bottom w:val="nil"/>
            </w:tcBorders>
            <w:vAlign w:val="center"/>
          </w:tcPr>
          <w:p>
            <w:pPr>
              <w:pStyle w:val="24"/>
              <w:spacing w:line="400" w:lineRule="exact"/>
              <w:jc w:val="center"/>
              <w:rPr>
                <w:sz w:val="24"/>
                <w:szCs w:val="24"/>
              </w:rPr>
            </w:pPr>
          </w:p>
        </w:tc>
        <w:tc>
          <w:tcPr>
            <w:tcW w:w="1784" w:type="dxa"/>
            <w:vMerge w:val="continue"/>
            <w:tcBorders>
              <w:top w:val="nil"/>
            </w:tcBorders>
            <w:vAlign w:val="center"/>
          </w:tcPr>
          <w:p>
            <w:pPr>
              <w:spacing w:line="40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ascii="宋体" w:hAnsi="宋体" w:cs="宋体"/>
                <w:sz w:val="24"/>
              </w:rPr>
            </w:pPr>
          </w:p>
        </w:tc>
        <w:tc>
          <w:tcPr>
            <w:tcW w:w="1866" w:type="dxa"/>
            <w:tcBorders>
              <w:top w:val="nil"/>
              <w:bottom w:val="nil"/>
            </w:tcBorders>
            <w:vAlign w:val="center"/>
          </w:tcPr>
          <w:p>
            <w:pPr>
              <w:pStyle w:val="24"/>
              <w:spacing w:line="400" w:lineRule="exact"/>
              <w:jc w:val="center"/>
              <w:rPr>
                <w:sz w:val="24"/>
                <w:szCs w:val="24"/>
              </w:rPr>
            </w:pPr>
            <w:r>
              <w:rPr>
                <w:rFonts w:hint="eastAsia"/>
                <w:sz w:val="24"/>
                <w:szCs w:val="24"/>
              </w:rPr>
              <w:t>准以上的采购项目</w:t>
            </w:r>
          </w:p>
        </w:tc>
        <w:tc>
          <w:tcPr>
            <w:tcW w:w="2010" w:type="dxa"/>
            <w:tcBorders>
              <w:top w:val="nil"/>
              <w:bottom w:val="nil"/>
            </w:tcBorders>
            <w:vAlign w:val="center"/>
          </w:tcPr>
          <w:p>
            <w:pPr>
              <w:pStyle w:val="24"/>
              <w:spacing w:line="400" w:lineRule="exact"/>
              <w:jc w:val="center"/>
              <w:rPr>
                <w:sz w:val="24"/>
                <w:szCs w:val="24"/>
              </w:rPr>
            </w:pPr>
            <w:r>
              <w:rPr>
                <w:rFonts w:hint="eastAsia"/>
                <w:sz w:val="24"/>
                <w:szCs w:val="24"/>
              </w:rPr>
              <w:t>合同分包”，除</w:t>
            </w:r>
          </w:p>
        </w:tc>
        <w:tc>
          <w:tcPr>
            <w:tcW w:w="2296" w:type="dxa"/>
            <w:tcBorders>
              <w:top w:val="nil"/>
              <w:bottom w:val="nil"/>
            </w:tcBorders>
            <w:vAlign w:val="center"/>
          </w:tcPr>
          <w:p>
            <w:pPr>
              <w:pStyle w:val="24"/>
              <w:spacing w:line="400" w:lineRule="exact"/>
              <w:jc w:val="center"/>
              <w:rPr>
                <w:sz w:val="24"/>
                <w:szCs w:val="24"/>
              </w:rPr>
            </w:pPr>
          </w:p>
        </w:tc>
        <w:tc>
          <w:tcPr>
            <w:tcW w:w="1784" w:type="dxa"/>
            <w:vMerge w:val="continue"/>
            <w:tcBorders>
              <w:top w:val="nil"/>
            </w:tcBorders>
            <w:vAlign w:val="center"/>
          </w:tcPr>
          <w:p>
            <w:pPr>
              <w:spacing w:line="40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ascii="宋体" w:hAnsi="宋体" w:cs="宋体"/>
                <w:sz w:val="24"/>
              </w:rPr>
            </w:pPr>
          </w:p>
        </w:tc>
        <w:tc>
          <w:tcPr>
            <w:tcW w:w="1866" w:type="dxa"/>
            <w:tcBorders>
              <w:top w:val="nil"/>
              <w:bottom w:val="nil"/>
            </w:tcBorders>
            <w:vAlign w:val="center"/>
          </w:tcPr>
          <w:p>
            <w:pPr>
              <w:pStyle w:val="24"/>
              <w:spacing w:line="400" w:lineRule="exact"/>
              <w:jc w:val="center"/>
              <w:rPr>
                <w:sz w:val="24"/>
                <w:szCs w:val="24"/>
              </w:rPr>
            </w:pPr>
          </w:p>
        </w:tc>
        <w:tc>
          <w:tcPr>
            <w:tcW w:w="2010" w:type="dxa"/>
            <w:tcBorders>
              <w:top w:val="nil"/>
              <w:bottom w:val="nil"/>
            </w:tcBorders>
            <w:vAlign w:val="center"/>
          </w:tcPr>
          <w:p>
            <w:pPr>
              <w:pStyle w:val="24"/>
              <w:spacing w:line="400" w:lineRule="exact"/>
              <w:jc w:val="center"/>
              <w:rPr>
                <w:sz w:val="24"/>
                <w:szCs w:val="24"/>
              </w:rPr>
            </w:pPr>
            <w:r>
              <w:rPr>
                <w:rFonts w:hint="eastAsia"/>
                <w:sz w:val="24"/>
                <w:szCs w:val="24"/>
              </w:rPr>
              <w:t>“采购项目全部</w:t>
            </w:r>
          </w:p>
        </w:tc>
        <w:tc>
          <w:tcPr>
            <w:tcW w:w="2296" w:type="dxa"/>
            <w:tcBorders>
              <w:top w:val="nil"/>
              <w:bottom w:val="nil"/>
            </w:tcBorders>
            <w:vAlign w:val="center"/>
          </w:tcPr>
          <w:p>
            <w:pPr>
              <w:pStyle w:val="24"/>
              <w:spacing w:line="400" w:lineRule="exact"/>
              <w:jc w:val="center"/>
              <w:rPr>
                <w:sz w:val="24"/>
                <w:szCs w:val="24"/>
              </w:rPr>
            </w:pPr>
          </w:p>
        </w:tc>
        <w:tc>
          <w:tcPr>
            <w:tcW w:w="1784" w:type="dxa"/>
            <w:vMerge w:val="continue"/>
            <w:tcBorders>
              <w:top w:val="nil"/>
            </w:tcBorders>
            <w:vAlign w:val="center"/>
          </w:tcPr>
          <w:p>
            <w:pPr>
              <w:spacing w:line="40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ascii="宋体" w:hAnsi="宋体" w:cs="宋体"/>
                <w:sz w:val="24"/>
              </w:rPr>
            </w:pPr>
          </w:p>
        </w:tc>
        <w:tc>
          <w:tcPr>
            <w:tcW w:w="1866" w:type="dxa"/>
            <w:tcBorders>
              <w:top w:val="nil"/>
              <w:bottom w:val="nil"/>
            </w:tcBorders>
            <w:vAlign w:val="center"/>
          </w:tcPr>
          <w:p>
            <w:pPr>
              <w:pStyle w:val="24"/>
              <w:spacing w:line="400" w:lineRule="exact"/>
              <w:jc w:val="center"/>
              <w:rPr>
                <w:sz w:val="24"/>
                <w:szCs w:val="24"/>
              </w:rPr>
            </w:pPr>
          </w:p>
        </w:tc>
        <w:tc>
          <w:tcPr>
            <w:tcW w:w="2010" w:type="dxa"/>
            <w:tcBorders>
              <w:top w:val="nil"/>
              <w:bottom w:val="nil"/>
            </w:tcBorders>
            <w:vAlign w:val="center"/>
          </w:tcPr>
          <w:p>
            <w:pPr>
              <w:pStyle w:val="24"/>
              <w:spacing w:line="400" w:lineRule="exact"/>
              <w:jc w:val="center"/>
              <w:rPr>
                <w:sz w:val="24"/>
                <w:szCs w:val="24"/>
              </w:rPr>
            </w:pPr>
            <w:r>
              <w:rPr>
                <w:rFonts w:hint="eastAsia"/>
                <w:sz w:val="24"/>
                <w:szCs w:val="24"/>
              </w:rPr>
              <w:t>预留”外，还应</w:t>
            </w:r>
          </w:p>
        </w:tc>
        <w:tc>
          <w:tcPr>
            <w:tcW w:w="2296" w:type="dxa"/>
            <w:tcBorders>
              <w:top w:val="nil"/>
              <w:bottom w:val="nil"/>
            </w:tcBorders>
            <w:vAlign w:val="center"/>
          </w:tcPr>
          <w:p>
            <w:pPr>
              <w:pStyle w:val="24"/>
              <w:spacing w:line="400" w:lineRule="exact"/>
              <w:jc w:val="center"/>
              <w:rPr>
                <w:sz w:val="24"/>
                <w:szCs w:val="24"/>
              </w:rPr>
            </w:pPr>
          </w:p>
        </w:tc>
        <w:tc>
          <w:tcPr>
            <w:tcW w:w="1784" w:type="dxa"/>
            <w:vMerge w:val="continue"/>
            <w:tcBorders>
              <w:top w:val="nil"/>
            </w:tcBorders>
            <w:vAlign w:val="center"/>
          </w:tcPr>
          <w:p>
            <w:pPr>
              <w:spacing w:line="40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ascii="宋体" w:hAnsi="宋体" w:cs="宋体"/>
                <w:sz w:val="24"/>
              </w:rPr>
            </w:pPr>
          </w:p>
        </w:tc>
        <w:tc>
          <w:tcPr>
            <w:tcW w:w="1866" w:type="dxa"/>
            <w:tcBorders>
              <w:top w:val="nil"/>
              <w:bottom w:val="nil"/>
            </w:tcBorders>
            <w:vAlign w:val="center"/>
          </w:tcPr>
          <w:p>
            <w:pPr>
              <w:pStyle w:val="24"/>
              <w:spacing w:line="400" w:lineRule="exact"/>
              <w:jc w:val="center"/>
              <w:rPr>
                <w:sz w:val="24"/>
                <w:szCs w:val="24"/>
              </w:rPr>
            </w:pPr>
          </w:p>
        </w:tc>
        <w:tc>
          <w:tcPr>
            <w:tcW w:w="2010" w:type="dxa"/>
            <w:tcBorders>
              <w:top w:val="nil"/>
              <w:bottom w:val="nil"/>
            </w:tcBorders>
            <w:vAlign w:val="center"/>
          </w:tcPr>
          <w:p>
            <w:pPr>
              <w:pStyle w:val="24"/>
              <w:spacing w:line="400" w:lineRule="exact"/>
              <w:jc w:val="center"/>
              <w:rPr>
                <w:sz w:val="24"/>
                <w:szCs w:val="24"/>
              </w:rPr>
            </w:pPr>
            <w:r>
              <w:rPr>
                <w:rFonts w:hint="eastAsia"/>
                <w:sz w:val="24"/>
                <w:szCs w:val="24"/>
              </w:rPr>
              <w:t>当填写预留给中</w:t>
            </w:r>
          </w:p>
        </w:tc>
        <w:tc>
          <w:tcPr>
            <w:tcW w:w="2296" w:type="dxa"/>
            <w:tcBorders>
              <w:top w:val="nil"/>
              <w:bottom w:val="nil"/>
            </w:tcBorders>
            <w:vAlign w:val="center"/>
          </w:tcPr>
          <w:p>
            <w:pPr>
              <w:pStyle w:val="24"/>
              <w:spacing w:line="400" w:lineRule="exact"/>
              <w:jc w:val="center"/>
              <w:rPr>
                <w:sz w:val="24"/>
                <w:szCs w:val="24"/>
              </w:rPr>
            </w:pPr>
          </w:p>
        </w:tc>
        <w:tc>
          <w:tcPr>
            <w:tcW w:w="1784" w:type="dxa"/>
            <w:vMerge w:val="continue"/>
            <w:tcBorders>
              <w:top w:val="nil"/>
            </w:tcBorders>
            <w:vAlign w:val="center"/>
          </w:tcPr>
          <w:p>
            <w:pPr>
              <w:spacing w:line="40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ascii="宋体" w:hAnsi="宋体" w:cs="宋体"/>
                <w:sz w:val="24"/>
              </w:rPr>
            </w:pPr>
          </w:p>
        </w:tc>
        <w:tc>
          <w:tcPr>
            <w:tcW w:w="1866" w:type="dxa"/>
            <w:tcBorders>
              <w:top w:val="nil"/>
            </w:tcBorders>
            <w:vAlign w:val="center"/>
          </w:tcPr>
          <w:p>
            <w:pPr>
              <w:pStyle w:val="24"/>
              <w:spacing w:line="400" w:lineRule="exact"/>
              <w:jc w:val="center"/>
              <w:rPr>
                <w:sz w:val="24"/>
                <w:szCs w:val="24"/>
              </w:rPr>
            </w:pPr>
          </w:p>
        </w:tc>
        <w:tc>
          <w:tcPr>
            <w:tcW w:w="2010" w:type="dxa"/>
            <w:tcBorders>
              <w:top w:val="nil"/>
            </w:tcBorders>
            <w:vAlign w:val="center"/>
          </w:tcPr>
          <w:p>
            <w:pPr>
              <w:pStyle w:val="24"/>
              <w:spacing w:line="400" w:lineRule="exact"/>
              <w:jc w:val="center"/>
              <w:rPr>
                <w:sz w:val="24"/>
                <w:szCs w:val="24"/>
              </w:rPr>
            </w:pPr>
            <w:r>
              <w:rPr>
                <w:rFonts w:hint="eastAsia"/>
                <w:sz w:val="24"/>
                <w:szCs w:val="24"/>
              </w:rPr>
              <w:t>小企业的比例）</w:t>
            </w:r>
          </w:p>
        </w:tc>
        <w:tc>
          <w:tcPr>
            <w:tcW w:w="2296" w:type="dxa"/>
            <w:tcBorders>
              <w:top w:val="nil"/>
            </w:tcBorders>
            <w:vAlign w:val="center"/>
          </w:tcPr>
          <w:p>
            <w:pPr>
              <w:pStyle w:val="24"/>
              <w:spacing w:line="400" w:lineRule="exact"/>
              <w:jc w:val="center"/>
              <w:rPr>
                <w:sz w:val="24"/>
                <w:szCs w:val="24"/>
              </w:rPr>
            </w:pPr>
          </w:p>
        </w:tc>
        <w:tc>
          <w:tcPr>
            <w:tcW w:w="1784" w:type="dxa"/>
            <w:vMerge w:val="continue"/>
            <w:tcBorders>
              <w:top w:val="nil"/>
            </w:tcBorders>
            <w:vAlign w:val="center"/>
          </w:tcPr>
          <w:p>
            <w:pPr>
              <w:spacing w:line="40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4"/>
              <w:spacing w:line="400" w:lineRule="exact"/>
              <w:jc w:val="center"/>
              <w:rPr>
                <w:sz w:val="24"/>
                <w:szCs w:val="24"/>
              </w:rPr>
            </w:pPr>
            <w:r>
              <w:rPr>
                <w:rFonts w:hint="eastAsia"/>
                <w:sz w:val="24"/>
                <w:szCs w:val="24"/>
              </w:rPr>
              <w:t>……</w:t>
            </w:r>
          </w:p>
        </w:tc>
        <w:tc>
          <w:tcPr>
            <w:tcW w:w="1866" w:type="dxa"/>
            <w:vAlign w:val="center"/>
          </w:tcPr>
          <w:p>
            <w:pPr>
              <w:pStyle w:val="24"/>
              <w:spacing w:line="400" w:lineRule="exact"/>
              <w:jc w:val="center"/>
              <w:rPr>
                <w:sz w:val="24"/>
                <w:szCs w:val="24"/>
              </w:rPr>
            </w:pPr>
            <w:r>
              <w:rPr>
                <w:rFonts w:hint="eastAsia"/>
                <w:sz w:val="24"/>
                <w:szCs w:val="24"/>
              </w:rPr>
              <w:t>……</w:t>
            </w:r>
          </w:p>
        </w:tc>
        <w:tc>
          <w:tcPr>
            <w:tcW w:w="2010" w:type="dxa"/>
            <w:vAlign w:val="center"/>
          </w:tcPr>
          <w:p>
            <w:pPr>
              <w:pStyle w:val="24"/>
              <w:spacing w:line="400" w:lineRule="exact"/>
              <w:jc w:val="center"/>
              <w:rPr>
                <w:sz w:val="24"/>
                <w:szCs w:val="24"/>
              </w:rPr>
            </w:pPr>
            <w:r>
              <w:rPr>
                <w:rFonts w:hint="eastAsia"/>
                <w:sz w:val="24"/>
                <w:szCs w:val="24"/>
              </w:rPr>
              <w:t>……</w:t>
            </w:r>
          </w:p>
        </w:tc>
        <w:tc>
          <w:tcPr>
            <w:tcW w:w="2296" w:type="dxa"/>
            <w:vAlign w:val="center"/>
          </w:tcPr>
          <w:p>
            <w:pPr>
              <w:pStyle w:val="24"/>
              <w:spacing w:line="400" w:lineRule="exact"/>
              <w:jc w:val="center"/>
              <w:rPr>
                <w:sz w:val="24"/>
                <w:szCs w:val="24"/>
              </w:rPr>
            </w:pPr>
            <w:r>
              <w:rPr>
                <w:rFonts w:hint="eastAsia"/>
                <w:sz w:val="24"/>
                <w:szCs w:val="24"/>
              </w:rPr>
              <w:t>……</w:t>
            </w:r>
          </w:p>
        </w:tc>
        <w:tc>
          <w:tcPr>
            <w:tcW w:w="1784" w:type="dxa"/>
            <w:vAlign w:val="center"/>
          </w:tcPr>
          <w:p>
            <w:pPr>
              <w:pStyle w:val="24"/>
              <w:spacing w:line="400" w:lineRule="exact"/>
              <w:jc w:val="center"/>
              <w:rPr>
                <w:sz w:val="24"/>
                <w:szCs w:val="24"/>
              </w:rPr>
            </w:pPr>
            <w:r>
              <w:rPr>
                <w:rFonts w:hint="eastAsia"/>
                <w:sz w:val="24"/>
                <w:szCs w:val="24"/>
              </w:rPr>
              <w:t>……</w:t>
            </w:r>
          </w:p>
        </w:tc>
      </w:tr>
    </w:tbl>
    <w:p>
      <w:pPr>
        <w:pStyle w:val="6"/>
        <w:tabs>
          <w:tab w:val="left" w:pos="562"/>
          <w:tab w:val="left" w:pos="3372"/>
          <w:tab w:val="left" w:pos="3653"/>
        </w:tabs>
        <w:spacing w:after="0" w:line="400" w:lineRule="exact"/>
        <w:rPr>
          <w:rFonts w:ascii="宋体" w:hAnsi="宋体" w:cs="宋体"/>
          <w:sz w:val="24"/>
        </w:rPr>
      </w:pPr>
      <w:r>
        <w:rPr>
          <w:rFonts w:hint="eastAsia" w:ascii="宋体" w:hAnsi="宋体" w:cs="宋体"/>
          <w:sz w:val="24"/>
        </w:rPr>
        <w:t>部门（单位）名称： 日期：</w:t>
      </w:r>
    </w:p>
    <w:p>
      <w:pPr>
        <w:pStyle w:val="6"/>
        <w:tabs>
          <w:tab w:val="left" w:pos="562"/>
          <w:tab w:val="left" w:pos="3372"/>
          <w:tab w:val="left" w:pos="3653"/>
        </w:tabs>
        <w:spacing w:after="0" w:line="400" w:lineRule="exact"/>
        <w:rPr>
          <w:rFonts w:ascii="宋体" w:hAnsi="宋体" w:cs="宋体"/>
          <w:sz w:val="24"/>
        </w:rPr>
      </w:pPr>
    </w:p>
    <w:p>
      <w:pPr>
        <w:pStyle w:val="16"/>
        <w:spacing w:before="0" w:after="0" w:line="400" w:lineRule="exact"/>
        <w:jc w:val="both"/>
        <w:outlineLvl w:val="9"/>
        <w:rPr>
          <w:rFonts w:ascii="宋体" w:hAnsi="宋体" w:eastAsia="宋体" w:cs="宋体"/>
          <w:sz w:val="24"/>
          <w:szCs w:val="24"/>
        </w:rPr>
      </w:pPr>
    </w:p>
    <w:p>
      <w:pPr>
        <w:tabs>
          <w:tab w:val="left" w:pos="360"/>
        </w:tabs>
        <w:spacing w:line="400" w:lineRule="exact"/>
        <w:outlineLvl w:val="1"/>
        <w:rPr>
          <w:rFonts w:ascii="宋体" w:hAnsi="宋体" w:cs="宋体"/>
          <w:b/>
          <w:bCs/>
          <w:sz w:val="24"/>
        </w:rPr>
      </w:pPr>
      <w:r>
        <w:rPr>
          <w:rFonts w:hint="eastAsia" w:ascii="宋体" w:hAnsi="宋体" w:cs="宋体"/>
          <w:sz w:val="24"/>
        </w:rPr>
        <w:br w:type="page"/>
      </w:r>
      <w:r>
        <w:rPr>
          <w:rFonts w:ascii="宋体" w:hAnsi="宋体" w:cs="宋体"/>
          <w:b/>
          <w:bCs/>
          <w:sz w:val="24"/>
        </w:rPr>
        <w:t>2.</w:t>
      </w:r>
      <w:r>
        <w:rPr>
          <w:rFonts w:hint="eastAsia" w:ascii="宋体" w:hAnsi="宋体" w:cs="宋体"/>
          <w:b/>
          <w:bCs/>
          <w:sz w:val="24"/>
          <w:lang w:eastAsia="zh-CN"/>
        </w:rPr>
        <w:t>工业和信息化部</w:t>
      </w:r>
      <w:r>
        <w:rPr>
          <w:rFonts w:hint="eastAsia" w:ascii="宋体" w:hAnsi="宋体" w:cs="宋体"/>
          <w:b/>
          <w:bCs/>
          <w:sz w:val="24"/>
        </w:rPr>
        <w:t>、国家统计局、国家发展和改革委员会、财政部《关于印发〈中小企业划型标准规定〉的通知》（工信部联企〔2011〕300 号）</w:t>
      </w:r>
    </w:p>
    <w:p>
      <w:pPr>
        <w:pStyle w:val="6"/>
        <w:tabs>
          <w:tab w:val="left" w:pos="562"/>
          <w:tab w:val="left" w:pos="3372"/>
          <w:tab w:val="left" w:pos="3653"/>
        </w:tabs>
        <w:spacing w:after="0" w:line="400" w:lineRule="exact"/>
        <w:rPr>
          <w:rFonts w:ascii="宋体" w:hAnsi="宋体" w:cs="宋体"/>
          <w:sz w:val="24"/>
        </w:rPr>
      </w:pPr>
    </w:p>
    <w:p>
      <w:pPr>
        <w:spacing w:line="400" w:lineRule="exact"/>
        <w:jc w:val="center"/>
        <w:rPr>
          <w:rFonts w:ascii="宋体" w:hAnsi="宋体" w:cs="宋体"/>
          <w:b/>
          <w:bCs/>
          <w:sz w:val="24"/>
        </w:rPr>
      </w:pPr>
      <w:r>
        <w:rPr>
          <w:rFonts w:hint="eastAsia" w:ascii="宋体" w:hAnsi="宋体" w:cs="宋体"/>
          <w:b/>
          <w:bCs/>
          <w:sz w:val="24"/>
        </w:rPr>
        <w:t>关于印发中小企业划型标准规定的通知</w:t>
      </w:r>
    </w:p>
    <w:p>
      <w:pPr>
        <w:spacing w:line="400" w:lineRule="exact"/>
        <w:jc w:val="center"/>
        <w:rPr>
          <w:rFonts w:ascii="宋体" w:hAnsi="宋体" w:cs="宋体"/>
          <w:sz w:val="24"/>
        </w:rPr>
      </w:pPr>
      <w:r>
        <w:rPr>
          <w:rFonts w:hint="eastAsia" w:ascii="宋体" w:hAnsi="宋体" w:cs="宋体"/>
          <w:sz w:val="24"/>
        </w:rPr>
        <w:t>工信部联企业〔2011〕300号</w:t>
      </w:r>
    </w:p>
    <w:p>
      <w:pPr>
        <w:spacing w:line="400" w:lineRule="exact"/>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spacing w:line="400" w:lineRule="exact"/>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400" w:lineRule="exact"/>
        <w:ind w:firstLine="480" w:firstLineChars="200"/>
        <w:jc w:val="right"/>
        <w:rPr>
          <w:rFonts w:ascii="宋体" w:hAnsi="宋体" w:cs="宋体"/>
          <w:sz w:val="24"/>
        </w:rPr>
      </w:pPr>
      <w:r>
        <w:rPr>
          <w:rFonts w:hint="eastAsia" w:ascii="宋体" w:hAnsi="宋体" w:cs="宋体"/>
          <w:sz w:val="24"/>
        </w:rPr>
        <w:t>工业和信息化部 国家统计局</w:t>
      </w:r>
    </w:p>
    <w:p>
      <w:pPr>
        <w:spacing w:line="400" w:lineRule="exact"/>
        <w:ind w:firstLine="480" w:firstLineChars="200"/>
        <w:jc w:val="right"/>
        <w:rPr>
          <w:rFonts w:ascii="宋体" w:hAnsi="宋体" w:cs="宋体"/>
          <w:sz w:val="24"/>
        </w:rPr>
      </w:pPr>
      <w:r>
        <w:rPr>
          <w:rFonts w:hint="eastAsia" w:ascii="宋体" w:hAnsi="宋体" w:cs="宋体"/>
          <w:sz w:val="24"/>
        </w:rPr>
        <w:t>国家发展和改革委员会 财政部</w:t>
      </w:r>
    </w:p>
    <w:p>
      <w:pPr>
        <w:spacing w:line="400" w:lineRule="exact"/>
        <w:ind w:firstLine="480" w:firstLineChars="200"/>
        <w:jc w:val="right"/>
        <w:rPr>
          <w:rFonts w:ascii="宋体" w:hAnsi="宋体" w:cs="宋体"/>
          <w:sz w:val="24"/>
        </w:rPr>
      </w:pPr>
      <w:r>
        <w:rPr>
          <w:rFonts w:hint="eastAsia" w:ascii="宋体" w:hAnsi="宋体" w:cs="宋体"/>
          <w:sz w:val="24"/>
        </w:rPr>
        <w:t>二○一一年六月十八日</w:t>
      </w:r>
    </w:p>
    <w:p>
      <w:pPr>
        <w:spacing w:line="400" w:lineRule="exact"/>
        <w:ind w:firstLine="480" w:firstLineChars="200"/>
        <w:rPr>
          <w:rFonts w:ascii="宋体" w:hAnsi="宋体" w:cs="宋体"/>
          <w:sz w:val="24"/>
        </w:rPr>
      </w:pPr>
    </w:p>
    <w:p>
      <w:pPr>
        <w:pStyle w:val="6"/>
        <w:spacing w:after="0" w:line="400" w:lineRule="exact"/>
        <w:rPr>
          <w:rFonts w:ascii="宋体" w:hAnsi="宋体" w:cs="宋体"/>
          <w:sz w:val="24"/>
        </w:rPr>
      </w:pPr>
    </w:p>
    <w:p>
      <w:pPr>
        <w:spacing w:line="400" w:lineRule="exact"/>
        <w:rPr>
          <w:rFonts w:ascii="宋体" w:hAnsi="宋体" w:cs="宋体"/>
          <w:sz w:val="24"/>
        </w:rPr>
      </w:pPr>
    </w:p>
    <w:p>
      <w:pPr>
        <w:pStyle w:val="6"/>
        <w:spacing w:after="0" w:line="400" w:lineRule="exact"/>
        <w:rPr>
          <w:rFonts w:ascii="宋体" w:hAnsi="宋体" w:cs="宋体"/>
          <w:sz w:val="24"/>
        </w:rPr>
      </w:pPr>
    </w:p>
    <w:p>
      <w:pPr>
        <w:spacing w:line="400" w:lineRule="exact"/>
        <w:rPr>
          <w:rFonts w:ascii="宋体" w:hAnsi="宋体" w:cs="宋体"/>
          <w:sz w:val="24"/>
        </w:rPr>
      </w:pPr>
    </w:p>
    <w:p>
      <w:pPr>
        <w:spacing w:line="400" w:lineRule="exact"/>
      </w:pPr>
    </w:p>
    <w:p>
      <w:pPr>
        <w:pStyle w:val="6"/>
        <w:spacing w:after="0" w:line="400" w:lineRule="exact"/>
      </w:pP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rPr>
          <w:rFonts w:ascii="宋体" w:hAnsi="宋体" w:cs="宋体"/>
          <w:b/>
          <w:bCs/>
          <w:sz w:val="24"/>
        </w:rPr>
      </w:pPr>
      <w:r>
        <w:rPr>
          <w:rFonts w:hint="eastAsia" w:ascii="宋体" w:hAnsi="宋体" w:cs="宋体"/>
          <w:b/>
          <w:bCs/>
          <w:sz w:val="24"/>
        </w:rPr>
        <w:br w:type="page"/>
      </w:r>
    </w:p>
    <w:p>
      <w:pPr>
        <w:spacing w:line="400" w:lineRule="exact"/>
        <w:jc w:val="center"/>
        <w:rPr>
          <w:rFonts w:ascii="宋体" w:hAnsi="宋体" w:cs="宋体"/>
          <w:b/>
          <w:bCs/>
          <w:sz w:val="24"/>
        </w:rPr>
      </w:pPr>
      <w:r>
        <w:rPr>
          <w:rFonts w:hint="eastAsia" w:ascii="宋体" w:hAnsi="宋体" w:cs="宋体"/>
          <w:b/>
          <w:bCs/>
          <w:sz w:val="24"/>
        </w:rPr>
        <w:t xml:space="preserve">中小企业划型标准规定 </w:t>
      </w:r>
    </w:p>
    <w:p>
      <w:pPr>
        <w:spacing w:line="400" w:lineRule="exact"/>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400" w:lineRule="exact"/>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400" w:lineRule="exact"/>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400" w:lineRule="exact"/>
        <w:ind w:firstLine="480" w:firstLineChars="200"/>
        <w:rPr>
          <w:rFonts w:ascii="宋体" w:hAnsi="宋体" w:cs="宋体"/>
          <w:sz w:val="24"/>
        </w:rPr>
      </w:pPr>
      <w:r>
        <w:rPr>
          <w:rFonts w:hint="eastAsia" w:ascii="宋体" w:hAnsi="宋体" w:cs="宋体"/>
          <w:sz w:val="24"/>
        </w:rPr>
        <w:t xml:space="preserve">四、各行业划型标准为： </w:t>
      </w:r>
    </w:p>
    <w:p>
      <w:pPr>
        <w:spacing w:line="400" w:lineRule="exact"/>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400" w:lineRule="exact"/>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400" w:lineRule="exact"/>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400" w:lineRule="exact"/>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400" w:lineRule="exact"/>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400" w:lineRule="exact"/>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400" w:lineRule="exact"/>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400" w:lineRule="exact"/>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400" w:lineRule="exact"/>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400" w:lineRule="exact"/>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400" w:lineRule="exact"/>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400" w:lineRule="exact"/>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400" w:lineRule="exact"/>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400" w:lineRule="exact"/>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400" w:lineRule="exact"/>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400" w:lineRule="exact"/>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400" w:lineRule="exact"/>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spacing w:line="400" w:lineRule="exact"/>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400" w:lineRule="exact"/>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400" w:lineRule="exact"/>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400" w:lineRule="exact"/>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spacing w:line="400" w:lineRule="exact"/>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spacing w:line="400" w:lineRule="exact"/>
        <w:ind w:firstLine="480" w:firstLineChars="200"/>
        <w:rPr>
          <w:rFonts w:ascii="宋体" w:hAnsi="宋体" w:cs="宋体"/>
          <w:sz w:val="24"/>
        </w:rPr>
      </w:pPr>
    </w:p>
    <w:p>
      <w:pPr>
        <w:pStyle w:val="16"/>
        <w:spacing w:before="0" w:after="0" w:line="400" w:lineRule="exact"/>
        <w:jc w:val="both"/>
        <w:outlineLvl w:val="9"/>
        <w:rPr>
          <w:rFonts w:ascii="宋体" w:hAnsi="宋体" w:eastAsia="宋体" w:cs="宋体"/>
          <w:sz w:val="24"/>
          <w:szCs w:val="24"/>
        </w:rPr>
      </w:pPr>
    </w:p>
    <w:p>
      <w:pPr>
        <w:tabs>
          <w:tab w:val="left" w:pos="360"/>
        </w:tabs>
        <w:spacing w:line="400" w:lineRule="exact"/>
        <w:outlineLvl w:val="1"/>
        <w:rPr>
          <w:rFonts w:ascii="宋体" w:hAnsi="宋体" w:cs="宋体"/>
          <w:sz w:val="24"/>
        </w:rPr>
      </w:pPr>
      <w:r>
        <w:rPr>
          <w:rFonts w:hint="eastAsia" w:ascii="宋体" w:hAnsi="宋体" w:cs="宋体"/>
          <w:b/>
          <w:bCs/>
          <w:sz w:val="24"/>
        </w:rPr>
        <w:br w:type="page"/>
      </w:r>
      <w:r>
        <w:rPr>
          <w:rFonts w:ascii="宋体" w:hAnsi="宋体" w:cs="宋体"/>
          <w:b/>
          <w:bCs/>
          <w:sz w:val="24"/>
        </w:rPr>
        <w:t>3.</w:t>
      </w:r>
      <w:r>
        <w:rPr>
          <w:rFonts w:hint="eastAsia" w:ascii="宋体" w:hAnsi="宋体" w:cs="宋体"/>
          <w:b/>
          <w:bCs/>
          <w:sz w:val="24"/>
        </w:rPr>
        <w:t>国家统计局《关于印发〈统计上大中小微型企业划分办法（2017）〉的通知》</w:t>
      </w:r>
    </w:p>
    <w:p>
      <w:pPr>
        <w:widowControl/>
        <w:shd w:val="clear" w:color="auto" w:fill="FFFFFF"/>
        <w:spacing w:line="400" w:lineRule="exact"/>
        <w:jc w:val="center"/>
        <w:rPr>
          <w:rFonts w:ascii="宋体" w:hAnsi="宋体" w:cs="宋体"/>
          <w:b/>
          <w:bCs/>
          <w:kern w:val="0"/>
          <w:sz w:val="24"/>
        </w:rPr>
      </w:pPr>
    </w:p>
    <w:p>
      <w:pPr>
        <w:widowControl/>
        <w:shd w:val="clear" w:color="auto" w:fill="FFFFFF"/>
        <w:spacing w:line="400" w:lineRule="exact"/>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400" w:lineRule="exact"/>
        <w:jc w:val="left"/>
        <w:rPr>
          <w:rFonts w:ascii="宋体" w:hAnsi="宋体" w:cs="宋体"/>
          <w:kern w:val="0"/>
          <w:sz w:val="24"/>
        </w:rPr>
      </w:pPr>
      <w:r>
        <w:rPr>
          <w:rFonts w:hint="eastAsia" w:ascii="宋体" w:hAnsi="宋体" w:cs="宋体"/>
          <w:kern w:val="0"/>
          <w:sz w:val="24"/>
        </w:rPr>
        <w:t> </w:t>
      </w:r>
    </w:p>
    <w:p>
      <w:pPr>
        <w:widowControl/>
        <w:shd w:val="clear" w:color="auto" w:fill="FFFFFF"/>
        <w:spacing w:line="400" w:lineRule="exact"/>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400" w:lineRule="exact"/>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400" w:lineRule="exact"/>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400" w:lineRule="exact"/>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400" w:lineRule="exact"/>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400" w:lineRule="exact"/>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400" w:lineRule="exact"/>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spacing w:line="400" w:lineRule="exact"/>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spacing w:line="400" w:lineRule="exact"/>
        <w:ind w:firstLine="480" w:firstLineChars="200"/>
        <w:jc w:val="left"/>
        <w:rPr>
          <w:rFonts w:ascii="宋体" w:hAnsi="宋体" w:cs="宋体"/>
          <w:kern w:val="0"/>
          <w:sz w:val="24"/>
        </w:rPr>
      </w:pPr>
      <w:r>
        <w:rPr>
          <w:rFonts w:hint="eastAsia" w:ascii="宋体" w:hAnsi="宋体" w:cs="宋体"/>
          <w:kern w:val="0"/>
          <w:sz w:val="24"/>
        </w:rPr>
        <w:t> </w:t>
      </w:r>
    </w:p>
    <w:p>
      <w:pPr>
        <w:pStyle w:val="6"/>
        <w:spacing w:after="0" w:line="400" w:lineRule="exact"/>
        <w:rPr>
          <w:rFonts w:ascii="宋体" w:hAnsi="宋体" w:cs="宋体"/>
          <w:kern w:val="0"/>
          <w:sz w:val="24"/>
        </w:rPr>
      </w:pPr>
    </w:p>
    <w:p>
      <w:pPr>
        <w:spacing w:line="400" w:lineRule="exact"/>
        <w:rPr>
          <w:rFonts w:ascii="宋体" w:hAnsi="宋体" w:cs="宋体"/>
          <w:kern w:val="0"/>
          <w:sz w:val="24"/>
        </w:rPr>
      </w:pPr>
    </w:p>
    <w:p>
      <w:pPr>
        <w:pStyle w:val="6"/>
        <w:spacing w:after="0" w:line="400" w:lineRule="exact"/>
        <w:rPr>
          <w:rFonts w:ascii="宋体" w:hAnsi="宋体" w:cs="宋体"/>
          <w:kern w:val="0"/>
          <w:sz w:val="24"/>
        </w:rPr>
      </w:pPr>
    </w:p>
    <w:p>
      <w:r>
        <w:br w:type="page"/>
      </w:r>
    </w:p>
    <w:p>
      <w:pPr>
        <w:widowControl/>
        <w:shd w:val="clear" w:color="auto" w:fill="FFFFFF"/>
        <w:spacing w:line="400" w:lineRule="exact"/>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400" w:lineRule="exact"/>
        <w:ind w:firstLine="480" w:firstLineChars="200"/>
        <w:jc w:val="left"/>
        <w:rPr>
          <w:rFonts w:ascii="宋体" w:hAnsi="宋体" w:cs="宋体"/>
          <w:kern w:val="0"/>
          <w:sz w:val="24"/>
        </w:rPr>
      </w:pPr>
    </w:p>
    <w:p>
      <w:pPr>
        <w:widowControl/>
        <w:shd w:val="clear" w:color="auto" w:fill="FFFFFF"/>
        <w:spacing w:line="400" w:lineRule="exact"/>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400" w:lineRule="exact"/>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400" w:lineRule="exact"/>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400" w:lineRule="exact"/>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400" w:lineRule="exact"/>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400" w:lineRule="exact"/>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400" w:lineRule="exact"/>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400" w:lineRule="exact"/>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spacing w:line="400" w:lineRule="exact"/>
        <w:jc w:val="left"/>
        <w:rPr>
          <w:rFonts w:ascii="宋体" w:hAnsi="宋体" w:cs="宋体"/>
          <w:kern w:val="0"/>
          <w:sz w:val="24"/>
        </w:rPr>
      </w:pPr>
    </w:p>
    <w:p>
      <w:pPr>
        <w:pStyle w:val="6"/>
        <w:spacing w:after="0" w:line="400" w:lineRule="exact"/>
      </w:pPr>
    </w:p>
    <w:p>
      <w:pPr>
        <w:widowControl/>
        <w:jc w:val="left"/>
        <w:rPr>
          <w:rFonts w:ascii="宋体" w:hAnsi="宋体" w:cs="宋体"/>
          <w:kern w:val="0"/>
          <w:sz w:val="24"/>
        </w:rPr>
      </w:pPr>
      <w:r>
        <w:rPr>
          <w:rFonts w:hint="eastAsia" w:ascii="宋体" w:hAnsi="宋体" w:cs="宋体"/>
          <w:kern w:val="0"/>
          <w:sz w:val="24"/>
        </w:rPr>
        <w:br w:type="page"/>
      </w:r>
    </w:p>
    <w:p>
      <w:pPr>
        <w:widowControl/>
        <w:spacing w:line="400" w:lineRule="exact"/>
        <w:jc w:val="left"/>
        <w:rPr>
          <w:rFonts w:ascii="宋体" w:hAnsi="宋体" w:cs="宋体"/>
          <w:kern w:val="0"/>
          <w:sz w:val="24"/>
        </w:rPr>
      </w:pPr>
      <w:r>
        <w:rPr>
          <w:rFonts w:hint="eastAsia" w:ascii="宋体" w:hAnsi="宋体" w:cs="宋体"/>
          <w:kern w:val="0"/>
          <w:sz w:val="24"/>
        </w:rPr>
        <w:t>附表：</w:t>
      </w:r>
    </w:p>
    <w:p>
      <w:pPr>
        <w:widowControl/>
        <w:spacing w:line="400" w:lineRule="exact"/>
        <w:jc w:val="center"/>
        <w:rPr>
          <w:rFonts w:ascii="宋体" w:hAnsi="宋体" w:cs="宋体"/>
          <w:kern w:val="0"/>
          <w:sz w:val="24"/>
        </w:rPr>
      </w:pPr>
      <w:r>
        <w:rPr>
          <w:rFonts w:hint="eastAsia" w:ascii="宋体" w:hAnsi="宋体" w:cs="宋体"/>
          <w:kern w:val="0"/>
          <w:sz w:val="24"/>
        </w:rPr>
        <w:t>统计上大中小微型企业划分标准</w:t>
      </w:r>
    </w:p>
    <w:tbl>
      <w:tblPr>
        <w:tblStyle w:val="1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400" w:lineRule="exact"/>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400" w:lineRule="exact"/>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400" w:lineRule="exact"/>
              <w:jc w:val="center"/>
              <w:rPr>
                <w:rFonts w:ascii="宋体" w:hAnsi="宋体" w:cs="宋体"/>
                <w:b/>
                <w:bCs/>
                <w:kern w:val="0"/>
                <w:sz w:val="24"/>
              </w:rPr>
            </w:pPr>
            <w:r>
              <w:rPr>
                <w:rFonts w:hint="eastAsia" w:ascii="宋体" w:hAnsi="宋体" w:cs="宋体"/>
                <w:b/>
                <w:bCs/>
                <w:kern w:val="0"/>
                <w:sz w:val="24"/>
              </w:rPr>
              <w:t>计量</w:t>
            </w:r>
          </w:p>
          <w:p>
            <w:pPr>
              <w:widowControl/>
              <w:spacing w:line="400" w:lineRule="exact"/>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400" w:lineRule="exact"/>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400" w:lineRule="exact"/>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400" w:lineRule="exact"/>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400" w:lineRule="exact"/>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ascii="宋体" w:hAnsi="宋体" w:cs="宋体"/>
                <w:kern w:val="0"/>
                <w:sz w:val="24"/>
              </w:rPr>
            </w:pPr>
          </w:p>
        </w:tc>
        <w:tc>
          <w:tcPr>
            <w:tcW w:w="1462"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ascii="宋体" w:hAnsi="宋体" w:cs="宋体"/>
                <w:kern w:val="0"/>
                <w:sz w:val="24"/>
              </w:rPr>
            </w:pPr>
          </w:p>
        </w:tc>
        <w:tc>
          <w:tcPr>
            <w:tcW w:w="1462"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ascii="宋体" w:hAnsi="宋体" w:cs="宋体"/>
                <w:kern w:val="0"/>
                <w:sz w:val="24"/>
              </w:rPr>
            </w:pPr>
          </w:p>
        </w:tc>
        <w:tc>
          <w:tcPr>
            <w:tcW w:w="1462"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ascii="宋体" w:hAnsi="宋体" w:cs="宋体"/>
                <w:kern w:val="0"/>
                <w:sz w:val="24"/>
              </w:rPr>
            </w:pPr>
          </w:p>
        </w:tc>
        <w:tc>
          <w:tcPr>
            <w:tcW w:w="1462"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ascii="宋体" w:hAnsi="宋体" w:cs="宋体"/>
                <w:kern w:val="0"/>
                <w:sz w:val="24"/>
              </w:rPr>
            </w:pPr>
          </w:p>
        </w:tc>
        <w:tc>
          <w:tcPr>
            <w:tcW w:w="1462"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ascii="宋体" w:hAnsi="宋体" w:cs="宋体"/>
                <w:kern w:val="0"/>
                <w:sz w:val="24"/>
              </w:rPr>
            </w:pPr>
          </w:p>
        </w:tc>
        <w:tc>
          <w:tcPr>
            <w:tcW w:w="1462"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ascii="宋体" w:hAnsi="宋体" w:cs="宋体"/>
                <w:kern w:val="0"/>
                <w:sz w:val="24"/>
              </w:rPr>
            </w:pPr>
          </w:p>
        </w:tc>
        <w:tc>
          <w:tcPr>
            <w:tcW w:w="1462"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ascii="宋体" w:hAnsi="宋体" w:cs="宋体"/>
                <w:kern w:val="0"/>
                <w:sz w:val="24"/>
              </w:rPr>
            </w:pPr>
          </w:p>
        </w:tc>
        <w:tc>
          <w:tcPr>
            <w:tcW w:w="1462"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ascii="宋体" w:hAnsi="宋体" w:cs="宋体"/>
                <w:kern w:val="0"/>
                <w:sz w:val="24"/>
              </w:rPr>
            </w:pPr>
          </w:p>
        </w:tc>
        <w:tc>
          <w:tcPr>
            <w:tcW w:w="1462"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ascii="宋体" w:hAnsi="宋体" w:cs="宋体"/>
                <w:kern w:val="0"/>
                <w:sz w:val="24"/>
              </w:rPr>
            </w:pPr>
          </w:p>
        </w:tc>
        <w:tc>
          <w:tcPr>
            <w:tcW w:w="1462"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ascii="宋体" w:hAnsi="宋体" w:cs="宋体"/>
                <w:kern w:val="0"/>
                <w:sz w:val="24"/>
              </w:rPr>
            </w:pPr>
          </w:p>
        </w:tc>
        <w:tc>
          <w:tcPr>
            <w:tcW w:w="1462"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ascii="宋体" w:hAnsi="宋体" w:cs="宋体"/>
                <w:kern w:val="0"/>
                <w:sz w:val="24"/>
              </w:rPr>
            </w:pPr>
          </w:p>
        </w:tc>
        <w:tc>
          <w:tcPr>
            <w:tcW w:w="1462"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ascii="宋体" w:hAnsi="宋体" w:cs="宋体"/>
                <w:kern w:val="0"/>
                <w:sz w:val="24"/>
              </w:rPr>
            </w:pPr>
          </w:p>
        </w:tc>
        <w:tc>
          <w:tcPr>
            <w:tcW w:w="1462"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ascii="宋体" w:hAnsi="宋体" w:cs="宋体"/>
                <w:kern w:val="0"/>
                <w:sz w:val="24"/>
              </w:rPr>
            </w:pPr>
          </w:p>
        </w:tc>
        <w:tc>
          <w:tcPr>
            <w:tcW w:w="1462"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spacing w:line="400" w:lineRule="exact"/>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spacing w:line="400" w:lineRule="exact"/>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400" w:lineRule="exact"/>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400" w:lineRule="exact"/>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6"/>
        <w:tabs>
          <w:tab w:val="left" w:pos="562"/>
          <w:tab w:val="left" w:pos="3372"/>
          <w:tab w:val="left" w:pos="3653"/>
        </w:tabs>
        <w:spacing w:after="0" w:line="400" w:lineRule="exact"/>
        <w:rPr>
          <w:rFonts w:ascii="宋体" w:hAnsi="宋体" w:cs="宋体"/>
          <w:sz w:val="24"/>
        </w:rPr>
      </w:pPr>
    </w:p>
    <w:p>
      <w:pPr>
        <w:tabs>
          <w:tab w:val="left" w:pos="360"/>
        </w:tabs>
        <w:spacing w:line="400" w:lineRule="exact"/>
        <w:outlineLvl w:val="1"/>
        <w:rPr>
          <w:rFonts w:ascii="宋体" w:hAnsi="宋体" w:cs="宋体"/>
          <w:sz w:val="24"/>
        </w:rPr>
      </w:pPr>
      <w:r>
        <w:rPr>
          <w:rFonts w:hint="eastAsia" w:ascii="宋体" w:hAnsi="宋体" w:cs="宋体"/>
          <w:sz w:val="24"/>
        </w:rPr>
        <w:br w:type="page"/>
      </w:r>
      <w:r>
        <w:rPr>
          <w:rFonts w:ascii="宋体" w:hAnsi="宋体" w:cs="宋体"/>
          <w:b/>
          <w:bCs/>
          <w:sz w:val="24"/>
        </w:rPr>
        <w:t>4.</w:t>
      </w:r>
      <w:r>
        <w:rPr>
          <w:rFonts w:hint="eastAsia" w:ascii="宋体" w:hAnsi="宋体" w:cs="宋体"/>
          <w:b/>
          <w:bCs/>
          <w:sz w:val="24"/>
        </w:rPr>
        <w:t>财政部、民政部、中国残联《关于促进残疾人就业政府采购政策的通知》（财库〔2017〕141 号）</w:t>
      </w:r>
    </w:p>
    <w:p>
      <w:pPr>
        <w:shd w:val="clear" w:color="auto" w:fill="FFFFFF"/>
        <w:spacing w:line="400" w:lineRule="exact"/>
        <w:rPr>
          <w:rFonts w:ascii="宋体" w:hAnsi="宋体" w:cs="宋体"/>
          <w:bCs/>
          <w:sz w:val="24"/>
        </w:rPr>
      </w:pPr>
    </w:p>
    <w:p>
      <w:pPr>
        <w:shd w:val="clear" w:color="auto" w:fill="FFFFFF"/>
        <w:spacing w:line="400" w:lineRule="exact"/>
        <w:jc w:val="center"/>
        <w:rPr>
          <w:rFonts w:ascii="宋体" w:hAnsi="宋体" w:cs="宋体"/>
          <w:bCs/>
          <w:sz w:val="24"/>
        </w:rPr>
      </w:pPr>
      <w:r>
        <w:rPr>
          <w:rFonts w:hint="eastAsia" w:ascii="宋体" w:hAnsi="宋体" w:cs="宋体"/>
          <w:bCs/>
          <w:sz w:val="24"/>
        </w:rPr>
        <w:t>关于促进残疾人就业政府采购政策的通知</w:t>
      </w:r>
    </w:p>
    <w:p>
      <w:pPr>
        <w:pStyle w:val="15"/>
        <w:shd w:val="clear" w:color="auto" w:fill="FFFFFF"/>
        <w:spacing w:before="0" w:beforeAutospacing="0" w:after="0" w:afterAutospacing="0" w:line="400" w:lineRule="exact"/>
        <w:jc w:val="center"/>
      </w:pPr>
      <w:r>
        <w:rPr>
          <w:rFonts w:hint="eastAsia"/>
        </w:rPr>
        <w:t>　　</w:t>
      </w:r>
      <w:bookmarkStart w:id="49" w:name="sendNo"/>
      <w:r>
        <w:rPr>
          <w:rFonts w:hint="eastAsia"/>
        </w:rPr>
        <w:t>财库〔</w:t>
      </w:r>
      <w:bookmarkEnd w:id="49"/>
      <w:r>
        <w:rPr>
          <w:rFonts w:hint="eastAsia"/>
        </w:rPr>
        <w:t>2017〕141号</w:t>
      </w:r>
    </w:p>
    <w:p>
      <w:pPr>
        <w:pStyle w:val="15"/>
        <w:shd w:val="clear" w:color="auto" w:fill="FFFFFF"/>
        <w:spacing w:before="0" w:beforeAutospacing="0" w:after="0" w:afterAutospacing="0" w:line="400" w:lineRule="exact"/>
        <w:ind w:firstLine="480" w:firstLineChars="200"/>
      </w:pPr>
      <w:bookmarkStart w:id="50"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50"/>
      <w:r>
        <w:rPr>
          <w:rFonts w:hint="eastAsia"/>
        </w:rPr>
        <w:t>：</w:t>
      </w:r>
    </w:p>
    <w:p>
      <w:pPr>
        <w:pStyle w:val="15"/>
        <w:shd w:val="clear" w:color="auto" w:fill="FFFFFF"/>
        <w:spacing w:before="0" w:beforeAutospacing="0" w:after="0" w:afterAutospacing="0" w:line="400" w:lineRule="exact"/>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5"/>
        <w:shd w:val="clear" w:color="auto" w:fill="FFFFFF"/>
        <w:spacing w:before="0" w:beforeAutospacing="0" w:after="0" w:afterAutospacing="0" w:line="400" w:lineRule="exact"/>
        <w:ind w:firstLine="480" w:firstLineChars="200"/>
      </w:pPr>
      <w:r>
        <w:rPr>
          <w:rFonts w:hint="eastAsia"/>
        </w:rPr>
        <w:t>一、享受政府采购支持政策的残疾人福利性单位应当同时满足以下条件：</w:t>
      </w:r>
    </w:p>
    <w:p>
      <w:pPr>
        <w:pStyle w:val="15"/>
        <w:shd w:val="clear" w:color="auto" w:fill="FFFFFF"/>
        <w:spacing w:before="0" w:beforeAutospacing="0" w:after="0" w:afterAutospacing="0" w:line="400" w:lineRule="exact"/>
        <w:ind w:firstLine="480" w:firstLineChars="200"/>
      </w:pPr>
      <w:r>
        <w:rPr>
          <w:rFonts w:hint="eastAsia"/>
        </w:rPr>
        <w:t>（一）安置的残疾人占本单位在职职工人数的比例不低于25%（含25%），并且安置的残疾人人数不少于10人（含10人）；</w:t>
      </w:r>
    </w:p>
    <w:p>
      <w:pPr>
        <w:pStyle w:val="15"/>
        <w:shd w:val="clear" w:color="auto" w:fill="FFFFFF"/>
        <w:spacing w:before="0" w:beforeAutospacing="0" w:after="0" w:afterAutospacing="0" w:line="400" w:lineRule="exact"/>
        <w:ind w:firstLine="480" w:firstLineChars="200"/>
      </w:pPr>
      <w:r>
        <w:rPr>
          <w:rFonts w:hint="eastAsia"/>
        </w:rPr>
        <w:t>（二）依法与安置的每位残疾人签订了一年以上（含一年）的劳动合同或服务协议；</w:t>
      </w:r>
    </w:p>
    <w:p>
      <w:pPr>
        <w:pStyle w:val="15"/>
        <w:shd w:val="clear" w:color="auto" w:fill="FFFFFF"/>
        <w:spacing w:before="0" w:beforeAutospacing="0" w:after="0" w:afterAutospacing="0" w:line="400" w:lineRule="exact"/>
        <w:ind w:firstLine="480" w:firstLineChars="200"/>
      </w:pPr>
      <w:r>
        <w:rPr>
          <w:rFonts w:hint="eastAsia"/>
        </w:rPr>
        <w:t>（三）为安置的每位残疾人按月足额缴纳了基本养老保险、基本医疗保险、失业保险、工伤保险和生育保险等社会保险费；</w:t>
      </w:r>
    </w:p>
    <w:p>
      <w:pPr>
        <w:pStyle w:val="15"/>
        <w:shd w:val="clear" w:color="auto" w:fill="FFFFFF"/>
        <w:spacing w:before="0" w:beforeAutospacing="0" w:after="0" w:afterAutospacing="0" w:line="400" w:lineRule="exact"/>
        <w:ind w:firstLine="480" w:firstLineChars="200"/>
      </w:pPr>
      <w:r>
        <w:rPr>
          <w:rFonts w:hint="eastAsia"/>
        </w:rPr>
        <w:t>（四）通过银行等金融机构向安置的每位残疾人，按月支付了不低于单位所在区县适用的经省级人民政府批准的月最低工资标准的工资；</w:t>
      </w:r>
    </w:p>
    <w:p>
      <w:pPr>
        <w:pStyle w:val="15"/>
        <w:shd w:val="clear" w:color="auto" w:fill="FFFFFF"/>
        <w:spacing w:before="0" w:beforeAutospacing="0" w:after="0" w:afterAutospacing="0" w:line="400" w:lineRule="exact"/>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5"/>
        <w:shd w:val="clear" w:color="auto" w:fill="FFFFFF"/>
        <w:spacing w:before="0" w:beforeAutospacing="0" w:after="0" w:afterAutospacing="0" w:line="400" w:lineRule="exact"/>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5"/>
        <w:shd w:val="clear" w:color="auto" w:fill="FFFFFF"/>
        <w:spacing w:before="0" w:beforeAutospacing="0" w:after="0" w:afterAutospacing="0" w:line="400" w:lineRule="exact"/>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5"/>
        <w:shd w:val="clear" w:color="auto" w:fill="FFFFFF"/>
        <w:spacing w:before="0" w:beforeAutospacing="0" w:after="0" w:afterAutospacing="0" w:line="400" w:lineRule="exact"/>
        <w:ind w:firstLine="480" w:firstLineChars="200"/>
      </w:pPr>
      <w:r>
        <w:rPr>
          <w:rFonts w:hint="eastAsia"/>
        </w:rPr>
        <w:t>中标、成交供应商为残疾人福利性单位的，</w:t>
      </w:r>
      <w:r>
        <w:t>采购单位</w:t>
      </w:r>
      <w:r>
        <w:rPr>
          <w:rFonts w:hint="eastAsia"/>
        </w:rPr>
        <w:t>或者其委托的采购代理机构应当随中标、成交结果同时公告其《残疾人福利性单位声明函》，接受社会监督。</w:t>
      </w:r>
    </w:p>
    <w:p>
      <w:pPr>
        <w:pStyle w:val="15"/>
        <w:shd w:val="clear" w:color="auto" w:fill="FFFFFF"/>
        <w:spacing w:before="0" w:beforeAutospacing="0" w:after="0" w:afterAutospacing="0" w:line="400" w:lineRule="exact"/>
        <w:ind w:firstLine="480" w:firstLineChars="200"/>
      </w:pPr>
      <w:r>
        <w:rPr>
          <w:rFonts w:hint="eastAsia"/>
        </w:rPr>
        <w:t>供应商提供的《残疾人福利性单位声明函》与事实不符的，依照《政府采购法》第七十七条第一款的规定追究法律责任。</w:t>
      </w:r>
    </w:p>
    <w:p>
      <w:pPr>
        <w:pStyle w:val="15"/>
        <w:shd w:val="clear" w:color="auto" w:fill="FFFFFF"/>
        <w:spacing w:before="0" w:beforeAutospacing="0" w:after="0" w:afterAutospacing="0" w:line="400" w:lineRule="exact"/>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5"/>
        <w:shd w:val="clear" w:color="auto" w:fill="FFFFFF"/>
        <w:spacing w:before="0" w:beforeAutospacing="0" w:after="0" w:afterAutospacing="0" w:line="400" w:lineRule="exact"/>
        <w:ind w:firstLine="480" w:firstLineChars="200"/>
      </w:pPr>
      <w:r>
        <w:rPr>
          <w:rFonts w:hint="eastAsia"/>
        </w:rPr>
        <w:t>四、</w:t>
      </w:r>
      <w:r>
        <w:t>采购单位</w:t>
      </w:r>
      <w:r>
        <w:rPr>
          <w:rFonts w:hint="eastAsia"/>
        </w:rPr>
        <w:t>采购公开招标数额标准以上的货物或者服务，因落实促进残疾人就业政策的需要，依法履行有关报批程序后，可采用公开招标以外的采购方式。</w:t>
      </w:r>
    </w:p>
    <w:p>
      <w:pPr>
        <w:pStyle w:val="15"/>
        <w:shd w:val="clear" w:color="auto" w:fill="FFFFFF"/>
        <w:spacing w:before="0" w:beforeAutospacing="0" w:after="0" w:afterAutospacing="0" w:line="400" w:lineRule="exact"/>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w:t>
      </w:r>
      <w:r>
        <w:t>采购单位</w:t>
      </w:r>
      <w:r>
        <w:rPr>
          <w:rFonts w:hint="eastAsia"/>
        </w:rPr>
        <w:t>优先选择残疾人福利性单位的产品。</w:t>
      </w:r>
    </w:p>
    <w:p>
      <w:pPr>
        <w:pStyle w:val="15"/>
        <w:shd w:val="clear" w:color="auto" w:fill="FFFFFF"/>
        <w:spacing w:before="0" w:beforeAutospacing="0" w:after="0" w:afterAutospacing="0" w:line="400" w:lineRule="exact"/>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5"/>
        <w:shd w:val="clear" w:color="auto" w:fill="FFFFFF"/>
        <w:spacing w:before="0" w:beforeAutospacing="0" w:after="0" w:afterAutospacing="0" w:line="400" w:lineRule="exact"/>
        <w:ind w:firstLine="480" w:firstLineChars="200"/>
      </w:pPr>
      <w:r>
        <w:rPr>
          <w:rFonts w:hint="eastAsia"/>
        </w:rPr>
        <w:t>七、本通知自2017年10月1日起执行。</w:t>
      </w:r>
    </w:p>
    <w:p>
      <w:pPr>
        <w:pStyle w:val="15"/>
        <w:shd w:val="clear" w:color="auto" w:fill="FFFFFF"/>
        <w:spacing w:before="0" w:beforeAutospacing="0" w:after="0" w:afterAutospacing="0" w:line="400" w:lineRule="exact"/>
        <w:ind w:firstLine="480" w:firstLineChars="200"/>
        <w:jc w:val="right"/>
      </w:pPr>
      <w:r>
        <w:rPr>
          <w:rFonts w:hint="eastAsia"/>
        </w:rPr>
        <w:t>财政部 民政部 中国残疾人联合会</w:t>
      </w:r>
    </w:p>
    <w:p>
      <w:pPr>
        <w:pStyle w:val="15"/>
        <w:shd w:val="clear" w:color="auto" w:fill="FFFFFF"/>
        <w:spacing w:before="0" w:beforeAutospacing="0" w:after="0" w:afterAutospacing="0" w:line="400" w:lineRule="exact"/>
        <w:ind w:firstLine="480" w:firstLineChars="200"/>
        <w:jc w:val="right"/>
      </w:pPr>
      <w:r>
        <w:rPr>
          <w:rFonts w:hint="eastAsia"/>
        </w:rPr>
        <w:t>2017年8月22日</w:t>
      </w:r>
    </w:p>
    <w:p>
      <w:pPr>
        <w:pStyle w:val="25"/>
        <w:shd w:val="clear" w:color="auto" w:fill="FFFFFF"/>
        <w:spacing w:before="0" w:beforeAutospacing="0" w:after="0" w:afterAutospacing="0" w:line="400" w:lineRule="exact"/>
        <w:jc w:val="both"/>
      </w:pPr>
    </w:p>
    <w:p>
      <w:pPr>
        <w:pStyle w:val="25"/>
        <w:shd w:val="clear" w:color="auto" w:fill="FFFFFF"/>
        <w:spacing w:before="0" w:beforeAutospacing="0" w:after="0" w:afterAutospacing="0" w:line="400" w:lineRule="exact"/>
        <w:jc w:val="both"/>
      </w:pPr>
    </w:p>
    <w:p>
      <w:pPr>
        <w:pStyle w:val="25"/>
        <w:shd w:val="clear" w:color="auto" w:fill="FFFFFF"/>
        <w:spacing w:before="0" w:beforeAutospacing="0" w:after="0" w:afterAutospacing="0" w:line="400" w:lineRule="exact"/>
        <w:jc w:val="both"/>
      </w:pPr>
    </w:p>
    <w:p>
      <w:pPr>
        <w:pStyle w:val="25"/>
        <w:shd w:val="clear" w:color="auto" w:fill="FFFFFF"/>
        <w:spacing w:before="0" w:beforeAutospacing="0" w:after="0" w:afterAutospacing="0" w:line="400" w:lineRule="exact"/>
        <w:jc w:val="both"/>
      </w:pPr>
    </w:p>
    <w:p>
      <w:pPr>
        <w:pStyle w:val="25"/>
        <w:shd w:val="clear" w:color="auto" w:fill="FFFFFF"/>
        <w:spacing w:before="0" w:beforeAutospacing="0" w:after="0" w:afterAutospacing="0" w:line="400" w:lineRule="exact"/>
        <w:jc w:val="both"/>
      </w:pPr>
    </w:p>
    <w:p>
      <w:pPr>
        <w:pStyle w:val="25"/>
        <w:shd w:val="clear" w:color="auto" w:fill="FFFFFF"/>
        <w:spacing w:before="0" w:beforeAutospacing="0" w:after="0" w:afterAutospacing="0" w:line="400" w:lineRule="exact"/>
        <w:jc w:val="both"/>
      </w:pPr>
    </w:p>
    <w:p>
      <w:pPr>
        <w:spacing w:line="400" w:lineRule="exact"/>
      </w:pPr>
      <w:r>
        <w:rPr>
          <w:rFonts w:hint="eastAsia"/>
        </w:rPr>
        <w:br w:type="page"/>
      </w:r>
    </w:p>
    <w:p>
      <w:pPr>
        <w:pStyle w:val="25"/>
        <w:shd w:val="clear" w:color="auto" w:fill="FFFFFF"/>
        <w:spacing w:before="0" w:beforeAutospacing="0" w:after="0" w:afterAutospacing="0" w:line="400" w:lineRule="exact"/>
        <w:jc w:val="both"/>
      </w:pPr>
      <w:r>
        <w:rPr>
          <w:rFonts w:hint="eastAsia"/>
        </w:rPr>
        <w:t>附件：</w:t>
      </w:r>
    </w:p>
    <w:p>
      <w:pPr>
        <w:pStyle w:val="25"/>
        <w:shd w:val="clear" w:color="auto" w:fill="FFFFFF"/>
        <w:spacing w:before="0" w:beforeAutospacing="0" w:after="0" w:afterAutospacing="0" w:line="400" w:lineRule="exact"/>
        <w:ind w:firstLine="482" w:firstLineChars="200"/>
        <w:jc w:val="center"/>
      </w:pPr>
      <w:r>
        <w:rPr>
          <w:rStyle w:val="26"/>
          <w:rFonts w:hint="eastAsia"/>
          <w:b/>
          <w:bCs/>
        </w:rPr>
        <w:t>残疾人福利性单位声明函</w:t>
      </w:r>
    </w:p>
    <w:p>
      <w:pPr>
        <w:pStyle w:val="25"/>
        <w:shd w:val="clear" w:color="auto" w:fill="FFFFFF"/>
        <w:spacing w:before="0" w:beforeAutospacing="0" w:after="0" w:afterAutospacing="0" w:line="400" w:lineRule="exact"/>
        <w:ind w:firstLine="480" w:firstLineChars="200"/>
        <w:jc w:val="both"/>
      </w:pPr>
    </w:p>
    <w:p>
      <w:pPr>
        <w:pStyle w:val="25"/>
        <w:shd w:val="clear" w:color="auto" w:fill="FFFFFF"/>
        <w:spacing w:before="0" w:beforeAutospacing="0" w:after="0" w:afterAutospacing="0" w:line="400" w:lineRule="exact"/>
        <w:ind w:firstLine="480" w:firstLineChars="200"/>
        <w:jc w:val="both"/>
      </w:pPr>
      <w:r>
        <w:rPr>
          <w:rStyle w:val="26"/>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5"/>
        <w:shd w:val="clear" w:color="auto" w:fill="FFFFFF"/>
        <w:spacing w:before="0" w:beforeAutospacing="0" w:after="0" w:afterAutospacing="0" w:line="400" w:lineRule="exact"/>
        <w:ind w:firstLine="480" w:firstLineChars="200"/>
        <w:jc w:val="both"/>
      </w:pPr>
      <w:r>
        <w:rPr>
          <w:rStyle w:val="26"/>
          <w:rFonts w:hint="eastAsia"/>
        </w:rPr>
        <w:t>本单位对上述声明的真实性负责。如有虚假，将依法承担相应责任。</w:t>
      </w:r>
    </w:p>
    <w:p>
      <w:pPr>
        <w:pStyle w:val="25"/>
        <w:shd w:val="clear" w:color="auto" w:fill="FFFFFF"/>
        <w:spacing w:before="0" w:beforeAutospacing="0" w:after="0" w:afterAutospacing="0" w:line="400" w:lineRule="exact"/>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25"/>
        <w:shd w:val="clear" w:color="auto" w:fill="FFFFFF"/>
        <w:spacing w:before="0" w:beforeAutospacing="0" w:after="0" w:afterAutospacing="0" w:line="400" w:lineRule="exact"/>
        <w:ind w:firstLine="480" w:firstLineChars="200"/>
        <w:jc w:val="both"/>
      </w:pPr>
    </w:p>
    <w:p>
      <w:pPr>
        <w:pStyle w:val="25"/>
        <w:shd w:val="clear" w:color="auto" w:fill="FFFFFF"/>
        <w:spacing w:before="0" w:beforeAutospacing="0" w:after="0" w:afterAutospacing="0" w:line="400" w:lineRule="exact"/>
        <w:jc w:val="right"/>
      </w:pPr>
      <w:r>
        <w:rPr>
          <w:rStyle w:val="26"/>
          <w:rFonts w:hint="eastAsia"/>
        </w:rPr>
        <w:t>单位名称（盖章）：</w:t>
      </w:r>
    </w:p>
    <w:p>
      <w:pPr>
        <w:pStyle w:val="25"/>
        <w:shd w:val="clear" w:color="auto" w:fill="FFFFFF"/>
        <w:spacing w:before="0" w:beforeAutospacing="0" w:after="0" w:afterAutospacing="0" w:line="400" w:lineRule="exact"/>
        <w:jc w:val="right"/>
        <w:rPr>
          <w:lang w:val="fr-CH"/>
        </w:rPr>
      </w:pPr>
      <w:r>
        <w:rPr>
          <w:rStyle w:val="26"/>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p/>
    <w:sectPr>
      <w:headerReference r:id="rId9" w:type="first"/>
      <w:headerReference r:id="rId7" w:type="default"/>
      <w:headerReference r:id="rId8" w:type="even"/>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GB2312">
    <w:altName w:val="Times New Roman"/>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35</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8"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iM2IzYTg4Y2VlODMxNWQ4MDFjNzhlOTJkOGEyNDcifQ=="/>
  </w:docVars>
  <w:rsids>
    <w:rsidRoot w:val="6EAF2D51"/>
    <w:rsid w:val="000E6229"/>
    <w:rsid w:val="00127819"/>
    <w:rsid w:val="00157F15"/>
    <w:rsid w:val="001D3334"/>
    <w:rsid w:val="002D3A6D"/>
    <w:rsid w:val="00427844"/>
    <w:rsid w:val="004601C3"/>
    <w:rsid w:val="00531F14"/>
    <w:rsid w:val="00621A13"/>
    <w:rsid w:val="007579F2"/>
    <w:rsid w:val="00796574"/>
    <w:rsid w:val="007A52F5"/>
    <w:rsid w:val="00820158"/>
    <w:rsid w:val="00B44B5E"/>
    <w:rsid w:val="00B7098E"/>
    <w:rsid w:val="00C26D89"/>
    <w:rsid w:val="00C46775"/>
    <w:rsid w:val="00CE5F4C"/>
    <w:rsid w:val="00DA3C05"/>
    <w:rsid w:val="00E75D82"/>
    <w:rsid w:val="02B9090A"/>
    <w:rsid w:val="03510688"/>
    <w:rsid w:val="077AF5D6"/>
    <w:rsid w:val="0BF67D6A"/>
    <w:rsid w:val="0D376BE5"/>
    <w:rsid w:val="0DBFF8A4"/>
    <w:rsid w:val="0F9B909F"/>
    <w:rsid w:val="0FA94F43"/>
    <w:rsid w:val="0FFE3C2D"/>
    <w:rsid w:val="126D9995"/>
    <w:rsid w:val="13FD1EB6"/>
    <w:rsid w:val="15FFDC99"/>
    <w:rsid w:val="162D45A8"/>
    <w:rsid w:val="1797A8E8"/>
    <w:rsid w:val="17AFCD58"/>
    <w:rsid w:val="17BF9709"/>
    <w:rsid w:val="17DFB82A"/>
    <w:rsid w:val="17F917F2"/>
    <w:rsid w:val="19FA3545"/>
    <w:rsid w:val="1A035868"/>
    <w:rsid w:val="1AEA2D24"/>
    <w:rsid w:val="1B1D4692"/>
    <w:rsid w:val="1B7F54A3"/>
    <w:rsid w:val="1B7FF535"/>
    <w:rsid w:val="1BBFE1C1"/>
    <w:rsid w:val="1BFDEAE4"/>
    <w:rsid w:val="1BFFE856"/>
    <w:rsid w:val="1CBF97F2"/>
    <w:rsid w:val="1DEBDB17"/>
    <w:rsid w:val="1E7EB620"/>
    <w:rsid w:val="1EF7CA78"/>
    <w:rsid w:val="1EFF6F72"/>
    <w:rsid w:val="1F25C25A"/>
    <w:rsid w:val="1F5BAC61"/>
    <w:rsid w:val="1F6EF29D"/>
    <w:rsid w:val="1F7F4BF3"/>
    <w:rsid w:val="1FAFF4B3"/>
    <w:rsid w:val="1FB7081D"/>
    <w:rsid w:val="1FBAC58D"/>
    <w:rsid w:val="1FBBF8DB"/>
    <w:rsid w:val="1FD6A300"/>
    <w:rsid w:val="1FD96C40"/>
    <w:rsid w:val="1FDEF4ED"/>
    <w:rsid w:val="1FFF9FA2"/>
    <w:rsid w:val="202141F9"/>
    <w:rsid w:val="213740D6"/>
    <w:rsid w:val="23BF0D43"/>
    <w:rsid w:val="24495099"/>
    <w:rsid w:val="2675E140"/>
    <w:rsid w:val="26D307E8"/>
    <w:rsid w:val="271F938A"/>
    <w:rsid w:val="27E880B4"/>
    <w:rsid w:val="27F26299"/>
    <w:rsid w:val="27F55E0F"/>
    <w:rsid w:val="27FE33CE"/>
    <w:rsid w:val="29A1025D"/>
    <w:rsid w:val="2AADC391"/>
    <w:rsid w:val="2ADF707C"/>
    <w:rsid w:val="2B7D0165"/>
    <w:rsid w:val="2BB9C8F2"/>
    <w:rsid w:val="2BFB6E8B"/>
    <w:rsid w:val="2BFFB032"/>
    <w:rsid w:val="2C5FE643"/>
    <w:rsid w:val="2C667A3B"/>
    <w:rsid w:val="2DC86A18"/>
    <w:rsid w:val="2DFF5839"/>
    <w:rsid w:val="2E3E806D"/>
    <w:rsid w:val="2EEF79C5"/>
    <w:rsid w:val="2EF45D6A"/>
    <w:rsid w:val="2EF7EE3A"/>
    <w:rsid w:val="2F4C0476"/>
    <w:rsid w:val="2F6F2DA0"/>
    <w:rsid w:val="2F6F565C"/>
    <w:rsid w:val="2F7FF788"/>
    <w:rsid w:val="2F9B0E34"/>
    <w:rsid w:val="2FB77A4C"/>
    <w:rsid w:val="2FEAA120"/>
    <w:rsid w:val="2FFDCAA5"/>
    <w:rsid w:val="317F7117"/>
    <w:rsid w:val="31B72E5C"/>
    <w:rsid w:val="32FF0317"/>
    <w:rsid w:val="337AE2D6"/>
    <w:rsid w:val="33DEF139"/>
    <w:rsid w:val="33F915CE"/>
    <w:rsid w:val="33F9C19C"/>
    <w:rsid w:val="346DC6E6"/>
    <w:rsid w:val="35E75334"/>
    <w:rsid w:val="35EB6C31"/>
    <w:rsid w:val="35F7ACF4"/>
    <w:rsid w:val="36B772DB"/>
    <w:rsid w:val="36BDDA7C"/>
    <w:rsid w:val="36F7F178"/>
    <w:rsid w:val="36FDBDE3"/>
    <w:rsid w:val="373DBD37"/>
    <w:rsid w:val="3774DA36"/>
    <w:rsid w:val="377DF0D3"/>
    <w:rsid w:val="37BFE1FD"/>
    <w:rsid w:val="37EBD977"/>
    <w:rsid w:val="37F73822"/>
    <w:rsid w:val="37FF3C04"/>
    <w:rsid w:val="37FF5767"/>
    <w:rsid w:val="38791C4D"/>
    <w:rsid w:val="38DCE36B"/>
    <w:rsid w:val="397B1CE6"/>
    <w:rsid w:val="3A8F174A"/>
    <w:rsid w:val="3AFF7B57"/>
    <w:rsid w:val="3B3FC881"/>
    <w:rsid w:val="3B6E5B2D"/>
    <w:rsid w:val="3B7BF8D1"/>
    <w:rsid w:val="3BF3F690"/>
    <w:rsid w:val="3BFFAFAC"/>
    <w:rsid w:val="3C6FA9D3"/>
    <w:rsid w:val="3C9FAAB0"/>
    <w:rsid w:val="3CBF52AA"/>
    <w:rsid w:val="3CFC7333"/>
    <w:rsid w:val="3D6F35BF"/>
    <w:rsid w:val="3DBDE794"/>
    <w:rsid w:val="3DBFC698"/>
    <w:rsid w:val="3DDF4999"/>
    <w:rsid w:val="3DEAAE5D"/>
    <w:rsid w:val="3DFEF73F"/>
    <w:rsid w:val="3E31A9C9"/>
    <w:rsid w:val="3E7B1B91"/>
    <w:rsid w:val="3EC3748A"/>
    <w:rsid w:val="3ECC6910"/>
    <w:rsid w:val="3EDE3B0B"/>
    <w:rsid w:val="3EDF52C5"/>
    <w:rsid w:val="3EDF680B"/>
    <w:rsid w:val="3EEF766D"/>
    <w:rsid w:val="3EF34746"/>
    <w:rsid w:val="3EF91C35"/>
    <w:rsid w:val="3F576BF2"/>
    <w:rsid w:val="3F772D4C"/>
    <w:rsid w:val="3F77813E"/>
    <w:rsid w:val="3F7E6325"/>
    <w:rsid w:val="3F84C1AE"/>
    <w:rsid w:val="3FB3B736"/>
    <w:rsid w:val="3FCDAA70"/>
    <w:rsid w:val="3FCF161C"/>
    <w:rsid w:val="3FD7C333"/>
    <w:rsid w:val="3FDF7814"/>
    <w:rsid w:val="3FDFE01C"/>
    <w:rsid w:val="3FEFC185"/>
    <w:rsid w:val="3FF72816"/>
    <w:rsid w:val="3FFB77CB"/>
    <w:rsid w:val="3FFB87EC"/>
    <w:rsid w:val="3FFD2741"/>
    <w:rsid w:val="3FFDCBCA"/>
    <w:rsid w:val="3FFEAECC"/>
    <w:rsid w:val="3FFF03B9"/>
    <w:rsid w:val="41CF6829"/>
    <w:rsid w:val="427D40B5"/>
    <w:rsid w:val="462D6801"/>
    <w:rsid w:val="4735FB58"/>
    <w:rsid w:val="47E9A1A0"/>
    <w:rsid w:val="49BEA124"/>
    <w:rsid w:val="49DF6104"/>
    <w:rsid w:val="4CF92E7B"/>
    <w:rsid w:val="4CFB6B2C"/>
    <w:rsid w:val="4D1DB812"/>
    <w:rsid w:val="4DAFC284"/>
    <w:rsid w:val="4DBB3E33"/>
    <w:rsid w:val="4DE3154B"/>
    <w:rsid w:val="4DF5D2BF"/>
    <w:rsid w:val="4ECD7EB5"/>
    <w:rsid w:val="4EDE35AC"/>
    <w:rsid w:val="4F0E9E61"/>
    <w:rsid w:val="4F640F18"/>
    <w:rsid w:val="4F7E3902"/>
    <w:rsid w:val="4F9F214B"/>
    <w:rsid w:val="4FF395E6"/>
    <w:rsid w:val="4FFA569E"/>
    <w:rsid w:val="4FFBA0FE"/>
    <w:rsid w:val="4FFF7B66"/>
    <w:rsid w:val="51BCFBE2"/>
    <w:rsid w:val="51FF628E"/>
    <w:rsid w:val="522BBFAA"/>
    <w:rsid w:val="522D533A"/>
    <w:rsid w:val="52A32DFC"/>
    <w:rsid w:val="53401509"/>
    <w:rsid w:val="53543ED7"/>
    <w:rsid w:val="536F6462"/>
    <w:rsid w:val="53BD2119"/>
    <w:rsid w:val="54C469E3"/>
    <w:rsid w:val="54DE7CC8"/>
    <w:rsid w:val="5567BD2F"/>
    <w:rsid w:val="557D857A"/>
    <w:rsid w:val="557F84E0"/>
    <w:rsid w:val="55E7D38E"/>
    <w:rsid w:val="55F80356"/>
    <w:rsid w:val="55FF196E"/>
    <w:rsid w:val="56C7BF65"/>
    <w:rsid w:val="56DEF74B"/>
    <w:rsid w:val="56F52AF0"/>
    <w:rsid w:val="575DDB48"/>
    <w:rsid w:val="57A782E9"/>
    <w:rsid w:val="57BD2EED"/>
    <w:rsid w:val="57BFE2CB"/>
    <w:rsid w:val="57F758DB"/>
    <w:rsid w:val="57FF3DFF"/>
    <w:rsid w:val="57FF4AD2"/>
    <w:rsid w:val="57FFB7BC"/>
    <w:rsid w:val="593739B8"/>
    <w:rsid w:val="593E081A"/>
    <w:rsid w:val="59DFFD93"/>
    <w:rsid w:val="5ABB1050"/>
    <w:rsid w:val="5AF93469"/>
    <w:rsid w:val="5B5D2F92"/>
    <w:rsid w:val="5B7DDC28"/>
    <w:rsid w:val="5B7F624A"/>
    <w:rsid w:val="5B92777B"/>
    <w:rsid w:val="5BB29E71"/>
    <w:rsid w:val="5BE72AE1"/>
    <w:rsid w:val="5BEB75A4"/>
    <w:rsid w:val="5BF42BBB"/>
    <w:rsid w:val="5BFFD5F5"/>
    <w:rsid w:val="5CF634E9"/>
    <w:rsid w:val="5D355CB4"/>
    <w:rsid w:val="5D5D99E9"/>
    <w:rsid w:val="5D7FC7C9"/>
    <w:rsid w:val="5DAD523C"/>
    <w:rsid w:val="5DAF0801"/>
    <w:rsid w:val="5DEE2A2A"/>
    <w:rsid w:val="5DEEFCE9"/>
    <w:rsid w:val="5DF7BECE"/>
    <w:rsid w:val="5DFB6840"/>
    <w:rsid w:val="5DFDE687"/>
    <w:rsid w:val="5E14F78C"/>
    <w:rsid w:val="5E1F6A54"/>
    <w:rsid w:val="5EB735A1"/>
    <w:rsid w:val="5EBAD936"/>
    <w:rsid w:val="5EBD38F4"/>
    <w:rsid w:val="5EC6A0C8"/>
    <w:rsid w:val="5EDF719A"/>
    <w:rsid w:val="5EE707FD"/>
    <w:rsid w:val="5EF9E1D9"/>
    <w:rsid w:val="5EFD1774"/>
    <w:rsid w:val="5EFD63A1"/>
    <w:rsid w:val="5F2D046E"/>
    <w:rsid w:val="5F3EE51C"/>
    <w:rsid w:val="5F4E1719"/>
    <w:rsid w:val="5F4ED10A"/>
    <w:rsid w:val="5F622E52"/>
    <w:rsid w:val="5F7D5BE8"/>
    <w:rsid w:val="5F7F3DD2"/>
    <w:rsid w:val="5F7F49C8"/>
    <w:rsid w:val="5FDF10FF"/>
    <w:rsid w:val="5FDFE6D0"/>
    <w:rsid w:val="5FED422E"/>
    <w:rsid w:val="5FF48D17"/>
    <w:rsid w:val="5FF6893A"/>
    <w:rsid w:val="5FF8AACB"/>
    <w:rsid w:val="5FFB4E30"/>
    <w:rsid w:val="5FFB4F3D"/>
    <w:rsid w:val="5FFD8CB0"/>
    <w:rsid w:val="5FFF5037"/>
    <w:rsid w:val="5FFFE862"/>
    <w:rsid w:val="61B62DA1"/>
    <w:rsid w:val="61FF5178"/>
    <w:rsid w:val="62BD4574"/>
    <w:rsid w:val="63B63069"/>
    <w:rsid w:val="64F57139"/>
    <w:rsid w:val="65655C60"/>
    <w:rsid w:val="6593F782"/>
    <w:rsid w:val="65BE74B1"/>
    <w:rsid w:val="65FD1E19"/>
    <w:rsid w:val="65FE0871"/>
    <w:rsid w:val="6609095A"/>
    <w:rsid w:val="66E7865B"/>
    <w:rsid w:val="66F7B9BD"/>
    <w:rsid w:val="66FF70F4"/>
    <w:rsid w:val="67CD7F64"/>
    <w:rsid w:val="67E75822"/>
    <w:rsid w:val="67FBCA81"/>
    <w:rsid w:val="67FEC540"/>
    <w:rsid w:val="67FF8842"/>
    <w:rsid w:val="692A7449"/>
    <w:rsid w:val="6B0F7019"/>
    <w:rsid w:val="6B7DB2B6"/>
    <w:rsid w:val="6BA60BF0"/>
    <w:rsid w:val="6BAD01AB"/>
    <w:rsid w:val="6BB585A9"/>
    <w:rsid w:val="6BBB65E2"/>
    <w:rsid w:val="6BEC1818"/>
    <w:rsid w:val="6BEEC337"/>
    <w:rsid w:val="6BFB3942"/>
    <w:rsid w:val="6BFDD94E"/>
    <w:rsid w:val="6BFE6227"/>
    <w:rsid w:val="6BFF005A"/>
    <w:rsid w:val="6BFF12B7"/>
    <w:rsid w:val="6C1FE371"/>
    <w:rsid w:val="6C7B0821"/>
    <w:rsid w:val="6C892D57"/>
    <w:rsid w:val="6CF9A775"/>
    <w:rsid w:val="6DBDB722"/>
    <w:rsid w:val="6DD23605"/>
    <w:rsid w:val="6DDFE8A4"/>
    <w:rsid w:val="6DF5168E"/>
    <w:rsid w:val="6DFF2102"/>
    <w:rsid w:val="6E6B3D34"/>
    <w:rsid w:val="6EAF2D51"/>
    <w:rsid w:val="6EB255EB"/>
    <w:rsid w:val="6EFDCD2D"/>
    <w:rsid w:val="6EFF612F"/>
    <w:rsid w:val="6F18680E"/>
    <w:rsid w:val="6F1F37FC"/>
    <w:rsid w:val="6F59F9E4"/>
    <w:rsid w:val="6F5FAB1B"/>
    <w:rsid w:val="6F8E58D6"/>
    <w:rsid w:val="6FB86FC2"/>
    <w:rsid w:val="6FD5E567"/>
    <w:rsid w:val="6FDBF1A1"/>
    <w:rsid w:val="6FDCF403"/>
    <w:rsid w:val="6FE6ECA6"/>
    <w:rsid w:val="6FEC0EF8"/>
    <w:rsid w:val="6FEE3D9A"/>
    <w:rsid w:val="6FEF3E9F"/>
    <w:rsid w:val="6FFD0C97"/>
    <w:rsid w:val="6FFECEB9"/>
    <w:rsid w:val="6FFF08FD"/>
    <w:rsid w:val="6FFF45DC"/>
    <w:rsid w:val="709A539D"/>
    <w:rsid w:val="70F12FC6"/>
    <w:rsid w:val="713F17D9"/>
    <w:rsid w:val="71BF5DB7"/>
    <w:rsid w:val="72BD5FD5"/>
    <w:rsid w:val="72BF09DC"/>
    <w:rsid w:val="72EB5790"/>
    <w:rsid w:val="72F25D68"/>
    <w:rsid w:val="72F3DFB7"/>
    <w:rsid w:val="733EE3F5"/>
    <w:rsid w:val="735EF94D"/>
    <w:rsid w:val="735F9F05"/>
    <w:rsid w:val="737797C2"/>
    <w:rsid w:val="737B2761"/>
    <w:rsid w:val="737E5677"/>
    <w:rsid w:val="73AF6EDB"/>
    <w:rsid w:val="73B384CE"/>
    <w:rsid w:val="73DF4221"/>
    <w:rsid w:val="73DF49F4"/>
    <w:rsid w:val="73F5007A"/>
    <w:rsid w:val="73FEB008"/>
    <w:rsid w:val="73FF3C21"/>
    <w:rsid w:val="74AE9EF4"/>
    <w:rsid w:val="74B15673"/>
    <w:rsid w:val="74FE88D1"/>
    <w:rsid w:val="757B8C15"/>
    <w:rsid w:val="75B556EC"/>
    <w:rsid w:val="75B7E9C3"/>
    <w:rsid w:val="75DE6D1A"/>
    <w:rsid w:val="75FF3FD3"/>
    <w:rsid w:val="769E28CC"/>
    <w:rsid w:val="76A43029"/>
    <w:rsid w:val="76CFB604"/>
    <w:rsid w:val="76EB13C1"/>
    <w:rsid w:val="76EF4444"/>
    <w:rsid w:val="76FB10EB"/>
    <w:rsid w:val="76FD926B"/>
    <w:rsid w:val="76FF9977"/>
    <w:rsid w:val="7759F936"/>
    <w:rsid w:val="77633287"/>
    <w:rsid w:val="776FD87D"/>
    <w:rsid w:val="77747C81"/>
    <w:rsid w:val="777BDA6A"/>
    <w:rsid w:val="777F79C7"/>
    <w:rsid w:val="777FC199"/>
    <w:rsid w:val="778BDCF1"/>
    <w:rsid w:val="77ABAAEB"/>
    <w:rsid w:val="77ADA65E"/>
    <w:rsid w:val="77BBB69B"/>
    <w:rsid w:val="77BBCBAD"/>
    <w:rsid w:val="77BD97C9"/>
    <w:rsid w:val="77C57B61"/>
    <w:rsid w:val="77C62DC1"/>
    <w:rsid w:val="77CB4C74"/>
    <w:rsid w:val="77CFED9C"/>
    <w:rsid w:val="77DFC49B"/>
    <w:rsid w:val="77DFE8D3"/>
    <w:rsid w:val="77DFF2A1"/>
    <w:rsid w:val="77E6C2A5"/>
    <w:rsid w:val="77EF7EB5"/>
    <w:rsid w:val="77F79727"/>
    <w:rsid w:val="77F93DFF"/>
    <w:rsid w:val="77FC164C"/>
    <w:rsid w:val="77FD6ECE"/>
    <w:rsid w:val="77FF00E7"/>
    <w:rsid w:val="77FF90F0"/>
    <w:rsid w:val="787B45BF"/>
    <w:rsid w:val="7972DF47"/>
    <w:rsid w:val="797BCC08"/>
    <w:rsid w:val="799E691A"/>
    <w:rsid w:val="79EF2068"/>
    <w:rsid w:val="79EFC2ED"/>
    <w:rsid w:val="79FF532C"/>
    <w:rsid w:val="7A3EA76F"/>
    <w:rsid w:val="7A6BC49B"/>
    <w:rsid w:val="7AF1A2F4"/>
    <w:rsid w:val="7B1DA959"/>
    <w:rsid w:val="7B755887"/>
    <w:rsid w:val="7B770434"/>
    <w:rsid w:val="7B7E4325"/>
    <w:rsid w:val="7B9740ED"/>
    <w:rsid w:val="7B9B4F39"/>
    <w:rsid w:val="7B9BD476"/>
    <w:rsid w:val="7B9E4B6E"/>
    <w:rsid w:val="7BAFAC10"/>
    <w:rsid w:val="7BD4FE36"/>
    <w:rsid w:val="7BE865F2"/>
    <w:rsid w:val="7BEB6994"/>
    <w:rsid w:val="7BF2742E"/>
    <w:rsid w:val="7BF33EBA"/>
    <w:rsid w:val="7BF542A0"/>
    <w:rsid w:val="7BF73396"/>
    <w:rsid w:val="7BFBC874"/>
    <w:rsid w:val="7BFE24D0"/>
    <w:rsid w:val="7BFE7EFB"/>
    <w:rsid w:val="7C3F1A46"/>
    <w:rsid w:val="7C6BE0FE"/>
    <w:rsid w:val="7C7531B8"/>
    <w:rsid w:val="7C7B6AC3"/>
    <w:rsid w:val="7C7BA9C8"/>
    <w:rsid w:val="7C9BD21E"/>
    <w:rsid w:val="7CD30860"/>
    <w:rsid w:val="7CF5B1E8"/>
    <w:rsid w:val="7CF71E25"/>
    <w:rsid w:val="7CF78C98"/>
    <w:rsid w:val="7CFF5EAB"/>
    <w:rsid w:val="7D518BB4"/>
    <w:rsid w:val="7D57321B"/>
    <w:rsid w:val="7D5B5C79"/>
    <w:rsid w:val="7D770A6F"/>
    <w:rsid w:val="7D7F1A16"/>
    <w:rsid w:val="7DBAE706"/>
    <w:rsid w:val="7DBF3103"/>
    <w:rsid w:val="7DC6184D"/>
    <w:rsid w:val="7DC8B4CE"/>
    <w:rsid w:val="7DCD2E4C"/>
    <w:rsid w:val="7DCFFCA0"/>
    <w:rsid w:val="7DDE5D37"/>
    <w:rsid w:val="7DDE6C1C"/>
    <w:rsid w:val="7DDF1479"/>
    <w:rsid w:val="7DDFEE3A"/>
    <w:rsid w:val="7DEF67DA"/>
    <w:rsid w:val="7DF2C0B3"/>
    <w:rsid w:val="7DF65F5D"/>
    <w:rsid w:val="7DF74A7A"/>
    <w:rsid w:val="7DFB68E7"/>
    <w:rsid w:val="7DFBCA38"/>
    <w:rsid w:val="7DFC33CF"/>
    <w:rsid w:val="7DFE35DE"/>
    <w:rsid w:val="7DFEBE00"/>
    <w:rsid w:val="7E396F10"/>
    <w:rsid w:val="7E3E3C12"/>
    <w:rsid w:val="7E3F688E"/>
    <w:rsid w:val="7E9F9FFA"/>
    <w:rsid w:val="7EA1C8FE"/>
    <w:rsid w:val="7EB588E9"/>
    <w:rsid w:val="7ECFC5A0"/>
    <w:rsid w:val="7EDF81E0"/>
    <w:rsid w:val="7EDFB9CE"/>
    <w:rsid w:val="7EF73F35"/>
    <w:rsid w:val="7EFA749D"/>
    <w:rsid w:val="7EFD617A"/>
    <w:rsid w:val="7EFDD9F4"/>
    <w:rsid w:val="7F4F6B62"/>
    <w:rsid w:val="7F557C0B"/>
    <w:rsid w:val="7F5FC9E5"/>
    <w:rsid w:val="7F66F75E"/>
    <w:rsid w:val="7F68349B"/>
    <w:rsid w:val="7F6B747D"/>
    <w:rsid w:val="7F73FC8E"/>
    <w:rsid w:val="7F7668EF"/>
    <w:rsid w:val="7F77536D"/>
    <w:rsid w:val="7F7BF2A7"/>
    <w:rsid w:val="7F7C1911"/>
    <w:rsid w:val="7F7D6521"/>
    <w:rsid w:val="7F7D9E04"/>
    <w:rsid w:val="7F7F6C5B"/>
    <w:rsid w:val="7F8F15DF"/>
    <w:rsid w:val="7F9F2658"/>
    <w:rsid w:val="7FA30144"/>
    <w:rsid w:val="7FABBF8A"/>
    <w:rsid w:val="7FAC2F56"/>
    <w:rsid w:val="7FAF74C6"/>
    <w:rsid w:val="7FB58A92"/>
    <w:rsid w:val="7FBBA781"/>
    <w:rsid w:val="7FBDFC47"/>
    <w:rsid w:val="7FBFA2D7"/>
    <w:rsid w:val="7FBFF277"/>
    <w:rsid w:val="7FC24AC2"/>
    <w:rsid w:val="7FCF48BA"/>
    <w:rsid w:val="7FD704A6"/>
    <w:rsid w:val="7FD7B9F5"/>
    <w:rsid w:val="7FD7F78E"/>
    <w:rsid w:val="7FD9A9AB"/>
    <w:rsid w:val="7FDF2562"/>
    <w:rsid w:val="7FDF76F0"/>
    <w:rsid w:val="7FDFD4B4"/>
    <w:rsid w:val="7FE71672"/>
    <w:rsid w:val="7FEB1C5C"/>
    <w:rsid w:val="7FEB2A6A"/>
    <w:rsid w:val="7FEFA22C"/>
    <w:rsid w:val="7FEFCC65"/>
    <w:rsid w:val="7FF1384F"/>
    <w:rsid w:val="7FF359BF"/>
    <w:rsid w:val="7FF4525D"/>
    <w:rsid w:val="7FF54540"/>
    <w:rsid w:val="7FF5EA62"/>
    <w:rsid w:val="7FF70438"/>
    <w:rsid w:val="7FF79F7F"/>
    <w:rsid w:val="7FFB10D2"/>
    <w:rsid w:val="7FFB147F"/>
    <w:rsid w:val="7FFC0833"/>
    <w:rsid w:val="7FFDD08B"/>
    <w:rsid w:val="7FFEA235"/>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B9DA41"/>
    <w:rsid w:val="94FF7365"/>
    <w:rsid w:val="97D76740"/>
    <w:rsid w:val="97F55F0F"/>
    <w:rsid w:val="99EF7EA1"/>
    <w:rsid w:val="9B59490C"/>
    <w:rsid w:val="9B773F67"/>
    <w:rsid w:val="9B7F72A1"/>
    <w:rsid w:val="9D2BF5B8"/>
    <w:rsid w:val="9DFAC422"/>
    <w:rsid w:val="9E7D3716"/>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2FBDCB0"/>
    <w:rsid w:val="B33BF28E"/>
    <w:rsid w:val="B3791423"/>
    <w:rsid w:val="B37A8E10"/>
    <w:rsid w:val="B5AFF77F"/>
    <w:rsid w:val="B5DC6341"/>
    <w:rsid w:val="B5F42EA8"/>
    <w:rsid w:val="B6A63F2E"/>
    <w:rsid w:val="B76F36A9"/>
    <w:rsid w:val="B77EC4AC"/>
    <w:rsid w:val="B7EBF03A"/>
    <w:rsid w:val="B7FBA883"/>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BFCCCE"/>
    <w:rsid w:val="BFD107FA"/>
    <w:rsid w:val="BFDFC4F6"/>
    <w:rsid w:val="BFE77FD3"/>
    <w:rsid w:val="BFEBAF11"/>
    <w:rsid w:val="BFEC50E1"/>
    <w:rsid w:val="BFEE3A60"/>
    <w:rsid w:val="BFF2A384"/>
    <w:rsid w:val="BFF5774C"/>
    <w:rsid w:val="BFF7B7B3"/>
    <w:rsid w:val="BFFC7862"/>
    <w:rsid w:val="BFFD8AD6"/>
    <w:rsid w:val="BFFF89F9"/>
    <w:rsid w:val="C6F32DCC"/>
    <w:rsid w:val="C6F76B63"/>
    <w:rsid w:val="C6FF537A"/>
    <w:rsid w:val="C6FF61A2"/>
    <w:rsid w:val="C7ECA57F"/>
    <w:rsid w:val="C7F24352"/>
    <w:rsid w:val="C7FB6C83"/>
    <w:rsid w:val="C93144B0"/>
    <w:rsid w:val="CBAFBCC2"/>
    <w:rsid w:val="CCFF8640"/>
    <w:rsid w:val="CD6D627B"/>
    <w:rsid w:val="CD76D643"/>
    <w:rsid w:val="CDBF0F11"/>
    <w:rsid w:val="CDBF6347"/>
    <w:rsid w:val="CDFF7006"/>
    <w:rsid w:val="CE8075F9"/>
    <w:rsid w:val="CEBED425"/>
    <w:rsid w:val="CEFD45B6"/>
    <w:rsid w:val="CF9F9751"/>
    <w:rsid w:val="CFB5BBFE"/>
    <w:rsid w:val="CFB7B634"/>
    <w:rsid w:val="CFBEE156"/>
    <w:rsid w:val="CFE73BA4"/>
    <w:rsid w:val="CFE93B53"/>
    <w:rsid w:val="CFF23669"/>
    <w:rsid w:val="CFFE68F2"/>
    <w:rsid w:val="CFFEF7FD"/>
    <w:rsid w:val="D11A01C8"/>
    <w:rsid w:val="D467BB2F"/>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8D7858"/>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BCE3E"/>
    <w:rsid w:val="DFBF3049"/>
    <w:rsid w:val="DFBFF981"/>
    <w:rsid w:val="DFCB9460"/>
    <w:rsid w:val="DFCEBF54"/>
    <w:rsid w:val="DFF707C1"/>
    <w:rsid w:val="DFFCA25F"/>
    <w:rsid w:val="DFFE8273"/>
    <w:rsid w:val="DFFF3D2D"/>
    <w:rsid w:val="DFFFE042"/>
    <w:rsid w:val="E24F5E0A"/>
    <w:rsid w:val="E2DA1E82"/>
    <w:rsid w:val="E3DC91FC"/>
    <w:rsid w:val="E3FD78CA"/>
    <w:rsid w:val="E5DFBA70"/>
    <w:rsid w:val="E5FF37F3"/>
    <w:rsid w:val="E67D2A72"/>
    <w:rsid w:val="E6FF22E0"/>
    <w:rsid w:val="E79D8EEE"/>
    <w:rsid w:val="E7AB7F05"/>
    <w:rsid w:val="E7EB3792"/>
    <w:rsid w:val="E7EFB41F"/>
    <w:rsid w:val="E7FA061E"/>
    <w:rsid w:val="E7FE269C"/>
    <w:rsid w:val="E7FF2437"/>
    <w:rsid w:val="E7FF88EA"/>
    <w:rsid w:val="E9F6066D"/>
    <w:rsid w:val="EA76CD76"/>
    <w:rsid w:val="EABF49E6"/>
    <w:rsid w:val="EB7F889A"/>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1889"/>
    <w:rsid w:val="EF3B3245"/>
    <w:rsid w:val="EF3E9F91"/>
    <w:rsid w:val="EFA6CFAA"/>
    <w:rsid w:val="EFAF46CF"/>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68854"/>
    <w:rsid w:val="F77F293A"/>
    <w:rsid w:val="F77F6DD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5E21BE"/>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7F062B"/>
    <w:rsid w:val="FFA7CB03"/>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0"/>
    <w:pPr>
      <w:jc w:val="left"/>
    </w:pPr>
    <w:rPr>
      <w:kern w:val="0"/>
      <w:sz w:val="20"/>
    </w:rPr>
  </w:style>
  <w:style w:type="paragraph" w:styleId="6">
    <w:name w:val="Body Text"/>
    <w:basedOn w:val="1"/>
    <w:next w:val="1"/>
    <w:link w:val="28"/>
    <w:unhideWhenUsed/>
    <w:qFormat/>
    <w:uiPriority w:val="99"/>
    <w:pPr>
      <w:spacing w:after="120"/>
    </w:pPr>
  </w:style>
  <w:style w:type="paragraph" w:styleId="7">
    <w:name w:val="Body Text Indent"/>
    <w:basedOn w:val="1"/>
    <w:link w:val="31"/>
    <w:unhideWhenUsed/>
    <w:qFormat/>
    <w:uiPriority w:val="99"/>
    <w:pPr>
      <w:spacing w:after="120"/>
      <w:ind w:left="420" w:leftChars="200"/>
    </w:pPr>
    <w:rPr>
      <w:kern w:val="0"/>
      <w:sz w:val="20"/>
      <w:szCs w:val="20"/>
    </w:rPr>
  </w:style>
  <w:style w:type="paragraph" w:styleId="8">
    <w:name w:val="Plain Text"/>
    <w:basedOn w:val="1"/>
    <w:next w:val="9"/>
    <w:qFormat/>
    <w:uiPriority w:val="0"/>
    <w:rPr>
      <w:rFonts w:ascii="宋体" w:hAnsi="Courier New"/>
    </w:rPr>
  </w:style>
  <w:style w:type="paragraph" w:customStyle="1" w:styleId="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0">
    <w:name w:val="Balloon Text"/>
    <w:basedOn w:val="1"/>
    <w:link w:val="27"/>
    <w:qFormat/>
    <w:uiPriority w:val="0"/>
    <w:rPr>
      <w:sz w:val="18"/>
      <w:szCs w:val="18"/>
    </w:r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unhideWhenUsed/>
    <w:qFormat/>
    <w:uiPriority w:val="39"/>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spacing w:before="240" w:after="60"/>
      <w:jc w:val="center"/>
      <w:outlineLvl w:val="0"/>
    </w:pPr>
    <w:rPr>
      <w:rFonts w:ascii="Arial" w:hAnsi="Arial" w:eastAsia="隶书"/>
      <w:b/>
      <w:bCs/>
      <w:sz w:val="32"/>
      <w:szCs w:val="32"/>
    </w:rPr>
  </w:style>
  <w:style w:type="paragraph" w:styleId="17">
    <w:name w:val="Body Text First Indent"/>
    <w:basedOn w:val="6"/>
    <w:qFormat/>
    <w:uiPriority w:val="0"/>
    <w:pPr>
      <w:ind w:firstLine="420" w:firstLineChars="100"/>
    </w:pPr>
  </w:style>
  <w:style w:type="character" w:styleId="20">
    <w:name w:val="page number"/>
    <w:qFormat/>
    <w:uiPriority w:val="0"/>
  </w:style>
  <w:style w:type="character" w:styleId="21">
    <w:name w:val="annotation reference"/>
    <w:unhideWhenUsed/>
    <w:qFormat/>
    <w:uiPriority w:val="0"/>
    <w:rPr>
      <w:sz w:val="21"/>
      <w:szCs w:val="21"/>
    </w:rPr>
  </w:style>
  <w:style w:type="paragraph" w:customStyle="1" w:styleId="22">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3">
    <w:name w:val="列出段落2"/>
    <w:basedOn w:val="1"/>
    <w:qFormat/>
    <w:uiPriority w:val="34"/>
    <w:pPr>
      <w:ind w:firstLine="420" w:firstLineChars="200"/>
    </w:pPr>
  </w:style>
  <w:style w:type="paragraph" w:customStyle="1" w:styleId="24">
    <w:name w:val="Table Paragraph"/>
    <w:basedOn w:val="1"/>
    <w:qFormat/>
    <w:uiPriority w:val="0"/>
    <w:pPr>
      <w:autoSpaceDE w:val="0"/>
      <w:autoSpaceDN w:val="0"/>
      <w:jc w:val="left"/>
    </w:pPr>
    <w:rPr>
      <w:rFonts w:ascii="宋体" w:hAnsi="宋体" w:cs="宋体"/>
      <w:kern w:val="0"/>
      <w:sz w:val="22"/>
      <w:szCs w:val="22"/>
    </w:rPr>
  </w:style>
  <w:style w:type="paragraph" w:customStyle="1" w:styleId="25">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26">
    <w:name w:val="qowt-font5-gb2312"/>
    <w:qFormat/>
    <w:uiPriority w:val="0"/>
  </w:style>
  <w:style w:type="character" w:customStyle="1" w:styleId="27">
    <w:name w:val="批注框文本 Char"/>
    <w:basedOn w:val="19"/>
    <w:link w:val="10"/>
    <w:qFormat/>
    <w:uiPriority w:val="0"/>
    <w:rPr>
      <w:kern w:val="2"/>
      <w:sz w:val="18"/>
      <w:szCs w:val="18"/>
    </w:rPr>
  </w:style>
  <w:style w:type="character" w:customStyle="1" w:styleId="28">
    <w:name w:val="正文文本 Char"/>
    <w:basedOn w:val="19"/>
    <w:link w:val="6"/>
    <w:qFormat/>
    <w:uiPriority w:val="99"/>
    <w:rPr>
      <w:kern w:val="2"/>
      <w:sz w:val="21"/>
      <w:szCs w:val="24"/>
    </w:rPr>
  </w:style>
  <w:style w:type="paragraph" w:customStyle="1" w:styleId="29">
    <w:name w:val="msolistparagraph"/>
    <w:basedOn w:val="1"/>
    <w:qFormat/>
    <w:uiPriority w:val="0"/>
    <w:pPr>
      <w:ind w:firstLine="420" w:firstLineChars="200"/>
    </w:pPr>
  </w:style>
  <w:style w:type="paragraph" w:customStyle="1" w:styleId="30">
    <w:name w:val="正文格式"/>
    <w:basedOn w:val="7"/>
    <w:qFormat/>
    <w:uiPriority w:val="99"/>
    <w:pPr>
      <w:spacing w:after="0" w:line="360" w:lineRule="auto"/>
      <w:ind w:left="0" w:leftChars="0" w:firstLine="600"/>
    </w:pPr>
    <w:rPr>
      <w:rFonts w:eastAsia="仿宋_GB2312"/>
      <w:sz w:val="30"/>
      <w:szCs w:val="30"/>
    </w:rPr>
  </w:style>
  <w:style w:type="character" w:customStyle="1" w:styleId="31">
    <w:name w:val="正文文本缩进 Char"/>
    <w:link w:val="7"/>
    <w:semiHidden/>
    <w:qFormat/>
    <w:uiPriority w:val="99"/>
    <w:rPr>
      <w:kern w:val="0"/>
      <w:sz w:val="20"/>
      <w:szCs w:val="20"/>
    </w:rPr>
  </w:style>
  <w:style w:type="paragraph" w:customStyle="1" w:styleId="32">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列表模式"/>
    <w:basedOn w:val="1"/>
    <w:qFormat/>
    <w:uiPriority w:val="0"/>
    <w:pPr>
      <w:tabs>
        <w:tab w:val="left" w:pos="960"/>
        <w:tab w:val="left" w:pos="1470"/>
      </w:tabs>
      <w:spacing w:line="360" w:lineRule="auto"/>
      <w:ind w:left="1470" w:hanging="42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6617</Words>
  <Characters>37722</Characters>
  <Lines>314</Lines>
  <Paragraphs>88</Paragraphs>
  <TotalTime>90</TotalTime>
  <ScaleCrop>false</ScaleCrop>
  <LinksUpToDate>false</LinksUpToDate>
  <CharactersWithSpaces>44251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2023-09-22T04:39:00Z</dcterms:created>
  <dc:creator>黄雅静</dc:creator>
  <cp:lastModifiedBy>黎俊</cp:lastModifiedBy>
  <dcterms:modified xsi:type="dcterms:W3CDTF">2023-09-26T08:52:09Z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A4D58CA72DEB40B38E3F9CB9F3D83798</vt:lpwstr>
  </property>
</Properties>
</file>