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_GB2312" w:hAnsi="仿宋_GB2312" w:eastAsia="仿宋_GB2312" w:cs="仿宋_GB2312"/>
          <w:b/>
          <w:color w:val="auto"/>
          <w:sz w:val="72"/>
          <w:szCs w:val="72"/>
        </w:rPr>
      </w:pPr>
    </w:p>
    <w:p>
      <w:pPr>
        <w:pStyle w:val="2"/>
        <w:spacing w:line="760" w:lineRule="exact"/>
        <w:rPr>
          <w:rFonts w:ascii="仿宋_GB2312" w:hAnsi="仿宋_GB2312" w:eastAsia="仿宋_GB2312" w:cs="仿宋_GB2312"/>
          <w:color w:val="auto"/>
        </w:rPr>
      </w:pPr>
    </w:p>
    <w:p>
      <w:pPr>
        <w:spacing w:line="760" w:lineRule="exact"/>
        <w:rPr>
          <w:rFonts w:ascii="仿宋_GB2312" w:hAnsi="仿宋_GB2312" w:eastAsia="仿宋_GB2312" w:cs="仿宋_GB2312"/>
          <w:color w:val="auto"/>
        </w:rPr>
      </w:pPr>
    </w:p>
    <w:p>
      <w:pPr>
        <w:spacing w:line="760" w:lineRule="exact"/>
        <w:jc w:val="center"/>
        <w:rPr>
          <w:rFonts w:ascii="仿宋_GB2312" w:hAnsi="仿宋_GB2312" w:eastAsia="仿宋_GB2312" w:cs="仿宋_GB2312"/>
          <w:b/>
          <w:color w:val="auto"/>
          <w:sz w:val="72"/>
          <w:szCs w:val="72"/>
        </w:rPr>
      </w:pPr>
      <w:r>
        <w:rPr>
          <w:rFonts w:hint="eastAsia" w:ascii="仿宋_GB2312" w:hAnsi="仿宋_GB2312" w:eastAsia="仿宋_GB2312" w:cs="仿宋_GB2312"/>
          <w:b/>
          <w:color w:val="auto"/>
          <w:sz w:val="72"/>
          <w:szCs w:val="72"/>
        </w:rPr>
        <w:t>简易招标文件</w:t>
      </w:r>
    </w:p>
    <w:p>
      <w:pPr>
        <w:spacing w:line="760" w:lineRule="exact"/>
        <w:jc w:val="center"/>
        <w:rPr>
          <w:rFonts w:ascii="仿宋_GB2312" w:hAnsi="仿宋_GB2312" w:eastAsia="仿宋_GB2312" w:cs="仿宋_GB2312"/>
          <w:color w:val="auto"/>
        </w:rPr>
      </w:pPr>
    </w:p>
    <w:p>
      <w:pPr>
        <w:spacing w:line="760" w:lineRule="exact"/>
        <w:rPr>
          <w:rFonts w:ascii="仿宋_GB2312" w:hAnsi="仿宋_GB2312" w:eastAsia="仿宋_GB2312" w:cs="仿宋_GB2312"/>
          <w:color w:val="auto"/>
        </w:rPr>
      </w:pPr>
    </w:p>
    <w:p>
      <w:pPr>
        <w:spacing w:line="560" w:lineRule="exact"/>
        <w:rPr>
          <w:rFonts w:ascii="仿宋_GB2312" w:hAnsi="仿宋_GB2312" w:eastAsia="仿宋_GB2312" w:cs="仿宋_GB2312"/>
          <w:b/>
          <w:color w:val="auto"/>
          <w:sz w:val="44"/>
        </w:rPr>
      </w:pPr>
    </w:p>
    <w:p>
      <w:pPr>
        <w:spacing w:line="560" w:lineRule="exact"/>
        <w:ind w:left="2326" w:leftChars="247" w:right="-319" w:rightChars="-152" w:hanging="1807" w:hangingChars="500"/>
        <w:rPr>
          <w:rFonts w:ascii="仿宋_GB2312" w:hAnsi="仿宋_GB2312" w:eastAsia="仿宋_GB2312" w:cs="仿宋_GB2312"/>
          <w:color w:val="auto"/>
        </w:rPr>
      </w:pPr>
      <w:r>
        <w:rPr>
          <w:rFonts w:hint="eastAsia" w:ascii="仿宋_GB2312" w:hAnsi="仿宋_GB2312" w:eastAsia="仿宋_GB2312" w:cs="仿宋_GB2312"/>
          <w:b/>
          <w:color w:val="auto"/>
          <w:sz w:val="36"/>
          <w:szCs w:val="36"/>
        </w:rPr>
        <w:t>招标编号：</w:t>
      </w:r>
      <w:r>
        <w:rPr>
          <w:rFonts w:hint="eastAsia" w:ascii="仿宋_GB2312" w:hAnsi="仿宋_GB2312" w:eastAsia="仿宋_GB2312" w:cs="仿宋_GB2312"/>
          <w:b/>
          <w:color w:val="auto"/>
          <w:sz w:val="36"/>
          <w:szCs w:val="36"/>
          <w:lang w:val="en-US" w:eastAsia="zh-CN"/>
        </w:rPr>
        <w:t>QH2023098</w:t>
      </w:r>
    </w:p>
    <w:p>
      <w:pPr>
        <w:pStyle w:val="31"/>
        <w:spacing w:line="560" w:lineRule="exact"/>
        <w:ind w:firstLine="420"/>
        <w:rPr>
          <w:rFonts w:ascii="仿宋_GB2312" w:hAnsi="仿宋_GB2312" w:eastAsia="仿宋_GB2312" w:cs="仿宋_GB2312"/>
          <w:color w:val="auto"/>
        </w:rPr>
      </w:pPr>
    </w:p>
    <w:p>
      <w:pPr>
        <w:spacing w:line="560" w:lineRule="exact"/>
        <w:ind w:left="2326" w:leftChars="247" w:right="-319" w:rightChars="-152" w:hanging="1807" w:hangingChars="500"/>
        <w:rPr>
          <w:rFonts w:hint="eastAsia" w:ascii="仿宋_GB2312" w:hAnsi="仿宋_GB2312" w:eastAsia="仿宋_GB2312" w:cs="仿宋_GB2312"/>
          <w:b/>
          <w:color w:val="auto"/>
          <w:sz w:val="36"/>
          <w:szCs w:val="36"/>
          <w:lang w:eastAsia="zh-CN"/>
        </w:rPr>
      </w:pPr>
      <w:r>
        <w:rPr>
          <w:rFonts w:hint="eastAsia" w:ascii="仿宋_GB2312" w:hAnsi="仿宋_GB2312" w:eastAsia="仿宋_GB2312" w:cs="仿宋_GB2312"/>
          <w:b/>
          <w:color w:val="auto"/>
          <w:sz w:val="36"/>
          <w:szCs w:val="36"/>
        </w:rPr>
        <w:t>招标项目：</w:t>
      </w:r>
      <w:r>
        <w:rPr>
          <w:rFonts w:hint="eastAsia" w:ascii="仿宋_GB2312" w:hAnsi="仿宋_GB2312" w:eastAsia="仿宋_GB2312" w:cs="仿宋_GB2312"/>
          <w:b/>
          <w:color w:val="auto"/>
          <w:sz w:val="36"/>
          <w:szCs w:val="36"/>
          <w:lang w:eastAsia="zh-CN"/>
        </w:rPr>
        <w:t>前海合作区2023年度办公用房市场租金评估项目</w:t>
      </w:r>
    </w:p>
    <w:p>
      <w:pPr>
        <w:pStyle w:val="30"/>
        <w:spacing w:line="560" w:lineRule="exact"/>
        <w:rPr>
          <w:rFonts w:ascii="仿宋_GB2312" w:hAnsi="仿宋_GB2312" w:eastAsia="仿宋_GB2312" w:cs="仿宋_GB2312"/>
          <w:color w:val="auto"/>
        </w:rPr>
      </w:pPr>
    </w:p>
    <w:p>
      <w:pPr>
        <w:spacing w:line="560" w:lineRule="exact"/>
        <w:ind w:firstLine="3264" w:firstLineChars="739"/>
        <w:rPr>
          <w:rFonts w:ascii="仿宋_GB2312" w:hAnsi="仿宋_GB2312" w:eastAsia="仿宋_GB2312" w:cs="仿宋_GB2312"/>
          <w:b/>
          <w:color w:val="auto"/>
          <w:sz w:val="44"/>
        </w:rPr>
      </w:pPr>
    </w:p>
    <w:p>
      <w:pPr>
        <w:pStyle w:val="31"/>
        <w:spacing w:line="560" w:lineRule="exact"/>
        <w:ind w:firstLine="420"/>
        <w:rPr>
          <w:rFonts w:ascii="仿宋_GB2312" w:hAnsi="仿宋_GB2312" w:eastAsia="仿宋_GB2312" w:cs="仿宋_GB2312"/>
          <w:color w:val="auto"/>
        </w:rPr>
      </w:pPr>
    </w:p>
    <w:p>
      <w:pPr>
        <w:spacing w:line="560" w:lineRule="exact"/>
        <w:rPr>
          <w:rFonts w:ascii="仿宋_GB2312" w:hAnsi="仿宋_GB2312" w:eastAsia="仿宋_GB2312" w:cs="仿宋_GB2312"/>
          <w:b/>
          <w:color w:val="auto"/>
          <w:sz w:val="44"/>
        </w:rPr>
      </w:pPr>
    </w:p>
    <w:p>
      <w:pPr>
        <w:pStyle w:val="30"/>
        <w:spacing w:line="560" w:lineRule="exact"/>
        <w:ind w:firstLine="880"/>
        <w:rPr>
          <w:rFonts w:ascii="仿宋_GB2312" w:hAnsi="仿宋_GB2312" w:eastAsia="仿宋_GB2312" w:cs="仿宋_GB2312"/>
          <w:b/>
          <w:color w:val="auto"/>
          <w:sz w:val="44"/>
        </w:rPr>
      </w:pPr>
    </w:p>
    <w:p>
      <w:pPr>
        <w:spacing w:line="560" w:lineRule="exact"/>
        <w:rPr>
          <w:rFonts w:ascii="仿宋_GB2312" w:hAnsi="仿宋_GB2312" w:eastAsia="仿宋_GB2312" w:cs="仿宋_GB2312"/>
          <w:b/>
          <w:color w:val="auto"/>
          <w:sz w:val="44"/>
        </w:rPr>
      </w:pPr>
    </w:p>
    <w:p>
      <w:pPr>
        <w:pStyle w:val="30"/>
        <w:spacing w:line="560" w:lineRule="exact"/>
        <w:rPr>
          <w:rFonts w:ascii="仿宋_GB2312" w:hAnsi="仿宋_GB2312" w:eastAsia="仿宋_GB2312" w:cs="仿宋_GB2312"/>
          <w:color w:val="auto"/>
        </w:rPr>
      </w:pPr>
    </w:p>
    <w:p>
      <w:pPr>
        <w:spacing w:line="560" w:lineRule="exact"/>
        <w:jc w:val="center"/>
        <w:rPr>
          <w:rFonts w:ascii="仿宋_GB2312" w:hAnsi="仿宋_GB2312" w:eastAsia="仿宋_GB2312" w:cs="仿宋_GB2312"/>
          <w:b/>
          <w:bCs/>
          <w:color w:val="auto"/>
          <w:sz w:val="36"/>
          <w:szCs w:val="36"/>
          <w:lang w:val="zh-CN"/>
        </w:rPr>
      </w:pPr>
      <w:r>
        <w:rPr>
          <w:rFonts w:hint="eastAsia" w:ascii="仿宋_GB2312" w:hAnsi="仿宋_GB2312" w:eastAsia="仿宋_GB2312" w:cs="仿宋_GB2312"/>
          <w:b/>
          <w:bCs/>
          <w:color w:val="auto"/>
          <w:sz w:val="36"/>
          <w:szCs w:val="36"/>
          <w:lang w:val="zh-CN"/>
        </w:rPr>
        <w:t>深圳市前海深港现代服务业合作区管理局</w:t>
      </w:r>
    </w:p>
    <w:p>
      <w:pPr>
        <w:spacing w:line="560" w:lineRule="exact"/>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2023年</w:t>
      </w:r>
      <w:r>
        <w:rPr>
          <w:rFonts w:hint="eastAsia" w:ascii="仿宋_GB2312" w:hAnsi="仿宋_GB2312" w:eastAsia="仿宋_GB2312" w:cs="仿宋_GB2312"/>
          <w:b/>
          <w:bCs/>
          <w:color w:val="auto"/>
          <w:sz w:val="36"/>
          <w:szCs w:val="36"/>
          <w:lang w:val="en-US" w:eastAsia="zh-CN"/>
        </w:rPr>
        <w:t>9</w:t>
      </w:r>
      <w:r>
        <w:rPr>
          <w:rFonts w:hint="eastAsia" w:ascii="仿宋_GB2312" w:hAnsi="仿宋_GB2312" w:eastAsia="仿宋_GB2312" w:cs="仿宋_GB2312"/>
          <w:b/>
          <w:bCs/>
          <w:color w:val="auto"/>
          <w:sz w:val="36"/>
          <w:szCs w:val="36"/>
        </w:rPr>
        <w:t>月</w:t>
      </w:r>
    </w:p>
    <w:p>
      <w:pPr>
        <w:autoSpaceDE w:val="0"/>
        <w:autoSpaceDN w:val="0"/>
        <w:adjustRightInd w:val="0"/>
        <w:spacing w:line="560" w:lineRule="exact"/>
        <w:jc w:val="center"/>
        <w:outlineLvl w:val="0"/>
        <w:rPr>
          <w:rFonts w:ascii="仿宋_GB2312" w:hAnsi="仿宋_GB2312" w:eastAsia="仿宋_GB2312" w:cs="仿宋_GB2312"/>
          <w:b/>
          <w:bCs/>
          <w:color w:val="auto"/>
          <w:kern w:val="0"/>
          <w:sz w:val="36"/>
          <w:szCs w:val="36"/>
        </w:rPr>
      </w:pPr>
      <w:r>
        <w:rPr>
          <w:rFonts w:hint="eastAsia" w:ascii="仿宋_GB2312" w:hAnsi="仿宋_GB2312" w:eastAsia="仿宋_GB2312" w:cs="仿宋_GB2312"/>
          <w:b/>
          <w:bCs/>
          <w:color w:val="auto"/>
          <w:sz w:val="32"/>
          <w:szCs w:val="40"/>
          <w:u w:val="single"/>
        </w:rPr>
        <w:br w:type="page"/>
      </w:r>
      <w:r>
        <w:rPr>
          <w:rFonts w:hint="eastAsia" w:ascii="仿宋_GB2312" w:hAnsi="仿宋_GB2312" w:eastAsia="仿宋_GB2312" w:cs="仿宋_GB2312"/>
          <w:b/>
          <w:bCs/>
          <w:color w:val="auto"/>
          <w:kern w:val="0"/>
          <w:sz w:val="36"/>
          <w:szCs w:val="36"/>
        </w:rPr>
        <w:t>特别警示条款</w:t>
      </w:r>
    </w:p>
    <w:p>
      <w:pPr>
        <w:pStyle w:val="2"/>
        <w:spacing w:line="400" w:lineRule="exact"/>
        <w:rPr>
          <w:rFonts w:ascii="仿宋_GB2312" w:hAnsi="仿宋_GB2312" w:eastAsia="仿宋_GB2312" w:cs="仿宋_GB2312"/>
          <w:color w:val="auto"/>
        </w:rPr>
      </w:pP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一、《深圳经济特区政府采购条例》第五十七条 供应商在政府采购中，有下列行为之一的，一至三年内禁止其参与本市政府采购，并由主管部门记入供应商诚信档案，</w:t>
      </w:r>
      <w:bookmarkStart w:id="15" w:name="_GoBack"/>
      <w:bookmarkEnd w:id="15"/>
      <w:r>
        <w:rPr>
          <w:rFonts w:hint="eastAsia" w:ascii="仿宋_GB2312" w:hAnsi="仿宋_GB2312" w:eastAsia="仿宋_GB2312" w:cs="仿宋_GB2312"/>
          <w:color w:val="auto"/>
          <w:sz w:val="24"/>
        </w:rPr>
        <w:t>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（一）在采购活动中应当回避而未回避的；</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（二）未按本条例规定签订、履行采购合同，造成严重后果的；</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（三）隐瞒真实情况，提供虚假资料的；</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（四）以非法手段排斥其他供应商参与竞争的；</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（五）与其他采购参加人串通投标的；</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（六）恶意投诉的；</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（七）向采购项目相关人行贿或者提供其他不当利益的；</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（八）阻碍、抗拒主管部门监督检查的；</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（九）其他违反本条例规定的行为。</w:t>
      </w:r>
    </w:p>
    <w:p>
      <w:pPr>
        <w:snapToGrid w:val="0"/>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400" w:lineRule="exact"/>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投标供应商不能提供项目负责人或者主要技术人员的劳动合同、社会保险等劳动关系证明材料的，视为存在前款第（三）项规定的情形。</w:t>
      </w:r>
    </w:p>
    <w:p>
      <w:pPr>
        <w:spacing w:line="400" w:lineRule="exact"/>
        <w:jc w:val="center"/>
        <w:outlineLvl w:val="0"/>
        <w:rPr>
          <w:rFonts w:ascii="仿宋_GB2312" w:hAnsi="仿宋_GB2312" w:eastAsia="仿宋_GB2312" w:cs="仿宋_GB2312"/>
          <w:b/>
          <w:bCs/>
          <w:color w:val="auto"/>
          <w:sz w:val="36"/>
          <w:szCs w:val="36"/>
          <w:lang w:val="zh-CN"/>
        </w:rPr>
      </w:pPr>
      <w:r>
        <w:rPr>
          <w:rFonts w:hint="eastAsia" w:ascii="仿宋_GB2312" w:hAnsi="仿宋_GB2312" w:eastAsia="仿宋_GB2312" w:cs="仿宋_GB2312"/>
          <w:b/>
          <w:bCs/>
          <w:color w:val="auto"/>
          <w:sz w:val="36"/>
          <w:szCs w:val="36"/>
          <w:lang w:val="zh-CN"/>
        </w:rPr>
        <w:br w:type="page"/>
      </w:r>
      <w:r>
        <w:rPr>
          <w:rFonts w:hint="eastAsia" w:ascii="仿宋_GB2312" w:hAnsi="仿宋_GB2312" w:eastAsia="仿宋_GB2312" w:cs="仿宋_GB2312"/>
          <w:b/>
          <w:bCs/>
          <w:color w:val="auto"/>
          <w:sz w:val="36"/>
          <w:szCs w:val="36"/>
          <w:lang w:val="zh-CN"/>
        </w:rPr>
        <w:t>目录</w:t>
      </w:r>
    </w:p>
    <w:p>
      <w:pPr>
        <w:pStyle w:val="16"/>
        <w:tabs>
          <w:tab w:val="right" w:leader="dot" w:pos="8306"/>
        </w:tabs>
        <w:spacing w:line="400" w:lineRule="exact"/>
        <w:rPr>
          <w:rFonts w:ascii="仿宋_GB2312" w:hAnsi="仿宋_GB2312" w:eastAsia="仿宋_GB2312" w:cs="仿宋_GB2312"/>
          <w:b/>
          <w:bCs/>
          <w:color w:val="auto"/>
          <w:sz w:val="24"/>
          <w:szCs w:val="32"/>
        </w:rPr>
      </w:pPr>
    </w:p>
    <w:p>
      <w:pPr>
        <w:pStyle w:val="16"/>
        <w:tabs>
          <w:tab w:val="right" w:leader="dot" w:pos="8306"/>
        </w:tabs>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fldChar w:fldCharType="begin"/>
      </w:r>
      <w:r>
        <w:rPr>
          <w:rFonts w:hint="eastAsia" w:ascii="仿宋_GB2312" w:hAnsi="仿宋_GB2312" w:eastAsia="仿宋_GB2312" w:cs="仿宋_GB2312"/>
          <w:color w:val="auto"/>
          <w:sz w:val="24"/>
        </w:rPr>
        <w:instrText xml:space="preserve">TOC \o "1-1" \h \u </w:instrText>
      </w:r>
      <w:r>
        <w:rPr>
          <w:rFonts w:hint="eastAsia" w:ascii="仿宋_GB2312" w:hAnsi="仿宋_GB2312" w:eastAsia="仿宋_GB2312" w:cs="仿宋_GB2312"/>
          <w:color w:val="auto"/>
          <w:sz w:val="24"/>
        </w:rPr>
        <w:fldChar w:fldCharType="separate"/>
      </w:r>
      <w:r>
        <w:rPr>
          <w:color w:val="auto"/>
        </w:rPr>
        <w:fldChar w:fldCharType="begin"/>
      </w:r>
      <w:r>
        <w:rPr>
          <w:color w:val="auto"/>
        </w:rPr>
        <w:instrText xml:space="preserve"> HYPERLINK \l "_Toc12511" </w:instrText>
      </w:r>
      <w:r>
        <w:rPr>
          <w:color w:val="auto"/>
        </w:rPr>
        <w:fldChar w:fldCharType="separate"/>
      </w:r>
      <w:r>
        <w:rPr>
          <w:rFonts w:hint="eastAsia" w:ascii="仿宋_GB2312" w:hAnsi="仿宋_GB2312" w:eastAsia="仿宋_GB2312" w:cs="仿宋_GB2312"/>
          <w:bCs/>
          <w:color w:val="auto"/>
          <w:kern w:val="0"/>
          <w:sz w:val="24"/>
        </w:rPr>
        <w:t>特别警示条款</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fldChar w:fldCharType="begin"/>
      </w:r>
      <w:r>
        <w:rPr>
          <w:rFonts w:hint="eastAsia" w:ascii="仿宋_GB2312" w:hAnsi="仿宋_GB2312" w:eastAsia="仿宋_GB2312" w:cs="仿宋_GB2312"/>
          <w:color w:val="auto"/>
          <w:sz w:val="24"/>
        </w:rPr>
        <w:instrText xml:space="preserve"> PAGEREF _Toc12511 \h </w:instrText>
      </w:r>
      <w:r>
        <w:rPr>
          <w:rFonts w:hint="eastAsia" w:ascii="仿宋_GB2312" w:hAnsi="仿宋_GB2312" w:eastAsia="仿宋_GB2312" w:cs="仿宋_GB2312"/>
          <w:color w:val="auto"/>
          <w:sz w:val="24"/>
        </w:rPr>
        <w:fldChar w:fldCharType="separate"/>
      </w: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rPr>
        <w:fldChar w:fldCharType="end"/>
      </w:r>
      <w:r>
        <w:rPr>
          <w:rFonts w:hint="eastAsia" w:ascii="仿宋_GB2312" w:hAnsi="仿宋_GB2312" w:eastAsia="仿宋_GB2312" w:cs="仿宋_GB2312"/>
          <w:color w:val="auto"/>
          <w:sz w:val="24"/>
        </w:rPr>
        <w:fldChar w:fldCharType="end"/>
      </w:r>
    </w:p>
    <w:p>
      <w:pPr>
        <w:pStyle w:val="16"/>
        <w:tabs>
          <w:tab w:val="right" w:leader="dot" w:pos="8306"/>
        </w:tabs>
        <w:spacing w:line="400" w:lineRule="exact"/>
        <w:rPr>
          <w:rFonts w:ascii="仿宋_GB2312" w:hAnsi="仿宋_GB2312" w:eastAsia="仿宋_GB2312" w:cs="仿宋_GB2312"/>
          <w:color w:val="auto"/>
          <w:sz w:val="24"/>
        </w:rPr>
      </w:pPr>
      <w:r>
        <w:rPr>
          <w:color w:val="auto"/>
        </w:rPr>
        <w:fldChar w:fldCharType="begin"/>
      </w:r>
      <w:r>
        <w:rPr>
          <w:color w:val="auto"/>
        </w:rPr>
        <w:instrText xml:space="preserve"> HYPERLINK \l "_Toc29463" </w:instrText>
      </w:r>
      <w:r>
        <w:rPr>
          <w:color w:val="auto"/>
        </w:rPr>
        <w:fldChar w:fldCharType="separate"/>
      </w:r>
      <w:r>
        <w:rPr>
          <w:rFonts w:hint="eastAsia" w:ascii="仿宋_GB2312" w:hAnsi="仿宋_GB2312" w:eastAsia="仿宋_GB2312" w:cs="仿宋_GB2312"/>
          <w:bCs/>
          <w:color w:val="auto"/>
          <w:sz w:val="24"/>
          <w:lang w:val="zh-CN"/>
        </w:rPr>
        <w:t>目录</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fldChar w:fldCharType="begin"/>
      </w:r>
      <w:r>
        <w:rPr>
          <w:rFonts w:hint="eastAsia" w:ascii="仿宋_GB2312" w:hAnsi="仿宋_GB2312" w:eastAsia="仿宋_GB2312" w:cs="仿宋_GB2312"/>
          <w:color w:val="auto"/>
          <w:sz w:val="24"/>
        </w:rPr>
        <w:instrText xml:space="preserve"> PAGEREF _Toc29463 \h </w:instrText>
      </w:r>
      <w:r>
        <w:rPr>
          <w:rFonts w:hint="eastAsia" w:ascii="仿宋_GB2312" w:hAnsi="仿宋_GB2312" w:eastAsia="仿宋_GB2312" w:cs="仿宋_GB2312"/>
          <w:color w:val="auto"/>
          <w:sz w:val="24"/>
        </w:rPr>
        <w:fldChar w:fldCharType="separate"/>
      </w:r>
      <w:r>
        <w:rPr>
          <w:rFonts w:hint="eastAsia" w:ascii="仿宋_GB2312" w:hAnsi="仿宋_GB2312" w:eastAsia="仿宋_GB2312" w:cs="仿宋_GB2312"/>
          <w:color w:val="auto"/>
          <w:sz w:val="24"/>
        </w:rPr>
        <w:t>4</w:t>
      </w:r>
      <w:r>
        <w:rPr>
          <w:rFonts w:hint="eastAsia" w:ascii="仿宋_GB2312" w:hAnsi="仿宋_GB2312" w:eastAsia="仿宋_GB2312" w:cs="仿宋_GB2312"/>
          <w:color w:val="auto"/>
          <w:sz w:val="24"/>
        </w:rPr>
        <w:fldChar w:fldCharType="end"/>
      </w:r>
      <w:r>
        <w:rPr>
          <w:rFonts w:hint="eastAsia" w:ascii="仿宋_GB2312" w:hAnsi="仿宋_GB2312" w:eastAsia="仿宋_GB2312" w:cs="仿宋_GB2312"/>
          <w:color w:val="auto"/>
          <w:sz w:val="24"/>
        </w:rPr>
        <w:fldChar w:fldCharType="end"/>
      </w:r>
    </w:p>
    <w:p>
      <w:pPr>
        <w:pStyle w:val="16"/>
        <w:tabs>
          <w:tab w:val="right" w:leader="dot" w:pos="8306"/>
        </w:tabs>
        <w:spacing w:line="400" w:lineRule="exact"/>
        <w:rPr>
          <w:rFonts w:ascii="仿宋_GB2312" w:hAnsi="仿宋_GB2312" w:eastAsia="仿宋_GB2312" w:cs="仿宋_GB2312"/>
          <w:color w:val="auto"/>
          <w:sz w:val="24"/>
        </w:rPr>
      </w:pPr>
      <w:r>
        <w:rPr>
          <w:color w:val="auto"/>
        </w:rPr>
        <w:fldChar w:fldCharType="begin"/>
      </w:r>
      <w:r>
        <w:rPr>
          <w:color w:val="auto"/>
        </w:rPr>
        <w:instrText xml:space="preserve"> HYPERLINK \l "_Toc12483" </w:instrText>
      </w:r>
      <w:r>
        <w:rPr>
          <w:color w:val="auto"/>
        </w:rPr>
        <w:fldChar w:fldCharType="separate"/>
      </w:r>
      <w:r>
        <w:rPr>
          <w:rFonts w:hint="eastAsia" w:ascii="仿宋_GB2312" w:hAnsi="仿宋_GB2312" w:eastAsia="仿宋_GB2312" w:cs="仿宋_GB2312"/>
          <w:bCs/>
          <w:color w:val="auto"/>
          <w:sz w:val="24"/>
        </w:rPr>
        <w:t>第一章 招标公告</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fldChar w:fldCharType="begin"/>
      </w:r>
      <w:r>
        <w:rPr>
          <w:rFonts w:hint="eastAsia" w:ascii="仿宋_GB2312" w:hAnsi="仿宋_GB2312" w:eastAsia="仿宋_GB2312" w:cs="仿宋_GB2312"/>
          <w:color w:val="auto"/>
          <w:sz w:val="24"/>
        </w:rPr>
        <w:instrText xml:space="preserve"> PAGEREF _Toc12483 \h </w:instrText>
      </w:r>
      <w:r>
        <w:rPr>
          <w:rFonts w:hint="eastAsia" w:ascii="仿宋_GB2312" w:hAnsi="仿宋_GB2312" w:eastAsia="仿宋_GB2312" w:cs="仿宋_GB2312"/>
          <w:color w:val="auto"/>
          <w:sz w:val="24"/>
        </w:rPr>
        <w:fldChar w:fldCharType="separate"/>
      </w:r>
      <w:r>
        <w:rPr>
          <w:rFonts w:hint="eastAsia" w:ascii="仿宋_GB2312" w:hAnsi="仿宋_GB2312" w:eastAsia="仿宋_GB2312" w:cs="仿宋_GB2312"/>
          <w:color w:val="auto"/>
          <w:sz w:val="24"/>
        </w:rPr>
        <w:t>5</w:t>
      </w:r>
      <w:r>
        <w:rPr>
          <w:rFonts w:hint="eastAsia" w:ascii="仿宋_GB2312" w:hAnsi="仿宋_GB2312" w:eastAsia="仿宋_GB2312" w:cs="仿宋_GB2312"/>
          <w:color w:val="auto"/>
          <w:sz w:val="24"/>
        </w:rPr>
        <w:fldChar w:fldCharType="end"/>
      </w:r>
      <w:r>
        <w:rPr>
          <w:rFonts w:hint="eastAsia" w:ascii="仿宋_GB2312" w:hAnsi="仿宋_GB2312" w:eastAsia="仿宋_GB2312" w:cs="仿宋_GB2312"/>
          <w:color w:val="auto"/>
          <w:sz w:val="24"/>
        </w:rPr>
        <w:fldChar w:fldCharType="end"/>
      </w:r>
    </w:p>
    <w:p>
      <w:pPr>
        <w:pStyle w:val="16"/>
        <w:tabs>
          <w:tab w:val="right" w:leader="dot" w:pos="8306"/>
        </w:tabs>
        <w:spacing w:line="400" w:lineRule="exact"/>
        <w:rPr>
          <w:rFonts w:ascii="仿宋_GB2312" w:hAnsi="仿宋_GB2312" w:eastAsia="仿宋_GB2312" w:cs="仿宋_GB2312"/>
          <w:bCs/>
          <w:color w:val="auto"/>
          <w:sz w:val="24"/>
        </w:rPr>
      </w:pPr>
      <w:r>
        <w:rPr>
          <w:color w:val="auto"/>
        </w:rPr>
        <w:fldChar w:fldCharType="begin"/>
      </w:r>
      <w:r>
        <w:rPr>
          <w:color w:val="auto"/>
        </w:rPr>
        <w:instrText xml:space="preserve"> HYPERLINK \l "_Toc25720" </w:instrText>
      </w:r>
      <w:r>
        <w:rPr>
          <w:color w:val="auto"/>
        </w:rPr>
        <w:fldChar w:fldCharType="separate"/>
      </w:r>
      <w:r>
        <w:rPr>
          <w:rFonts w:hint="eastAsia" w:ascii="仿宋_GB2312" w:hAnsi="仿宋_GB2312" w:eastAsia="仿宋_GB2312" w:cs="仿宋_GB2312"/>
          <w:bCs/>
          <w:color w:val="auto"/>
          <w:sz w:val="24"/>
        </w:rPr>
        <w:t>第二章 投标须知</w:t>
      </w:r>
      <w:r>
        <w:rPr>
          <w:rFonts w:hint="eastAsia" w:ascii="仿宋_GB2312" w:hAnsi="仿宋_GB2312" w:eastAsia="仿宋_GB2312" w:cs="仿宋_GB2312"/>
          <w:bCs/>
          <w:color w:val="auto"/>
          <w:sz w:val="24"/>
        </w:rPr>
        <w:tab/>
      </w:r>
      <w:r>
        <w:rPr>
          <w:rFonts w:hint="eastAsia" w:ascii="仿宋_GB2312" w:hAnsi="仿宋_GB2312" w:eastAsia="仿宋_GB2312" w:cs="仿宋_GB2312"/>
          <w:bCs/>
          <w:color w:val="auto"/>
          <w:sz w:val="24"/>
        </w:rPr>
        <w:fldChar w:fldCharType="begin"/>
      </w:r>
      <w:r>
        <w:rPr>
          <w:rFonts w:hint="eastAsia" w:ascii="仿宋_GB2312" w:hAnsi="仿宋_GB2312" w:eastAsia="仿宋_GB2312" w:cs="仿宋_GB2312"/>
          <w:bCs/>
          <w:color w:val="auto"/>
          <w:sz w:val="24"/>
        </w:rPr>
        <w:instrText xml:space="preserve"> PAGEREF _Toc25720 \h </w:instrText>
      </w:r>
      <w:r>
        <w:rPr>
          <w:rFonts w:hint="eastAsia" w:ascii="仿宋_GB2312" w:hAnsi="仿宋_GB2312" w:eastAsia="仿宋_GB2312" w:cs="仿宋_GB2312"/>
          <w:bCs/>
          <w:color w:val="auto"/>
          <w:sz w:val="24"/>
        </w:rPr>
        <w:fldChar w:fldCharType="separate"/>
      </w:r>
      <w:r>
        <w:rPr>
          <w:rFonts w:hint="eastAsia" w:ascii="仿宋_GB2312" w:hAnsi="仿宋_GB2312" w:eastAsia="仿宋_GB2312" w:cs="仿宋_GB2312"/>
          <w:bCs/>
          <w:color w:val="auto"/>
          <w:sz w:val="24"/>
        </w:rPr>
        <w:t>7</w:t>
      </w:r>
      <w:r>
        <w:rPr>
          <w:rFonts w:hint="eastAsia" w:ascii="仿宋_GB2312" w:hAnsi="仿宋_GB2312" w:eastAsia="仿宋_GB2312" w:cs="仿宋_GB2312"/>
          <w:bCs/>
          <w:color w:val="auto"/>
          <w:sz w:val="24"/>
        </w:rPr>
        <w:fldChar w:fldCharType="end"/>
      </w:r>
      <w:r>
        <w:rPr>
          <w:rFonts w:hint="eastAsia" w:ascii="仿宋_GB2312" w:hAnsi="仿宋_GB2312" w:eastAsia="仿宋_GB2312" w:cs="仿宋_GB2312"/>
          <w:bCs/>
          <w:color w:val="auto"/>
          <w:sz w:val="24"/>
        </w:rPr>
        <w:fldChar w:fldCharType="end"/>
      </w:r>
    </w:p>
    <w:p>
      <w:pPr>
        <w:pStyle w:val="16"/>
        <w:tabs>
          <w:tab w:val="right" w:leader="dot" w:pos="8306"/>
        </w:tabs>
        <w:spacing w:line="400" w:lineRule="exact"/>
        <w:rPr>
          <w:rFonts w:ascii="仿宋_GB2312" w:hAnsi="仿宋_GB2312" w:eastAsia="仿宋_GB2312" w:cs="仿宋_GB2312"/>
          <w:bCs/>
          <w:color w:val="auto"/>
          <w:sz w:val="24"/>
        </w:rPr>
      </w:pPr>
      <w:r>
        <w:rPr>
          <w:color w:val="auto"/>
        </w:rPr>
        <w:fldChar w:fldCharType="begin"/>
      </w:r>
      <w:r>
        <w:rPr>
          <w:color w:val="auto"/>
        </w:rPr>
        <w:instrText xml:space="preserve"> HYPERLINK \l "_Toc22047" </w:instrText>
      </w:r>
      <w:r>
        <w:rPr>
          <w:color w:val="auto"/>
        </w:rPr>
        <w:fldChar w:fldCharType="separate"/>
      </w:r>
      <w:r>
        <w:rPr>
          <w:rFonts w:hint="eastAsia" w:ascii="仿宋_GB2312" w:hAnsi="仿宋_GB2312" w:eastAsia="仿宋_GB2312" w:cs="仿宋_GB2312"/>
          <w:bCs/>
          <w:color w:val="auto"/>
          <w:sz w:val="24"/>
        </w:rPr>
        <w:t>第三章 评标程序</w:t>
      </w:r>
      <w:r>
        <w:rPr>
          <w:rFonts w:hint="eastAsia" w:ascii="仿宋_GB2312" w:hAnsi="仿宋_GB2312" w:eastAsia="仿宋_GB2312" w:cs="仿宋_GB2312"/>
          <w:bCs/>
          <w:color w:val="auto"/>
          <w:sz w:val="24"/>
        </w:rPr>
        <w:tab/>
      </w:r>
      <w:r>
        <w:rPr>
          <w:rFonts w:hint="eastAsia" w:ascii="仿宋_GB2312" w:hAnsi="仿宋_GB2312" w:eastAsia="仿宋_GB2312" w:cs="仿宋_GB2312"/>
          <w:bCs/>
          <w:color w:val="auto"/>
          <w:sz w:val="24"/>
        </w:rPr>
        <w:fldChar w:fldCharType="begin"/>
      </w:r>
      <w:r>
        <w:rPr>
          <w:rFonts w:hint="eastAsia" w:ascii="仿宋_GB2312" w:hAnsi="仿宋_GB2312" w:eastAsia="仿宋_GB2312" w:cs="仿宋_GB2312"/>
          <w:bCs/>
          <w:color w:val="auto"/>
          <w:sz w:val="24"/>
        </w:rPr>
        <w:instrText xml:space="preserve"> PAGEREF _Toc22047 \h </w:instrText>
      </w:r>
      <w:r>
        <w:rPr>
          <w:rFonts w:hint="eastAsia" w:ascii="仿宋_GB2312" w:hAnsi="仿宋_GB2312" w:eastAsia="仿宋_GB2312" w:cs="仿宋_GB2312"/>
          <w:bCs/>
          <w:color w:val="auto"/>
          <w:sz w:val="24"/>
        </w:rPr>
        <w:fldChar w:fldCharType="separate"/>
      </w:r>
      <w:r>
        <w:rPr>
          <w:rFonts w:hint="eastAsia" w:ascii="仿宋_GB2312" w:hAnsi="仿宋_GB2312" w:eastAsia="仿宋_GB2312" w:cs="仿宋_GB2312"/>
          <w:bCs/>
          <w:color w:val="auto"/>
          <w:sz w:val="24"/>
        </w:rPr>
        <w:t>9</w:t>
      </w:r>
      <w:r>
        <w:rPr>
          <w:rFonts w:hint="eastAsia" w:ascii="仿宋_GB2312" w:hAnsi="仿宋_GB2312" w:eastAsia="仿宋_GB2312" w:cs="仿宋_GB2312"/>
          <w:bCs/>
          <w:color w:val="auto"/>
          <w:sz w:val="24"/>
        </w:rPr>
        <w:fldChar w:fldCharType="end"/>
      </w:r>
      <w:r>
        <w:rPr>
          <w:rFonts w:hint="eastAsia" w:ascii="仿宋_GB2312" w:hAnsi="仿宋_GB2312" w:eastAsia="仿宋_GB2312" w:cs="仿宋_GB2312"/>
          <w:bCs/>
          <w:color w:val="auto"/>
          <w:sz w:val="24"/>
        </w:rPr>
        <w:fldChar w:fldCharType="end"/>
      </w:r>
    </w:p>
    <w:p>
      <w:pPr>
        <w:pStyle w:val="16"/>
        <w:tabs>
          <w:tab w:val="right" w:leader="dot" w:pos="8306"/>
        </w:tabs>
        <w:spacing w:line="400" w:lineRule="exact"/>
        <w:rPr>
          <w:rFonts w:ascii="仿宋_GB2312" w:hAnsi="仿宋_GB2312" w:eastAsia="仿宋_GB2312" w:cs="仿宋_GB2312"/>
          <w:bCs/>
          <w:color w:val="auto"/>
          <w:sz w:val="24"/>
        </w:rPr>
      </w:pPr>
      <w:r>
        <w:rPr>
          <w:color w:val="auto"/>
        </w:rPr>
        <w:fldChar w:fldCharType="begin"/>
      </w:r>
      <w:r>
        <w:rPr>
          <w:color w:val="auto"/>
        </w:rPr>
        <w:instrText xml:space="preserve"> HYPERLINK \l "_Toc8706" </w:instrText>
      </w:r>
      <w:r>
        <w:rPr>
          <w:color w:val="auto"/>
        </w:rPr>
        <w:fldChar w:fldCharType="separate"/>
      </w:r>
      <w:r>
        <w:rPr>
          <w:rFonts w:hint="eastAsia" w:ascii="仿宋_GB2312" w:hAnsi="仿宋_GB2312" w:eastAsia="仿宋_GB2312" w:cs="仿宋_GB2312"/>
          <w:bCs/>
          <w:color w:val="auto"/>
          <w:sz w:val="24"/>
        </w:rPr>
        <w:t>第四章 合同格式及合同条款</w:t>
      </w:r>
      <w:r>
        <w:rPr>
          <w:rFonts w:hint="eastAsia" w:ascii="仿宋_GB2312" w:hAnsi="仿宋_GB2312" w:eastAsia="仿宋_GB2312" w:cs="仿宋_GB2312"/>
          <w:bCs/>
          <w:color w:val="auto"/>
          <w:sz w:val="24"/>
        </w:rPr>
        <w:tab/>
      </w:r>
      <w:r>
        <w:rPr>
          <w:rFonts w:hint="eastAsia" w:ascii="仿宋_GB2312" w:hAnsi="仿宋_GB2312" w:eastAsia="仿宋_GB2312" w:cs="仿宋_GB2312"/>
          <w:bCs/>
          <w:color w:val="auto"/>
          <w:sz w:val="24"/>
        </w:rPr>
        <w:fldChar w:fldCharType="begin"/>
      </w:r>
      <w:r>
        <w:rPr>
          <w:rFonts w:hint="eastAsia" w:ascii="仿宋_GB2312" w:hAnsi="仿宋_GB2312" w:eastAsia="仿宋_GB2312" w:cs="仿宋_GB2312"/>
          <w:bCs/>
          <w:color w:val="auto"/>
          <w:sz w:val="24"/>
        </w:rPr>
        <w:instrText xml:space="preserve"> PAGEREF _Toc8706 \h </w:instrText>
      </w:r>
      <w:r>
        <w:rPr>
          <w:rFonts w:hint="eastAsia" w:ascii="仿宋_GB2312" w:hAnsi="仿宋_GB2312" w:eastAsia="仿宋_GB2312" w:cs="仿宋_GB2312"/>
          <w:bCs/>
          <w:color w:val="auto"/>
          <w:sz w:val="24"/>
        </w:rPr>
        <w:fldChar w:fldCharType="separate"/>
      </w:r>
      <w:r>
        <w:rPr>
          <w:rFonts w:hint="eastAsia" w:ascii="仿宋_GB2312" w:hAnsi="仿宋_GB2312" w:eastAsia="仿宋_GB2312" w:cs="仿宋_GB2312"/>
          <w:bCs/>
          <w:color w:val="auto"/>
          <w:sz w:val="24"/>
        </w:rPr>
        <w:t>11</w:t>
      </w:r>
      <w:r>
        <w:rPr>
          <w:rFonts w:hint="eastAsia" w:ascii="仿宋_GB2312" w:hAnsi="仿宋_GB2312" w:eastAsia="仿宋_GB2312" w:cs="仿宋_GB2312"/>
          <w:bCs/>
          <w:color w:val="auto"/>
          <w:sz w:val="24"/>
        </w:rPr>
        <w:fldChar w:fldCharType="end"/>
      </w:r>
      <w:r>
        <w:rPr>
          <w:rFonts w:hint="eastAsia" w:ascii="仿宋_GB2312" w:hAnsi="仿宋_GB2312" w:eastAsia="仿宋_GB2312" w:cs="仿宋_GB2312"/>
          <w:bCs/>
          <w:color w:val="auto"/>
          <w:sz w:val="24"/>
        </w:rPr>
        <w:fldChar w:fldCharType="end"/>
      </w:r>
    </w:p>
    <w:p>
      <w:pPr>
        <w:pStyle w:val="16"/>
        <w:tabs>
          <w:tab w:val="right" w:leader="dot" w:pos="8306"/>
        </w:tabs>
        <w:spacing w:line="400" w:lineRule="exact"/>
        <w:rPr>
          <w:rFonts w:ascii="仿宋_GB2312" w:hAnsi="仿宋_GB2312" w:eastAsia="仿宋_GB2312" w:cs="仿宋_GB2312"/>
          <w:color w:val="auto"/>
          <w:sz w:val="24"/>
        </w:rPr>
      </w:pPr>
      <w:r>
        <w:rPr>
          <w:color w:val="auto"/>
        </w:rPr>
        <w:fldChar w:fldCharType="begin"/>
      </w:r>
      <w:r>
        <w:rPr>
          <w:color w:val="auto"/>
        </w:rPr>
        <w:instrText xml:space="preserve"> HYPERLINK \l "_Toc2114" </w:instrText>
      </w:r>
      <w:r>
        <w:rPr>
          <w:color w:val="auto"/>
        </w:rPr>
        <w:fldChar w:fldCharType="separate"/>
      </w:r>
      <w:r>
        <w:rPr>
          <w:rFonts w:hint="eastAsia" w:ascii="仿宋_GB2312" w:hAnsi="仿宋_GB2312" w:eastAsia="仿宋_GB2312" w:cs="仿宋_GB2312"/>
          <w:bCs/>
          <w:color w:val="auto"/>
          <w:sz w:val="24"/>
        </w:rPr>
        <w:t>第五章 用户需求书</w:t>
      </w:r>
      <w:r>
        <w:rPr>
          <w:rFonts w:hint="eastAsia" w:ascii="仿宋_GB2312" w:hAnsi="仿宋_GB2312" w:eastAsia="仿宋_GB2312" w:cs="仿宋_GB2312"/>
          <w:bCs/>
          <w:color w:val="auto"/>
          <w:sz w:val="24"/>
        </w:rPr>
        <w:tab/>
      </w:r>
      <w:r>
        <w:rPr>
          <w:rFonts w:hint="eastAsia" w:ascii="仿宋_GB2312" w:hAnsi="仿宋_GB2312" w:eastAsia="仿宋_GB2312" w:cs="仿宋_GB2312"/>
          <w:bCs/>
          <w:color w:val="auto"/>
          <w:sz w:val="24"/>
        </w:rPr>
        <w:fldChar w:fldCharType="begin"/>
      </w:r>
      <w:r>
        <w:rPr>
          <w:rFonts w:hint="eastAsia" w:ascii="仿宋_GB2312" w:hAnsi="仿宋_GB2312" w:eastAsia="仿宋_GB2312" w:cs="仿宋_GB2312"/>
          <w:bCs/>
          <w:color w:val="auto"/>
          <w:sz w:val="24"/>
        </w:rPr>
        <w:instrText xml:space="preserve"> PAGEREF _Toc2114 \h </w:instrText>
      </w:r>
      <w:r>
        <w:rPr>
          <w:rFonts w:hint="eastAsia" w:ascii="仿宋_GB2312" w:hAnsi="仿宋_GB2312" w:eastAsia="仿宋_GB2312" w:cs="仿宋_GB2312"/>
          <w:bCs/>
          <w:color w:val="auto"/>
          <w:sz w:val="24"/>
        </w:rPr>
        <w:fldChar w:fldCharType="separate"/>
      </w:r>
      <w:r>
        <w:rPr>
          <w:rFonts w:hint="eastAsia" w:ascii="仿宋_GB2312" w:hAnsi="仿宋_GB2312" w:eastAsia="仿宋_GB2312" w:cs="仿宋_GB2312"/>
          <w:bCs/>
          <w:color w:val="auto"/>
          <w:sz w:val="24"/>
        </w:rPr>
        <w:t>20</w:t>
      </w:r>
      <w:r>
        <w:rPr>
          <w:rFonts w:hint="eastAsia" w:ascii="仿宋_GB2312" w:hAnsi="仿宋_GB2312" w:eastAsia="仿宋_GB2312" w:cs="仿宋_GB2312"/>
          <w:bCs/>
          <w:color w:val="auto"/>
          <w:sz w:val="24"/>
        </w:rPr>
        <w:fldChar w:fldCharType="end"/>
      </w:r>
      <w:r>
        <w:rPr>
          <w:rFonts w:hint="eastAsia" w:ascii="仿宋_GB2312" w:hAnsi="仿宋_GB2312" w:eastAsia="仿宋_GB2312" w:cs="仿宋_GB2312"/>
          <w:bCs/>
          <w:color w:val="auto"/>
          <w:sz w:val="24"/>
        </w:rPr>
        <w:fldChar w:fldCharType="end"/>
      </w:r>
    </w:p>
    <w:p>
      <w:pPr>
        <w:pStyle w:val="16"/>
        <w:tabs>
          <w:tab w:val="right" w:leader="dot" w:pos="8306"/>
        </w:tabs>
        <w:spacing w:line="400" w:lineRule="exact"/>
        <w:rPr>
          <w:rFonts w:ascii="仿宋_GB2312" w:hAnsi="仿宋_GB2312" w:eastAsia="仿宋_GB2312" w:cs="仿宋_GB2312"/>
          <w:color w:val="auto"/>
          <w:sz w:val="24"/>
        </w:rPr>
      </w:pPr>
      <w:r>
        <w:rPr>
          <w:color w:val="auto"/>
        </w:rPr>
        <w:fldChar w:fldCharType="begin"/>
      </w:r>
      <w:r>
        <w:rPr>
          <w:color w:val="auto"/>
        </w:rPr>
        <w:instrText xml:space="preserve"> HYPERLINK \l "_Toc2426" </w:instrText>
      </w:r>
      <w:r>
        <w:rPr>
          <w:color w:val="auto"/>
        </w:rPr>
        <w:fldChar w:fldCharType="separate"/>
      </w:r>
      <w:r>
        <w:rPr>
          <w:rFonts w:hint="eastAsia" w:ascii="仿宋_GB2312" w:hAnsi="仿宋_GB2312" w:eastAsia="仿宋_GB2312" w:cs="仿宋_GB2312"/>
          <w:bCs/>
          <w:color w:val="auto"/>
          <w:sz w:val="24"/>
        </w:rPr>
        <w:t>第六章 投标文件初审及招标项目评分表</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fldChar w:fldCharType="begin"/>
      </w:r>
      <w:r>
        <w:rPr>
          <w:rFonts w:hint="eastAsia" w:ascii="仿宋_GB2312" w:hAnsi="仿宋_GB2312" w:eastAsia="仿宋_GB2312" w:cs="仿宋_GB2312"/>
          <w:color w:val="auto"/>
          <w:sz w:val="24"/>
        </w:rPr>
        <w:instrText xml:space="preserve"> PAGEREF _Toc2426 \h </w:instrText>
      </w:r>
      <w:r>
        <w:rPr>
          <w:rFonts w:hint="eastAsia" w:ascii="仿宋_GB2312" w:hAnsi="仿宋_GB2312" w:eastAsia="仿宋_GB2312" w:cs="仿宋_GB2312"/>
          <w:color w:val="auto"/>
          <w:sz w:val="24"/>
        </w:rPr>
        <w:fldChar w:fldCharType="separate"/>
      </w:r>
      <w:r>
        <w:rPr>
          <w:rFonts w:hint="eastAsia" w:ascii="仿宋_GB2312" w:hAnsi="仿宋_GB2312" w:eastAsia="仿宋_GB2312" w:cs="仿宋_GB2312"/>
          <w:color w:val="auto"/>
          <w:sz w:val="24"/>
        </w:rPr>
        <w:t>26</w:t>
      </w:r>
      <w:r>
        <w:rPr>
          <w:rFonts w:hint="eastAsia" w:ascii="仿宋_GB2312" w:hAnsi="仿宋_GB2312" w:eastAsia="仿宋_GB2312" w:cs="仿宋_GB2312"/>
          <w:color w:val="auto"/>
          <w:sz w:val="24"/>
        </w:rPr>
        <w:fldChar w:fldCharType="end"/>
      </w:r>
      <w:r>
        <w:rPr>
          <w:rFonts w:hint="eastAsia" w:ascii="仿宋_GB2312" w:hAnsi="仿宋_GB2312" w:eastAsia="仿宋_GB2312" w:cs="仿宋_GB2312"/>
          <w:color w:val="auto"/>
          <w:sz w:val="24"/>
        </w:rPr>
        <w:fldChar w:fldCharType="end"/>
      </w:r>
    </w:p>
    <w:p>
      <w:pPr>
        <w:pStyle w:val="16"/>
        <w:tabs>
          <w:tab w:val="right" w:leader="dot" w:pos="8306"/>
        </w:tabs>
        <w:spacing w:line="400" w:lineRule="exact"/>
        <w:rPr>
          <w:rFonts w:ascii="仿宋_GB2312" w:hAnsi="仿宋_GB2312" w:eastAsia="仿宋_GB2312" w:cs="仿宋_GB2312"/>
          <w:color w:val="auto"/>
          <w:sz w:val="24"/>
        </w:rPr>
      </w:pPr>
      <w:r>
        <w:rPr>
          <w:color w:val="auto"/>
        </w:rPr>
        <w:fldChar w:fldCharType="begin"/>
      </w:r>
      <w:r>
        <w:rPr>
          <w:color w:val="auto"/>
        </w:rPr>
        <w:instrText xml:space="preserve"> HYPERLINK \l "_Toc16392" </w:instrText>
      </w:r>
      <w:r>
        <w:rPr>
          <w:color w:val="auto"/>
        </w:rPr>
        <w:fldChar w:fldCharType="separate"/>
      </w:r>
      <w:r>
        <w:rPr>
          <w:rFonts w:hint="eastAsia" w:ascii="仿宋_GB2312" w:hAnsi="仿宋_GB2312" w:eastAsia="仿宋_GB2312" w:cs="仿宋_GB2312"/>
          <w:bCs/>
          <w:color w:val="auto"/>
          <w:sz w:val="24"/>
        </w:rPr>
        <w:t>第七章 附件（投标文件格式）</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fldChar w:fldCharType="begin"/>
      </w:r>
      <w:r>
        <w:rPr>
          <w:rFonts w:hint="eastAsia" w:ascii="仿宋_GB2312" w:hAnsi="仿宋_GB2312" w:eastAsia="仿宋_GB2312" w:cs="仿宋_GB2312"/>
          <w:color w:val="auto"/>
          <w:sz w:val="24"/>
        </w:rPr>
        <w:instrText xml:space="preserve"> PAGEREF _Toc16392 \h </w:instrText>
      </w:r>
      <w:r>
        <w:rPr>
          <w:rFonts w:hint="eastAsia" w:ascii="仿宋_GB2312" w:hAnsi="仿宋_GB2312" w:eastAsia="仿宋_GB2312" w:cs="仿宋_GB2312"/>
          <w:color w:val="auto"/>
          <w:sz w:val="24"/>
        </w:rPr>
        <w:fldChar w:fldCharType="separate"/>
      </w:r>
      <w:r>
        <w:rPr>
          <w:rFonts w:hint="eastAsia" w:ascii="仿宋_GB2312" w:hAnsi="仿宋_GB2312" w:eastAsia="仿宋_GB2312" w:cs="仿宋_GB2312"/>
          <w:color w:val="auto"/>
          <w:sz w:val="24"/>
        </w:rPr>
        <w:t>27</w:t>
      </w:r>
      <w:r>
        <w:rPr>
          <w:rFonts w:hint="eastAsia" w:ascii="仿宋_GB2312" w:hAnsi="仿宋_GB2312" w:eastAsia="仿宋_GB2312" w:cs="仿宋_GB2312"/>
          <w:color w:val="auto"/>
          <w:sz w:val="24"/>
        </w:rPr>
        <w:fldChar w:fldCharType="end"/>
      </w:r>
      <w:r>
        <w:rPr>
          <w:rFonts w:hint="eastAsia" w:ascii="仿宋_GB2312" w:hAnsi="仿宋_GB2312" w:eastAsia="仿宋_GB2312" w:cs="仿宋_GB2312"/>
          <w:color w:val="auto"/>
          <w:sz w:val="24"/>
        </w:rPr>
        <w:fldChar w:fldCharType="end"/>
      </w:r>
    </w:p>
    <w:p>
      <w:pPr>
        <w:pStyle w:val="16"/>
        <w:tabs>
          <w:tab w:val="right" w:leader="dot" w:pos="8306"/>
        </w:tabs>
        <w:spacing w:line="400" w:lineRule="exact"/>
        <w:rPr>
          <w:rFonts w:ascii="仿宋_GB2312" w:hAnsi="仿宋_GB2312" w:eastAsia="仿宋_GB2312" w:cs="仿宋_GB2312"/>
          <w:color w:val="auto"/>
          <w:sz w:val="24"/>
        </w:rPr>
      </w:pPr>
      <w:r>
        <w:rPr>
          <w:color w:val="auto"/>
        </w:rPr>
        <w:fldChar w:fldCharType="begin"/>
      </w:r>
      <w:r>
        <w:rPr>
          <w:color w:val="auto"/>
        </w:rPr>
        <w:instrText xml:space="preserve"> HYPERLINK \l "_Toc1832" </w:instrText>
      </w:r>
      <w:r>
        <w:rPr>
          <w:color w:val="auto"/>
        </w:rPr>
        <w:fldChar w:fldCharType="separate"/>
      </w:r>
      <w:r>
        <w:rPr>
          <w:rFonts w:hint="eastAsia" w:ascii="仿宋_GB2312" w:hAnsi="仿宋_GB2312" w:eastAsia="仿宋_GB2312" w:cs="仿宋_GB2312"/>
          <w:bCs/>
          <w:color w:val="auto"/>
          <w:sz w:val="24"/>
        </w:rPr>
        <w:t>附件：相关政策</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fldChar w:fldCharType="begin"/>
      </w:r>
      <w:r>
        <w:rPr>
          <w:rFonts w:hint="eastAsia" w:ascii="仿宋_GB2312" w:hAnsi="仿宋_GB2312" w:eastAsia="仿宋_GB2312" w:cs="仿宋_GB2312"/>
          <w:color w:val="auto"/>
          <w:sz w:val="24"/>
        </w:rPr>
        <w:instrText xml:space="preserve"> PAGEREF _Toc1832 \h </w:instrText>
      </w:r>
      <w:r>
        <w:rPr>
          <w:rFonts w:hint="eastAsia" w:ascii="仿宋_GB2312" w:hAnsi="仿宋_GB2312" w:eastAsia="仿宋_GB2312" w:cs="仿宋_GB2312"/>
          <w:color w:val="auto"/>
          <w:sz w:val="24"/>
        </w:rPr>
        <w:fldChar w:fldCharType="separate"/>
      </w:r>
      <w:r>
        <w:rPr>
          <w:rFonts w:hint="eastAsia" w:ascii="仿宋_GB2312" w:hAnsi="仿宋_GB2312" w:eastAsia="仿宋_GB2312" w:cs="仿宋_GB2312"/>
          <w:color w:val="auto"/>
          <w:sz w:val="24"/>
        </w:rPr>
        <w:t>50</w:t>
      </w:r>
      <w:r>
        <w:rPr>
          <w:rFonts w:hint="eastAsia" w:ascii="仿宋_GB2312" w:hAnsi="仿宋_GB2312" w:eastAsia="仿宋_GB2312" w:cs="仿宋_GB2312"/>
          <w:color w:val="auto"/>
          <w:sz w:val="24"/>
        </w:rPr>
        <w:fldChar w:fldCharType="end"/>
      </w:r>
      <w:r>
        <w:rPr>
          <w:rFonts w:hint="eastAsia" w:ascii="仿宋_GB2312" w:hAnsi="仿宋_GB2312" w:eastAsia="仿宋_GB2312" w:cs="仿宋_GB2312"/>
          <w:color w:val="auto"/>
          <w:sz w:val="24"/>
        </w:rPr>
        <w:fldChar w:fldCharType="end"/>
      </w:r>
    </w:p>
    <w:p>
      <w:pPr>
        <w:pStyle w:val="16"/>
        <w:tabs>
          <w:tab w:val="right" w:leader="dot" w:pos="8306"/>
        </w:tabs>
        <w:spacing w:line="400" w:lineRule="exact"/>
        <w:rPr>
          <w:rFonts w:ascii="仿宋_GB2312" w:hAnsi="仿宋_GB2312" w:eastAsia="仿宋_GB2312" w:cs="仿宋_GB2312"/>
          <w:b/>
          <w:bCs/>
          <w:color w:val="auto"/>
          <w:sz w:val="24"/>
        </w:rPr>
      </w:pPr>
      <w:r>
        <w:rPr>
          <w:rFonts w:hint="eastAsia" w:ascii="仿宋_GB2312" w:hAnsi="仿宋_GB2312" w:eastAsia="仿宋_GB2312" w:cs="仿宋_GB2312"/>
          <w:color w:val="auto"/>
          <w:sz w:val="24"/>
        </w:rPr>
        <w:fldChar w:fldCharType="end"/>
      </w:r>
    </w:p>
    <w:p>
      <w:pPr>
        <w:spacing w:line="400" w:lineRule="exact"/>
        <w:rPr>
          <w:rFonts w:ascii="仿宋_GB2312" w:hAnsi="仿宋_GB2312" w:eastAsia="仿宋_GB2312" w:cs="仿宋_GB2312"/>
          <w:color w:val="auto"/>
        </w:rPr>
      </w:pPr>
    </w:p>
    <w:p>
      <w:pPr>
        <w:numPr>
          <w:ilvl w:val="0"/>
          <w:numId w:val="1"/>
        </w:numPr>
        <w:spacing w:line="400" w:lineRule="exact"/>
        <w:jc w:val="center"/>
        <w:outlineLvl w:val="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32"/>
          <w:szCs w:val="28"/>
        </w:rPr>
        <w:br w:type="page"/>
      </w:r>
      <w:r>
        <w:rPr>
          <w:rFonts w:hint="eastAsia" w:ascii="仿宋_GB2312" w:hAnsi="仿宋_GB2312" w:eastAsia="仿宋_GB2312" w:cs="仿宋_GB2312"/>
          <w:b/>
          <w:bCs/>
          <w:color w:val="auto"/>
          <w:sz w:val="32"/>
          <w:szCs w:val="28"/>
          <w:lang w:val="en-US" w:eastAsia="zh-CN"/>
        </w:rPr>
        <w:t xml:space="preserve">  </w:t>
      </w:r>
      <w:r>
        <w:rPr>
          <w:rFonts w:hint="eastAsia" w:ascii="仿宋_GB2312" w:hAnsi="仿宋_GB2312" w:eastAsia="仿宋_GB2312" w:cs="仿宋_GB2312"/>
          <w:b/>
          <w:bCs/>
          <w:color w:val="auto"/>
          <w:sz w:val="24"/>
        </w:rPr>
        <w:t>招标公告</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前海合作区2023年度办公用房市场租金评估项目</w:t>
      </w:r>
      <w:r>
        <w:rPr>
          <w:rFonts w:hint="eastAsia" w:ascii="仿宋_GB2312" w:hAnsi="仿宋_GB2312" w:eastAsia="仿宋_GB2312" w:cs="仿宋_GB2312"/>
          <w:color w:val="auto"/>
          <w:sz w:val="24"/>
          <w:u w:val="single"/>
        </w:rPr>
        <w:t>（招标编号：</w:t>
      </w:r>
      <w:r>
        <w:rPr>
          <w:rFonts w:hint="eastAsia" w:ascii="仿宋_GB2312" w:hAnsi="仿宋_GB2312" w:eastAsia="仿宋_GB2312" w:cs="仿宋_GB2312"/>
          <w:color w:val="auto"/>
          <w:sz w:val="24"/>
          <w:u w:val="single"/>
          <w:lang w:val="en-US" w:eastAsia="zh-CN"/>
        </w:rPr>
        <w:t>QH2023098</w:t>
      </w:r>
      <w:r>
        <w:rPr>
          <w:rFonts w:hint="eastAsia" w:ascii="仿宋_GB2312" w:hAnsi="仿宋_GB2312" w:eastAsia="仿宋_GB2312" w:cs="仿宋_GB2312"/>
          <w:color w:val="auto"/>
          <w:sz w:val="24"/>
        </w:rPr>
        <w:t>）采用公开征集供应商简易招标方式采购，欢迎符合投标单位资格要求的专业供应商积极参加投标。</w:t>
      </w:r>
    </w:p>
    <w:tbl>
      <w:tblPr>
        <w:tblStyle w:val="21"/>
        <w:tblW w:w="889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7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招标文件编号</w:t>
            </w:r>
          </w:p>
        </w:tc>
        <w:tc>
          <w:tcPr>
            <w:tcW w:w="708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rPr>
                <w:rFonts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QH2023098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bidi="ar"/>
              </w:rPr>
              <w:t>招标项目名称</w:t>
            </w:r>
          </w:p>
        </w:tc>
        <w:tc>
          <w:tcPr>
            <w:tcW w:w="708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bidi="ar"/>
              </w:rPr>
              <w:t>前海合作区2023年度办公用房市场租金评估项目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bidi="ar"/>
              </w:rPr>
              <w:t>标的内容</w:t>
            </w:r>
          </w:p>
        </w:tc>
        <w:tc>
          <w:tcPr>
            <w:tcW w:w="708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rPr>
                <w:rFonts w:hint="eastAsia" w:ascii="仿宋_GB2312" w:hAnsi="仿宋_GB2312" w:eastAsia="仿宋_GB2312" w:cs="仿宋_GB2312"/>
                <w:b/>
                <w:bCs/>
                <w:color w:val="auto"/>
                <w:sz w:val="22"/>
                <w:szCs w:val="22"/>
                <w:lang w:eastAsia="zh-CN" w:bidi="ar"/>
              </w:rPr>
            </w:pPr>
            <w:r>
              <w:rPr>
                <w:rFonts w:hint="eastAsia" w:ascii="仿宋_GB2312" w:hAnsi="仿宋_GB2312" w:eastAsia="仿宋_GB2312" w:cs="仿宋_GB2312"/>
                <w:b/>
                <w:bCs/>
                <w:color w:val="auto"/>
                <w:sz w:val="22"/>
                <w:szCs w:val="22"/>
                <w:lang w:eastAsia="zh-CN" w:bidi="ar"/>
              </w:rPr>
              <w:t>项目背景：</w:t>
            </w:r>
          </w:p>
          <w:p>
            <w:pPr>
              <w:snapToGrid w:val="0"/>
              <w:spacing w:after="0" w:line="380" w:lineRule="exact"/>
              <w:ind w:firstLine="440" w:firstLineChars="200"/>
              <w:rPr>
                <w:rFonts w:hint="eastAsia" w:ascii="仿宋_GB2312" w:hAnsi="仿宋_GB2312" w:eastAsia="仿宋_GB2312" w:cs="仿宋_GB2312"/>
                <w:color w:val="auto"/>
                <w:sz w:val="22"/>
                <w:szCs w:val="22"/>
                <w:lang w:eastAsia="zh-CN" w:bidi="ar"/>
              </w:rPr>
            </w:pPr>
            <w:r>
              <w:rPr>
                <w:rFonts w:hint="eastAsia" w:ascii="仿宋_GB2312" w:hAnsi="仿宋_GB2312" w:eastAsia="仿宋_GB2312" w:cs="仿宋_GB2312"/>
                <w:color w:val="auto"/>
                <w:sz w:val="22"/>
                <w:szCs w:val="22"/>
                <w:lang w:eastAsia="zh-CN" w:bidi="ar"/>
              </w:rPr>
              <w:t>根据《深圳前海深港现代服务业合作区促进企业回归办公用房租金补贴办法》（深前海规〔2019〕8号）和《深圳市前海深港现代服务业合作区促进产业集聚办公用房资金补贴办法》（深前海规〔202</w:t>
            </w:r>
            <w:r>
              <w:rPr>
                <w:rFonts w:hint="eastAsia" w:ascii="仿宋_GB2312" w:hAnsi="仿宋_GB2312" w:eastAsia="仿宋_GB2312" w:cs="仿宋_GB2312"/>
                <w:color w:val="auto"/>
                <w:sz w:val="22"/>
                <w:szCs w:val="22"/>
                <w:lang w:val="en-US" w:eastAsia="zh-CN" w:bidi="ar"/>
              </w:rPr>
              <w:t>3</w:t>
            </w:r>
            <w:r>
              <w:rPr>
                <w:rFonts w:hint="eastAsia" w:ascii="仿宋_GB2312" w:hAnsi="仿宋_GB2312" w:eastAsia="仿宋_GB2312" w:cs="仿宋_GB2312"/>
                <w:color w:val="auto"/>
                <w:sz w:val="22"/>
                <w:szCs w:val="22"/>
                <w:lang w:eastAsia="zh-CN" w:bidi="ar"/>
              </w:rPr>
              <w:t>〕</w:t>
            </w:r>
            <w:r>
              <w:rPr>
                <w:rFonts w:hint="eastAsia" w:ascii="仿宋_GB2312" w:hAnsi="仿宋_GB2312" w:eastAsia="仿宋_GB2312" w:cs="仿宋_GB2312"/>
                <w:color w:val="auto"/>
                <w:sz w:val="22"/>
                <w:szCs w:val="22"/>
                <w:lang w:val="en-US" w:eastAsia="zh-CN" w:bidi="ar"/>
              </w:rPr>
              <w:t>8</w:t>
            </w:r>
            <w:r>
              <w:rPr>
                <w:rFonts w:hint="eastAsia" w:ascii="仿宋_GB2312" w:hAnsi="仿宋_GB2312" w:eastAsia="仿宋_GB2312" w:cs="仿宋_GB2312"/>
                <w:color w:val="auto"/>
                <w:sz w:val="22"/>
                <w:szCs w:val="22"/>
                <w:lang w:eastAsia="zh-CN" w:bidi="ar"/>
              </w:rPr>
              <w:t>号）规定，前海管理局需委托第三方专业机构评估区内办公用房项目市场租金价格。</w:t>
            </w:r>
          </w:p>
          <w:p>
            <w:pPr>
              <w:spacing w:line="380" w:lineRule="exact"/>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项目内容：</w:t>
            </w:r>
          </w:p>
          <w:p>
            <w:pPr>
              <w:snapToGrid w:val="0"/>
              <w:spacing w:after="0" w:line="380" w:lineRule="exact"/>
              <w:ind w:firstLine="440" w:firstLineChars="200"/>
              <w:rPr>
                <w:rFonts w:hint="eastAsia"/>
                <w:color w:val="auto"/>
                <w:sz w:val="22"/>
                <w:szCs w:val="22"/>
                <w:lang w:eastAsia="zh-CN"/>
              </w:rPr>
            </w:pPr>
            <w:r>
              <w:rPr>
                <w:rFonts w:hint="eastAsia" w:ascii="仿宋_GB2312" w:hAnsi="仿宋_GB2312" w:eastAsia="仿宋_GB2312" w:cs="仿宋_GB2312"/>
                <w:color w:val="auto"/>
                <w:sz w:val="22"/>
                <w:szCs w:val="22"/>
              </w:rPr>
              <w:t>对前海合作区</w:t>
            </w:r>
            <w:r>
              <w:rPr>
                <w:rFonts w:hint="eastAsia" w:ascii="仿宋_GB2312" w:hAnsi="仿宋_GB2312" w:eastAsia="仿宋_GB2312" w:cs="仿宋_GB2312"/>
                <w:color w:val="auto"/>
                <w:sz w:val="22"/>
                <w:szCs w:val="22"/>
                <w:lang w:eastAsia="zh-CN"/>
              </w:rPr>
              <w:t>区域</w:t>
            </w:r>
            <w:r>
              <w:rPr>
                <w:rFonts w:hint="eastAsia" w:ascii="仿宋_GB2312" w:hAnsi="仿宋_GB2312" w:eastAsia="仿宋_GB2312" w:cs="仿宋_GB2312"/>
                <w:color w:val="auto"/>
                <w:sz w:val="22"/>
                <w:szCs w:val="22"/>
              </w:rPr>
              <w:t>内需评估的办公用房项目进行物业查勘、市场调研，并科学合理建立评估模型；以项目为单位，根据项目实际情况，评估项目市场租金，并</w:t>
            </w:r>
            <w:r>
              <w:rPr>
                <w:rFonts w:hint="eastAsia" w:ascii="仿宋_GB2312" w:hAnsi="仿宋_GB2312" w:eastAsia="仿宋_GB2312" w:cs="仿宋_GB2312"/>
                <w:color w:val="auto"/>
                <w:sz w:val="22"/>
                <w:szCs w:val="22"/>
                <w:lang w:eastAsia="zh-CN"/>
              </w:rPr>
              <w:t>按</w:t>
            </w:r>
            <w:r>
              <w:rPr>
                <w:rFonts w:hint="eastAsia" w:ascii="仿宋_GB2312" w:hAnsi="仿宋_GB2312" w:eastAsia="仿宋_GB2312" w:cs="仿宋_GB2312"/>
                <w:color w:val="auto"/>
                <w:sz w:val="22"/>
                <w:szCs w:val="22"/>
                <w:lang w:val="en-US" w:eastAsia="zh-CN"/>
              </w:rPr>
              <w:t>2023年度上、下半年分别</w:t>
            </w:r>
            <w:r>
              <w:rPr>
                <w:rFonts w:hint="eastAsia" w:ascii="仿宋_GB2312" w:hAnsi="仿宋_GB2312" w:eastAsia="仿宋_GB2312" w:cs="仿宋_GB2312"/>
                <w:color w:val="auto"/>
                <w:sz w:val="22"/>
                <w:szCs w:val="22"/>
              </w:rPr>
              <w:t>出具市场租金</w:t>
            </w:r>
            <w:r>
              <w:rPr>
                <w:rFonts w:hint="eastAsia" w:ascii="仿宋_GB2312" w:hAnsi="仿宋_GB2312" w:eastAsia="仿宋_GB2312" w:cs="仿宋_GB2312"/>
                <w:color w:val="auto"/>
                <w:sz w:val="22"/>
                <w:szCs w:val="22"/>
                <w:lang w:eastAsia="zh-CN"/>
              </w:rPr>
              <w:t>价格</w:t>
            </w:r>
            <w:r>
              <w:rPr>
                <w:rFonts w:hint="eastAsia" w:ascii="仿宋_GB2312" w:hAnsi="仿宋_GB2312" w:eastAsia="仿宋_GB2312" w:cs="仿宋_GB2312"/>
                <w:color w:val="auto"/>
                <w:sz w:val="22"/>
                <w:szCs w:val="22"/>
              </w:rPr>
              <w:t>评估报告。公开发布相关项目市场评估租金，并根据需要进行解释、答疑</w:t>
            </w:r>
            <w:r>
              <w:rPr>
                <w:rFonts w:hint="eastAsia" w:ascii="仿宋_GB2312" w:hAnsi="仿宋_GB2312" w:eastAsia="仿宋_GB2312" w:cs="仿宋_GB2312"/>
                <w:color w:val="auto"/>
                <w:sz w:val="22"/>
                <w:szCs w:val="22"/>
                <w:lang w:eastAsia="zh-CN"/>
              </w:rPr>
              <w:t>（实际评估办公用房项目数量以采购单位</w:t>
            </w:r>
            <w:r>
              <w:rPr>
                <w:rFonts w:hint="eastAsia" w:ascii="仿宋_GB2312" w:hAnsi="仿宋_GB2312" w:eastAsia="仿宋_GB2312" w:cs="仿宋_GB2312"/>
                <w:color w:val="auto"/>
                <w:sz w:val="22"/>
                <w:szCs w:val="22"/>
              </w:rPr>
              <w:t>提出的工作需求为准，</w:t>
            </w:r>
            <w:r>
              <w:rPr>
                <w:rFonts w:hint="eastAsia" w:ascii="仿宋_GB2312" w:hAnsi="仿宋_GB2312" w:eastAsia="仿宋_GB2312" w:cs="仿宋_GB2312"/>
                <w:color w:val="auto"/>
                <w:sz w:val="22"/>
                <w:szCs w:val="22"/>
                <w:lang w:eastAsia="zh-CN"/>
              </w:rPr>
              <w:t>拟评估项目数量</w:t>
            </w:r>
            <w:r>
              <w:rPr>
                <w:rFonts w:hint="eastAsia" w:ascii="仿宋_GB2312" w:hAnsi="仿宋_GB2312" w:eastAsia="仿宋_GB2312" w:cs="仿宋_GB2312"/>
                <w:color w:val="auto"/>
                <w:sz w:val="22"/>
                <w:szCs w:val="22"/>
              </w:rPr>
              <w:t>控制在</w:t>
            </w:r>
            <w:r>
              <w:rPr>
                <w:rFonts w:hint="default" w:ascii="仿宋_GB2312" w:hAnsi="仿宋_GB2312" w:eastAsia="仿宋_GB2312" w:cs="仿宋_GB2312"/>
                <w:color w:val="auto"/>
                <w:sz w:val="22"/>
                <w:szCs w:val="22"/>
                <w:lang w:val="en-US" w:eastAsia="zh-CN"/>
              </w:rPr>
              <w:t>50</w:t>
            </w:r>
            <w:r>
              <w:rPr>
                <w:rFonts w:hint="eastAsia" w:ascii="仿宋_GB2312" w:hAnsi="仿宋_GB2312" w:eastAsia="仿宋_GB2312" w:cs="仿宋_GB2312"/>
                <w:color w:val="auto"/>
                <w:sz w:val="22"/>
                <w:szCs w:val="22"/>
              </w:rPr>
              <w:t>处以内）。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项目预算</w:t>
            </w:r>
          </w:p>
        </w:tc>
        <w:tc>
          <w:tcPr>
            <w:tcW w:w="7086" w:type="dxa"/>
            <w:tcBorders>
              <w:top w:val="single" w:color="auto" w:sz="4" w:space="0"/>
              <w:left w:val="single" w:color="auto" w:sz="4" w:space="0"/>
              <w:bottom w:val="single" w:color="auto" w:sz="4" w:space="0"/>
              <w:right w:val="single" w:color="auto" w:sz="4" w:space="0"/>
            </w:tcBorders>
            <w:vAlign w:val="center"/>
          </w:tcPr>
          <w:p>
            <w:pPr>
              <w:snapToGrid w:val="0"/>
              <w:spacing w:after="60" w:line="380" w:lineRule="exact"/>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bidi="ar"/>
              </w:rPr>
              <w:t>总预算金额为</w:t>
            </w:r>
            <w:r>
              <w:rPr>
                <w:rFonts w:hint="eastAsia" w:ascii="仿宋_GB2312" w:hAnsi="仿宋_GB2312" w:eastAsia="仿宋_GB2312" w:cs="仿宋_GB2312"/>
                <w:color w:val="auto"/>
                <w:sz w:val="22"/>
                <w:szCs w:val="22"/>
                <w:rtl w:val="0"/>
                <w:lang w:val="en-US" w:eastAsia="zh-CN" w:bidi="ar"/>
              </w:rPr>
              <w:t>24.56</w:t>
            </w:r>
            <w:r>
              <w:rPr>
                <w:rFonts w:hint="eastAsia" w:ascii="仿宋_GB2312" w:hAnsi="仿宋_GB2312" w:eastAsia="仿宋_GB2312" w:cs="仿宋_GB2312"/>
                <w:color w:val="auto"/>
                <w:sz w:val="22"/>
                <w:szCs w:val="22"/>
                <w:lang w:bidi="ar"/>
              </w:rPr>
              <w:t>万元。共招</w:t>
            </w:r>
            <w:r>
              <w:rPr>
                <w:rFonts w:hint="eastAsia" w:ascii="仿宋_GB2312" w:hAnsi="仿宋_GB2312" w:eastAsia="仿宋_GB2312" w:cs="仿宋_GB2312"/>
                <w:color w:val="auto"/>
                <w:sz w:val="22"/>
                <w:szCs w:val="22"/>
                <w:lang w:eastAsia="zh-CN" w:bidi="ar"/>
              </w:rPr>
              <w:t>两</w:t>
            </w:r>
            <w:r>
              <w:rPr>
                <w:rFonts w:hint="eastAsia" w:ascii="仿宋_GB2312" w:hAnsi="仿宋_GB2312" w:eastAsia="仿宋_GB2312" w:cs="仿宋_GB2312"/>
                <w:color w:val="auto"/>
                <w:sz w:val="22"/>
                <w:szCs w:val="22"/>
                <w:lang w:bidi="ar"/>
              </w:rPr>
              <w:t>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，每家中标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独立完成本项目全部工作，每家中标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预算金额上限为</w:t>
            </w:r>
            <w:r>
              <w:rPr>
                <w:rFonts w:hint="eastAsia" w:ascii="仿宋_GB2312" w:hAnsi="仿宋_GB2312" w:eastAsia="仿宋_GB2312" w:cs="仿宋_GB2312"/>
                <w:color w:val="auto"/>
                <w:sz w:val="22"/>
                <w:szCs w:val="22"/>
                <w:lang w:val="en-US" w:eastAsia="zh-CN" w:bidi="ar"/>
              </w:rPr>
              <w:t>12.28</w:t>
            </w:r>
            <w:r>
              <w:rPr>
                <w:rFonts w:hint="eastAsia" w:ascii="仿宋_GB2312" w:hAnsi="仿宋_GB2312" w:eastAsia="仿宋_GB2312" w:cs="仿宋_GB2312"/>
                <w:color w:val="auto"/>
                <w:sz w:val="22"/>
                <w:szCs w:val="22"/>
                <w:lang w:bidi="ar"/>
              </w:rPr>
              <w:t xml:space="preserve">万元 </w:t>
            </w:r>
            <w:r>
              <w:rPr>
                <w:rFonts w:hint="eastAsia" w:ascii="仿宋_GB2312" w:hAnsi="仿宋_GB2312" w:eastAsia="仿宋_GB2312" w:cs="仿宋_GB2312"/>
                <w:color w:val="auto"/>
                <w:sz w:val="22"/>
                <w:szCs w:val="22"/>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标书获得办法</w:t>
            </w:r>
          </w:p>
        </w:tc>
        <w:tc>
          <w:tcPr>
            <w:tcW w:w="708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报名方式</w:t>
            </w:r>
          </w:p>
        </w:tc>
        <w:tc>
          <w:tcPr>
            <w:tcW w:w="7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80" w:lineRule="exact"/>
              <w:rPr>
                <w:rFonts w:hint="eastAsia" w:ascii="仿宋_GB2312" w:hAnsi="仿宋_GB2312" w:eastAsia="仿宋_GB2312" w:cs="仿宋_GB2312"/>
                <w:color w:val="auto"/>
                <w:kern w:val="0"/>
                <w:sz w:val="22"/>
                <w:szCs w:val="22"/>
                <w:lang w:eastAsia="zh-CN" w:bidi="ar"/>
              </w:rPr>
            </w:pPr>
            <w:r>
              <w:rPr>
                <w:rFonts w:hint="eastAsia" w:ascii="仿宋_GB2312" w:hAnsi="仿宋_GB2312" w:eastAsia="仿宋_GB2312" w:cs="仿宋_GB2312"/>
                <w:color w:val="auto"/>
                <w:kern w:val="0"/>
                <w:sz w:val="22"/>
                <w:szCs w:val="22"/>
                <w:lang w:bidi="ar"/>
              </w:rPr>
              <w:t>将投标文件（一式五份，正本</w:t>
            </w:r>
            <w:r>
              <w:rPr>
                <w:rFonts w:hint="eastAsia" w:ascii="仿宋_GB2312" w:hAnsi="仿宋_GB2312" w:eastAsia="仿宋_GB2312" w:cs="仿宋_GB2312"/>
                <w:color w:val="auto"/>
                <w:kern w:val="0"/>
                <w:sz w:val="22"/>
                <w:szCs w:val="22"/>
                <w:lang w:eastAsia="zh-CN" w:bidi="ar"/>
              </w:rPr>
              <w:t>一</w:t>
            </w:r>
            <w:r>
              <w:rPr>
                <w:rFonts w:hint="eastAsia" w:ascii="仿宋_GB2312" w:hAnsi="仿宋_GB2312" w:eastAsia="仿宋_GB2312" w:cs="仿宋_GB2312"/>
                <w:color w:val="auto"/>
                <w:kern w:val="0"/>
                <w:sz w:val="22"/>
                <w:szCs w:val="22"/>
                <w:lang w:bidi="ar"/>
              </w:rPr>
              <w:t>份，副本</w:t>
            </w:r>
            <w:r>
              <w:rPr>
                <w:rFonts w:hint="eastAsia" w:ascii="仿宋_GB2312" w:hAnsi="仿宋_GB2312" w:eastAsia="仿宋_GB2312" w:cs="仿宋_GB2312"/>
                <w:color w:val="auto"/>
                <w:kern w:val="0"/>
                <w:sz w:val="22"/>
                <w:szCs w:val="22"/>
                <w:lang w:eastAsia="zh-CN" w:bidi="ar"/>
              </w:rPr>
              <w:t>四</w:t>
            </w:r>
            <w:r>
              <w:rPr>
                <w:rFonts w:hint="eastAsia" w:ascii="仿宋_GB2312" w:hAnsi="仿宋_GB2312" w:eastAsia="仿宋_GB2312" w:cs="仿宋_GB2312"/>
                <w:color w:val="auto"/>
                <w:kern w:val="0"/>
                <w:sz w:val="22"/>
                <w:szCs w:val="22"/>
                <w:lang w:bidi="ar"/>
              </w:rPr>
              <w:t>份，附电子版，电子版是以光盘、U盘或硬盘等移动存储介质提交的加盖公章的PDF电子投标文件）密封并在2023年</w:t>
            </w:r>
            <w:r>
              <w:rPr>
                <w:rFonts w:hint="eastAsia" w:ascii="仿宋_GB2312" w:hAnsi="仿宋_GB2312" w:eastAsia="仿宋_GB2312" w:cs="仿宋_GB2312"/>
                <w:color w:val="auto"/>
                <w:kern w:val="0"/>
                <w:sz w:val="22"/>
                <w:szCs w:val="22"/>
                <w:lang w:val="en-US" w:eastAsia="zh-CN" w:bidi="ar"/>
              </w:rPr>
              <w:t>9</w:t>
            </w:r>
            <w:r>
              <w:rPr>
                <w:rFonts w:hint="eastAsia" w:ascii="仿宋_GB2312" w:hAnsi="仿宋_GB2312" w:eastAsia="仿宋_GB2312" w:cs="仿宋_GB2312"/>
                <w:color w:val="auto"/>
                <w:kern w:val="0"/>
                <w:sz w:val="22"/>
                <w:szCs w:val="22"/>
                <w:lang w:bidi="ar"/>
              </w:rPr>
              <w:t>月</w:t>
            </w:r>
            <w:r>
              <w:rPr>
                <w:rFonts w:hint="eastAsia" w:ascii="仿宋_GB2312" w:hAnsi="仿宋_GB2312" w:eastAsia="仿宋_GB2312" w:cs="仿宋_GB2312"/>
                <w:color w:val="auto"/>
                <w:kern w:val="0"/>
                <w:sz w:val="22"/>
                <w:szCs w:val="22"/>
                <w:lang w:val="en-US" w:eastAsia="zh-CN" w:bidi="ar"/>
              </w:rPr>
              <w:t>13</w:t>
            </w:r>
            <w:r>
              <w:rPr>
                <w:rFonts w:hint="eastAsia" w:ascii="仿宋_GB2312" w:hAnsi="仿宋_GB2312" w:eastAsia="仿宋_GB2312" w:cs="仿宋_GB2312"/>
                <w:color w:val="auto"/>
                <w:kern w:val="0"/>
                <w:sz w:val="22"/>
                <w:szCs w:val="22"/>
                <w:lang w:bidi="ar"/>
              </w:rPr>
              <w:t>日</w:t>
            </w:r>
            <w:r>
              <w:rPr>
                <w:rFonts w:hint="eastAsia" w:ascii="仿宋_GB2312" w:hAnsi="仿宋_GB2312" w:eastAsia="仿宋_GB2312" w:cs="仿宋_GB2312"/>
                <w:color w:val="auto"/>
                <w:kern w:val="0"/>
                <w:sz w:val="22"/>
                <w:szCs w:val="22"/>
                <w:lang w:eastAsia="zh-CN" w:bidi="ar"/>
              </w:rPr>
              <w:t>下</w:t>
            </w:r>
            <w:r>
              <w:rPr>
                <w:rFonts w:hint="eastAsia" w:ascii="仿宋_GB2312" w:hAnsi="仿宋_GB2312" w:eastAsia="仿宋_GB2312" w:cs="仿宋_GB2312"/>
                <w:color w:val="auto"/>
                <w:kern w:val="0"/>
                <w:sz w:val="22"/>
                <w:szCs w:val="22"/>
                <w:lang w:bidi="ar"/>
              </w:rPr>
              <w:t>午</w:t>
            </w:r>
            <w:r>
              <w:rPr>
                <w:rFonts w:hint="eastAsia" w:ascii="仿宋_GB2312" w:hAnsi="仿宋_GB2312" w:eastAsia="仿宋_GB2312" w:cs="仿宋_GB2312"/>
                <w:color w:val="auto"/>
                <w:kern w:val="0"/>
                <w:sz w:val="22"/>
                <w:szCs w:val="22"/>
                <w:lang w:val="en-US" w:eastAsia="zh-CN" w:bidi="ar"/>
              </w:rPr>
              <w:t>17</w:t>
            </w:r>
            <w:r>
              <w:rPr>
                <w:rFonts w:hint="eastAsia" w:ascii="仿宋_GB2312" w:hAnsi="仿宋_GB2312" w:eastAsia="仿宋_GB2312" w:cs="仿宋_GB2312"/>
                <w:color w:val="auto"/>
                <w:kern w:val="0"/>
                <w:sz w:val="22"/>
                <w:szCs w:val="22"/>
                <w:lang w:bidi="ar"/>
              </w:rPr>
              <w:t>:00时（北京时间）前送达（现场递交）至深圳市前海合作区桂湾五路123号前海大厦T1栋2313室</w:t>
            </w:r>
            <w:r>
              <w:rPr>
                <w:rFonts w:hint="eastAsia" w:ascii="仿宋_GB2312" w:hAnsi="仿宋_GB2312" w:eastAsia="仿宋_GB2312" w:cs="仿宋_GB2312"/>
                <w:color w:val="auto"/>
                <w:kern w:val="0"/>
                <w:sz w:val="22"/>
                <w:szCs w:val="22"/>
                <w:lang w:eastAsia="zh-CN" w:bidi="ar"/>
              </w:rPr>
              <w:t>。</w:t>
            </w:r>
          </w:p>
          <w:p>
            <w:pPr>
              <w:adjustRightInd w:val="0"/>
              <w:snapToGrid w:val="0"/>
              <w:spacing w:after="0" w:line="380" w:lineRule="exact"/>
              <w:rPr>
                <w:rFonts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bidi="ar"/>
              </w:rPr>
              <w:t>注：如需谈判，需半个小时内到达谈判现场。</w:t>
            </w:r>
          </w:p>
          <w:p>
            <w:pPr>
              <w:adjustRightInd w:val="0"/>
              <w:snapToGrid w:val="0"/>
              <w:spacing w:after="0" w:line="380" w:lineRule="exact"/>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联系人：柯女士  联系电话：0755</w:t>
            </w:r>
            <w:r>
              <w:rPr>
                <w:rFonts w:hint="eastAsia" w:ascii="仿宋_GB2312" w:hAnsi="仿宋_GB2312" w:eastAsia="仿宋_GB2312"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bidi="ar"/>
              </w:rPr>
              <w:t>88105381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投标人资格要求</w:t>
            </w:r>
          </w:p>
        </w:tc>
        <w:tc>
          <w:tcPr>
            <w:tcW w:w="7086" w:type="dxa"/>
            <w:tcBorders>
              <w:top w:val="single" w:color="auto" w:sz="4" w:space="0"/>
              <w:left w:val="single" w:color="auto" w:sz="4" w:space="0"/>
              <w:bottom w:val="single" w:color="auto" w:sz="4" w:space="0"/>
              <w:right w:val="single" w:color="auto" w:sz="4" w:space="0"/>
            </w:tcBorders>
            <w:vAlign w:val="center"/>
          </w:tcPr>
          <w:p>
            <w:pPr>
              <w:pStyle w:val="36"/>
              <w:spacing w:line="380" w:lineRule="exact"/>
              <w:ind w:left="0" w:leftChars="0" w:firstLine="0" w:firstLineChars="0"/>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val="en-US" w:eastAsia="zh-CN" w:bidi="ar"/>
              </w:rPr>
              <w:t>1、</w:t>
            </w:r>
            <w:r>
              <w:rPr>
                <w:rFonts w:hint="eastAsia" w:ascii="仿宋_GB2312" w:hAnsi="仿宋_GB2312" w:eastAsia="仿宋_GB2312" w:cs="仿宋_GB2312"/>
                <w:color w:val="auto"/>
                <w:kern w:val="0"/>
                <w:sz w:val="22"/>
                <w:szCs w:val="22"/>
                <w:lang w:bidi="ar"/>
              </w:rPr>
              <w:t>在中华人民共和国境内注册的具有独立法人资格或具有独立承担民事责任的能力的其它组织（提供营业执照或事业单位法人证等法人证明复印件加盖投标人公章）。</w:t>
            </w:r>
          </w:p>
          <w:p>
            <w:pPr>
              <w:pStyle w:val="36"/>
              <w:spacing w:line="380" w:lineRule="exact"/>
              <w:ind w:left="0" w:leftChars="0" w:firstLine="0" w:firstLineChars="0"/>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val="en-US" w:eastAsia="zh-CN" w:bidi="ar"/>
              </w:rPr>
              <w:t>2、</w:t>
            </w:r>
            <w:r>
              <w:rPr>
                <w:rFonts w:hint="eastAsia" w:ascii="仿宋_GB2312" w:hAnsi="仿宋_GB2312" w:eastAsia="仿宋_GB2312" w:cs="仿宋_GB2312"/>
                <w:color w:val="auto"/>
                <w:kern w:val="0"/>
                <w:sz w:val="22"/>
                <w:szCs w:val="22"/>
                <w:lang w:bidi="ar"/>
              </w:rPr>
              <w:t>参与政府采购项目投标的供应商近三年内（投标人成立不足三年的可从成立之日起算）无行贿犯罪记录（由投标单位在《政府采购投标及履约承诺函》中作出声明）；</w:t>
            </w:r>
          </w:p>
          <w:p>
            <w:pPr>
              <w:pStyle w:val="36"/>
              <w:spacing w:line="380" w:lineRule="exact"/>
              <w:ind w:left="0" w:leftChars="0" w:firstLine="0" w:firstLineChars="0"/>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val="en-US" w:eastAsia="zh-CN" w:bidi="ar"/>
              </w:rPr>
              <w:t>3、</w:t>
            </w:r>
            <w:r>
              <w:rPr>
                <w:rFonts w:hint="eastAsia" w:ascii="仿宋_GB2312" w:hAnsi="仿宋_GB2312" w:eastAsia="仿宋_GB2312" w:cs="仿宋_GB2312"/>
                <w:color w:val="auto"/>
                <w:kern w:val="0"/>
                <w:sz w:val="22"/>
                <w:szCs w:val="22"/>
                <w:lang w:bidi="ar"/>
              </w:rPr>
              <w:t>参与本项目投标前三年内（投标人成立不足三年的可从成立之日起算），在经营活动中没有重大违法记录、以及不存在被有关部门禁止参与政府采购活动且在有效期内的情况（由投标单位在《政府采购投标及履约承诺函》中作出声明）；</w:t>
            </w:r>
          </w:p>
          <w:p>
            <w:pPr>
              <w:pStyle w:val="36"/>
              <w:spacing w:line="380" w:lineRule="exact"/>
              <w:ind w:left="0" w:leftChars="0" w:firstLine="0" w:firstLineChars="0"/>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val="en-US" w:eastAsia="zh-CN" w:bidi="ar"/>
              </w:rPr>
              <w:t>4、</w:t>
            </w:r>
            <w:r>
              <w:rPr>
                <w:rFonts w:hint="eastAsia" w:ascii="仿宋_GB2312" w:hAnsi="仿宋_GB2312" w:eastAsia="仿宋_GB2312" w:cs="仿宋_GB2312"/>
                <w:color w:val="auto"/>
                <w:kern w:val="0"/>
                <w:sz w:val="22"/>
                <w:szCs w:val="22"/>
                <w:lang w:bidi="ar"/>
              </w:rPr>
              <w:t>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由投标单位在《政府采购投标及履约承诺函》中作出声明）；</w:t>
            </w:r>
          </w:p>
          <w:p>
            <w:pPr>
              <w:pStyle w:val="36"/>
              <w:spacing w:line="380" w:lineRule="exact"/>
              <w:ind w:left="0" w:leftChars="0" w:firstLine="0" w:firstLineChars="0"/>
              <w:rPr>
                <w:rFonts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val="en-US" w:eastAsia="zh-CN" w:bidi="ar"/>
              </w:rPr>
              <w:t>5、</w:t>
            </w:r>
            <w:r>
              <w:rPr>
                <w:rFonts w:hint="eastAsia" w:ascii="仿宋_GB2312" w:hAnsi="仿宋_GB2312" w:eastAsia="仿宋_GB2312" w:cs="仿宋_GB2312"/>
                <w:color w:val="auto"/>
                <w:kern w:val="0"/>
                <w:sz w:val="22"/>
                <w:szCs w:val="22"/>
                <w:lang w:bidi="ar"/>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报价要求</w:t>
            </w:r>
          </w:p>
        </w:tc>
        <w:tc>
          <w:tcPr>
            <w:tcW w:w="7086" w:type="dxa"/>
            <w:tcBorders>
              <w:top w:val="single" w:color="auto" w:sz="4" w:space="0"/>
              <w:left w:val="single" w:color="auto" w:sz="4" w:space="0"/>
              <w:bottom w:val="single" w:color="auto" w:sz="4" w:space="0"/>
              <w:right w:val="single" w:color="auto" w:sz="4" w:space="0"/>
            </w:tcBorders>
            <w:vAlign w:val="center"/>
          </w:tcPr>
          <w:p>
            <w:pPr>
              <w:pStyle w:val="37"/>
              <w:spacing w:line="380" w:lineRule="exact"/>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招标控制价为：</w:t>
            </w:r>
            <w:r>
              <w:rPr>
                <w:rFonts w:hint="eastAsia" w:ascii="仿宋_GB2312" w:hAnsi="仿宋_GB2312" w:eastAsia="仿宋_GB2312" w:cs="仿宋_GB2312"/>
                <w:color w:val="auto"/>
                <w:sz w:val="22"/>
                <w:szCs w:val="22"/>
                <w:lang w:eastAsia="zh-CN"/>
              </w:rPr>
              <w:t>每家不超过</w:t>
            </w:r>
            <w:r>
              <w:rPr>
                <w:rFonts w:hint="eastAsia" w:ascii="仿宋_GB2312" w:hAnsi="仿宋_GB2312" w:eastAsia="仿宋_GB2312" w:cs="仿宋_GB2312"/>
                <w:color w:val="auto"/>
                <w:sz w:val="22"/>
                <w:szCs w:val="22"/>
                <w:lang w:val="en-US" w:eastAsia="zh-CN" w:bidi="ar"/>
              </w:rPr>
              <w:t>12.28</w:t>
            </w:r>
            <w:r>
              <w:rPr>
                <w:rFonts w:hint="eastAsia" w:ascii="仿宋_GB2312" w:hAnsi="仿宋_GB2312" w:eastAsia="仿宋_GB2312" w:cs="仿宋_GB2312"/>
                <w:color w:val="auto"/>
                <w:sz w:val="22"/>
                <w:szCs w:val="22"/>
              </w:rPr>
              <w:t>万元 ；</w:t>
            </w:r>
          </w:p>
          <w:p>
            <w:pPr>
              <w:adjustRightInd w:val="0"/>
              <w:snapToGrid w:val="0"/>
              <w:spacing w:after="0" w:line="380" w:lineRule="exact"/>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sz w:val="22"/>
                <w:szCs w:val="22"/>
                <w:lang w:bidi="ar"/>
              </w:rPr>
              <w:t>总预算金额为</w:t>
            </w:r>
            <w:r>
              <w:rPr>
                <w:rFonts w:hint="eastAsia" w:ascii="仿宋_GB2312" w:hAnsi="仿宋_GB2312" w:eastAsia="仿宋_GB2312" w:cs="仿宋_GB2312"/>
                <w:color w:val="auto"/>
                <w:sz w:val="22"/>
                <w:szCs w:val="22"/>
                <w:rtl w:val="0"/>
                <w:lang w:val="en-US" w:eastAsia="zh-CN" w:bidi="ar"/>
              </w:rPr>
              <w:t>24.56</w:t>
            </w:r>
            <w:r>
              <w:rPr>
                <w:rFonts w:hint="eastAsia" w:ascii="仿宋_GB2312" w:hAnsi="仿宋_GB2312" w:eastAsia="仿宋_GB2312" w:cs="仿宋_GB2312"/>
                <w:color w:val="auto"/>
                <w:sz w:val="22"/>
                <w:szCs w:val="22"/>
                <w:lang w:bidi="ar"/>
              </w:rPr>
              <w:t>万元。共招</w:t>
            </w:r>
            <w:r>
              <w:rPr>
                <w:rFonts w:hint="eastAsia" w:ascii="仿宋_GB2312" w:hAnsi="仿宋_GB2312" w:eastAsia="仿宋_GB2312" w:cs="仿宋_GB2312"/>
                <w:color w:val="auto"/>
                <w:sz w:val="22"/>
                <w:szCs w:val="22"/>
                <w:lang w:eastAsia="zh-CN" w:bidi="ar"/>
              </w:rPr>
              <w:t>两</w:t>
            </w:r>
            <w:r>
              <w:rPr>
                <w:rFonts w:hint="eastAsia" w:ascii="仿宋_GB2312" w:hAnsi="仿宋_GB2312" w:eastAsia="仿宋_GB2312" w:cs="仿宋_GB2312"/>
                <w:color w:val="auto"/>
                <w:sz w:val="22"/>
                <w:szCs w:val="22"/>
                <w:lang w:bidi="ar"/>
              </w:rPr>
              <w:t>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每家中标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独立完成本项目全部工作</w:t>
            </w:r>
            <w:r>
              <w:rPr>
                <w:rFonts w:hint="eastAsia" w:ascii="仿宋_GB2312" w:hAnsi="仿宋_GB2312" w:eastAsia="仿宋_GB2312" w:cs="仿宋_GB2312"/>
                <w:color w:val="auto"/>
                <w:sz w:val="22"/>
                <w:szCs w:val="22"/>
                <w:lang w:eastAsia="zh-CN" w:bidi="ar"/>
              </w:rPr>
              <w:t>，</w:t>
            </w:r>
            <w:r>
              <w:rPr>
                <w:rFonts w:hint="eastAsia" w:ascii="仿宋_GB2312" w:hAnsi="仿宋_GB2312" w:eastAsia="仿宋_GB2312" w:cs="仿宋_GB2312"/>
                <w:color w:val="auto"/>
                <w:sz w:val="22"/>
                <w:szCs w:val="22"/>
                <w:lang w:eastAsia="zh-CN"/>
              </w:rPr>
              <w:t>拟评估办公用房项目数量约</w:t>
            </w:r>
            <w:r>
              <w:rPr>
                <w:rFonts w:hint="default" w:ascii="仿宋_GB2312" w:hAnsi="仿宋_GB2312" w:eastAsia="仿宋_GB2312" w:cs="仿宋_GB2312"/>
                <w:color w:val="auto"/>
                <w:sz w:val="22"/>
                <w:szCs w:val="22"/>
                <w:lang w:val="en-US" w:eastAsia="zh-CN"/>
              </w:rPr>
              <w:t>50</w:t>
            </w:r>
            <w:r>
              <w:rPr>
                <w:rFonts w:hint="eastAsia" w:ascii="仿宋_GB2312" w:hAnsi="仿宋_GB2312" w:eastAsia="仿宋_GB2312" w:cs="仿宋_GB2312"/>
                <w:color w:val="auto"/>
                <w:sz w:val="22"/>
                <w:szCs w:val="22"/>
              </w:rPr>
              <w:t>处</w:t>
            </w:r>
            <w:r>
              <w:rPr>
                <w:rFonts w:hint="eastAsia" w:ascii="仿宋_GB2312" w:hAnsi="仿宋_GB2312" w:eastAsia="仿宋_GB2312" w:cs="仿宋_GB2312"/>
                <w:color w:val="auto"/>
                <w:sz w:val="22"/>
                <w:szCs w:val="22"/>
                <w:lang w:eastAsia="zh-CN"/>
              </w:rPr>
              <w:t>，单个项目不超过2455.81元/处，</w:t>
            </w:r>
            <w:r>
              <w:rPr>
                <w:rFonts w:hint="eastAsia" w:ascii="仿宋_GB2312" w:hAnsi="仿宋_GB2312" w:eastAsia="仿宋_GB2312" w:cs="仿宋_GB2312"/>
                <w:color w:val="auto"/>
                <w:sz w:val="22"/>
                <w:szCs w:val="22"/>
                <w:lang w:bidi="ar"/>
              </w:rPr>
              <w:t>每家中标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预算金额上限为</w:t>
            </w:r>
            <w:r>
              <w:rPr>
                <w:rFonts w:hint="eastAsia" w:ascii="仿宋_GB2312" w:hAnsi="仿宋_GB2312" w:eastAsia="仿宋_GB2312" w:cs="仿宋_GB2312"/>
                <w:color w:val="auto"/>
                <w:sz w:val="22"/>
                <w:szCs w:val="22"/>
                <w:lang w:val="en-US" w:eastAsia="zh-CN" w:bidi="ar"/>
              </w:rPr>
              <w:t>12.28</w:t>
            </w:r>
            <w:r>
              <w:rPr>
                <w:rFonts w:hint="eastAsia" w:ascii="仿宋_GB2312" w:hAnsi="仿宋_GB2312" w:eastAsia="仿宋_GB2312" w:cs="仿宋_GB2312"/>
                <w:color w:val="auto"/>
                <w:sz w:val="22"/>
                <w:szCs w:val="22"/>
                <w:lang w:bidi="ar"/>
              </w:rPr>
              <w:t xml:space="preserve">万元 </w:t>
            </w:r>
            <w:r>
              <w:rPr>
                <w:rFonts w:hint="eastAsia" w:ascii="仿宋_GB2312" w:hAnsi="仿宋_GB2312" w:eastAsia="仿宋_GB2312" w:cs="仿宋_GB2312"/>
                <w:color w:val="auto"/>
                <w:kern w:val="0"/>
                <w:sz w:val="22"/>
                <w:szCs w:val="22"/>
              </w:rPr>
              <w:t>。投标报价包括了投标人完成本招标项目而发生的全部费用，</w:t>
            </w:r>
            <w:r>
              <w:rPr>
                <w:rFonts w:hint="eastAsia" w:ascii="仿宋_GB2312" w:hAnsi="仿宋_GB2312" w:eastAsia="仿宋_GB2312" w:cs="仿宋_GB2312"/>
                <w:color w:val="auto"/>
                <w:kern w:val="0"/>
                <w:sz w:val="22"/>
                <w:szCs w:val="22"/>
                <w:lang w:val="zh-CN"/>
              </w:rPr>
              <w:t>投标报价包括但不限于物业查勘费、市场调研费、评估费、</w:t>
            </w:r>
            <w:r>
              <w:rPr>
                <w:rFonts w:hint="eastAsia" w:ascii="仿宋_GB2312" w:hAnsi="仿宋_GB2312" w:eastAsia="仿宋_GB2312" w:cs="仿宋_GB2312"/>
                <w:color w:val="auto"/>
                <w:kern w:val="0"/>
                <w:sz w:val="22"/>
                <w:szCs w:val="22"/>
              </w:rPr>
              <w:t>交通费、餐费、保险费，税费</w:t>
            </w:r>
            <w:r>
              <w:rPr>
                <w:rFonts w:hint="eastAsia" w:ascii="仿宋_GB2312" w:hAnsi="仿宋_GB2312" w:eastAsia="仿宋_GB2312" w:cs="仿宋_GB2312"/>
                <w:color w:val="auto"/>
                <w:kern w:val="0"/>
                <w:sz w:val="22"/>
                <w:szCs w:val="22"/>
                <w:lang w:val="en-US" w:eastAsia="zh-CN"/>
              </w:rPr>
              <w:t>等与本项目实施有关的一切费用</w:t>
            </w:r>
            <w:r>
              <w:rPr>
                <w:rFonts w:hint="eastAsia" w:ascii="仿宋_GB2312" w:hAnsi="仿宋_GB2312" w:eastAsia="仿宋_GB2312" w:cs="仿宋_GB2312"/>
                <w:color w:val="auto"/>
                <w:kern w:val="0"/>
                <w:sz w:val="22"/>
                <w:szCs w:val="22"/>
              </w:rPr>
              <w:t>。投标报价总价作为中标单位与采购单位签订的合同金额。投标单位</w:t>
            </w:r>
            <w:r>
              <w:rPr>
                <w:rFonts w:hint="eastAsia" w:ascii="仿宋_GB2312" w:hAnsi="仿宋_GB2312" w:eastAsia="仿宋_GB2312" w:cs="仿宋_GB2312"/>
                <w:color w:val="auto"/>
                <w:kern w:val="0"/>
                <w:sz w:val="22"/>
                <w:szCs w:val="22"/>
                <w:lang w:val="zh-CN"/>
              </w:rPr>
              <w:t>的报价不可高于限价，否则</w:t>
            </w:r>
            <w:r>
              <w:rPr>
                <w:rFonts w:hint="eastAsia" w:ascii="仿宋_GB2312" w:hAnsi="仿宋_GB2312" w:eastAsia="仿宋_GB2312" w:cs="仿宋_GB2312"/>
                <w:color w:val="auto"/>
                <w:kern w:val="0"/>
                <w:sz w:val="22"/>
                <w:szCs w:val="22"/>
              </w:rPr>
              <w:t>投标单位</w:t>
            </w:r>
            <w:r>
              <w:rPr>
                <w:rFonts w:hint="eastAsia" w:ascii="仿宋_GB2312" w:hAnsi="仿宋_GB2312" w:eastAsia="仿宋_GB2312" w:cs="仿宋_GB2312"/>
                <w:color w:val="auto"/>
                <w:kern w:val="0"/>
                <w:sz w:val="22"/>
                <w:szCs w:val="22"/>
                <w:lang w:val="zh-CN"/>
              </w:rPr>
              <w:t>的投标文件视同无效。</w:t>
            </w:r>
            <w:r>
              <w:rPr>
                <w:rFonts w:hint="eastAsia" w:ascii="仿宋_GB2312" w:hAnsi="仿宋_GB2312" w:eastAsia="仿宋_GB2312" w:cs="仿宋_GB2312"/>
                <w:color w:val="auto"/>
                <w:kern w:val="0"/>
                <w:sz w:val="22"/>
                <w:szCs w:val="22"/>
              </w:rPr>
              <w:t>投标单位应根据本机构的成本自行决定报价，不得以低于服务成本的报价投标。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jc w:val="center"/>
              <w:rPr>
                <w:rFonts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
              </w:rPr>
              <w:t>联系方式</w:t>
            </w:r>
          </w:p>
        </w:tc>
        <w:tc>
          <w:tcPr>
            <w:tcW w:w="7086" w:type="dxa"/>
            <w:tcBorders>
              <w:top w:val="single" w:color="auto" w:sz="4" w:space="0"/>
              <w:left w:val="single" w:color="auto" w:sz="4" w:space="0"/>
              <w:bottom w:val="single" w:color="auto" w:sz="4" w:space="0"/>
              <w:right w:val="single" w:color="auto" w:sz="4" w:space="0"/>
            </w:tcBorders>
            <w:vAlign w:val="center"/>
          </w:tcPr>
          <w:p>
            <w:pPr>
              <w:snapToGrid w:val="0"/>
              <w:spacing w:after="0" w:line="380" w:lineRule="exact"/>
              <w:rPr>
                <w:rFonts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采购代理机构：</w:t>
            </w:r>
            <w:r>
              <w:rPr>
                <w:rFonts w:hint="eastAsia" w:ascii="仿宋_GB2312" w:hAnsi="仿宋_GB2312" w:eastAsia="仿宋_GB2312" w:cs="仿宋_GB2312"/>
                <w:color w:val="auto"/>
                <w:sz w:val="22"/>
                <w:szCs w:val="22"/>
                <w:lang w:eastAsia="zh-TW"/>
              </w:rPr>
              <w:t>深圳交易咨询集团有限公司</w:t>
            </w:r>
          </w:p>
          <w:p>
            <w:pPr>
              <w:snapToGrid w:val="0"/>
              <w:spacing w:after="0" w:line="380" w:lineRule="exact"/>
              <w:rPr>
                <w:rFonts w:hint="eastAsia" w:ascii="仿宋_GB2312" w:hAnsi="仿宋_GB2312" w:eastAsia="仿宋_GB2312" w:cs="仿宋_GB2312"/>
                <w:color w:val="auto"/>
                <w:sz w:val="22"/>
                <w:szCs w:val="22"/>
                <w:lang w:eastAsia="zh-TW"/>
              </w:rPr>
            </w:pPr>
            <w:r>
              <w:rPr>
                <w:rFonts w:hint="eastAsia" w:ascii="仿宋_GB2312" w:hAnsi="仿宋_GB2312" w:eastAsia="仿宋_GB2312" w:cs="仿宋_GB2312"/>
                <w:color w:val="auto"/>
                <w:sz w:val="22"/>
                <w:szCs w:val="22"/>
                <w:lang w:eastAsia="zh-TW"/>
              </w:rPr>
              <w:t>地址：深圳市南山区西丽南山智谷产业园A座</w:t>
            </w:r>
            <w:r>
              <w:rPr>
                <w:rFonts w:hint="eastAsia" w:ascii="仿宋_GB2312" w:hAnsi="仿宋_GB2312" w:eastAsia="仿宋_GB2312" w:cs="仿宋_GB2312"/>
                <w:color w:val="auto"/>
                <w:sz w:val="22"/>
                <w:szCs w:val="22"/>
                <w:lang w:val="en-US" w:eastAsia="zh-CN"/>
              </w:rPr>
              <w:t>21楼</w:t>
            </w:r>
          </w:p>
          <w:p>
            <w:pPr>
              <w:snapToGrid w:val="0"/>
              <w:spacing w:after="0" w:line="380" w:lineRule="exact"/>
              <w:rPr>
                <w:rFonts w:hint="eastAsia" w:ascii="仿宋_GB2312" w:hAnsi="仿宋_GB2312" w:eastAsia="仿宋_GB2312" w:cs="仿宋_GB2312"/>
                <w:bCs/>
                <w:color w:val="auto"/>
                <w:sz w:val="22"/>
                <w:szCs w:val="22"/>
                <w:lang w:val="en-US" w:eastAsia="zh-CN" w:bidi="ar"/>
              </w:rPr>
            </w:pPr>
            <w:r>
              <w:rPr>
                <w:rFonts w:hint="eastAsia" w:ascii="仿宋_GB2312" w:hAnsi="仿宋_GB2312" w:eastAsia="仿宋_GB2312" w:cs="仿宋_GB2312"/>
                <w:bCs/>
                <w:color w:val="auto"/>
                <w:sz w:val="22"/>
                <w:szCs w:val="22"/>
                <w:lang w:val="en-US" w:eastAsia="zh-CN" w:bidi="ar"/>
              </w:rPr>
              <w:t>联系人：郭先生、温先生</w:t>
            </w:r>
          </w:p>
          <w:p>
            <w:pPr>
              <w:snapToGrid w:val="0"/>
              <w:spacing w:after="0" w:line="380" w:lineRule="exact"/>
              <w:rPr>
                <w:rFonts w:ascii="仿宋_GB2312" w:hAnsi="仿宋_GB2312" w:eastAsia="仿宋_GB2312" w:cs="仿宋_GB2312"/>
                <w:color w:val="auto"/>
                <w:sz w:val="22"/>
                <w:szCs w:val="22"/>
                <w:lang w:bidi="ar"/>
              </w:rPr>
            </w:pPr>
            <w:r>
              <w:rPr>
                <w:rFonts w:hint="eastAsia" w:ascii="仿宋_GB2312" w:hAnsi="仿宋_GB2312" w:eastAsia="仿宋_GB2312" w:cs="仿宋_GB2312"/>
                <w:bCs/>
                <w:color w:val="auto"/>
                <w:sz w:val="22"/>
                <w:szCs w:val="22"/>
                <w:lang w:bidi="ar"/>
              </w:rPr>
              <w:t>联系电话：</w:t>
            </w:r>
            <w:r>
              <w:rPr>
                <w:rFonts w:hint="eastAsia" w:ascii="仿宋_GB2312" w:hAnsi="仿宋_GB2312" w:eastAsia="仿宋_GB2312" w:cs="仿宋_GB2312"/>
                <w:bCs/>
                <w:color w:val="auto"/>
                <w:sz w:val="22"/>
                <w:szCs w:val="22"/>
                <w:lang w:val="en-US" w:eastAsia="zh-CN" w:bidi="ar"/>
              </w:rPr>
              <w:t>15118037034</w:t>
            </w:r>
            <w:r>
              <w:rPr>
                <w:rFonts w:hint="eastAsia" w:ascii="仿宋_GB2312" w:hAnsi="仿宋_GB2312" w:eastAsia="仿宋_GB2312" w:cs="仿宋_GB2312"/>
                <w:bCs/>
                <w:color w:val="auto"/>
                <w:sz w:val="22"/>
                <w:szCs w:val="22"/>
                <w:lang w:bidi="ar"/>
              </w:rPr>
              <w:t>、13590182490</w:t>
            </w:r>
          </w:p>
          <w:p>
            <w:pPr>
              <w:snapToGrid w:val="0"/>
              <w:spacing w:after="0" w:line="380" w:lineRule="exact"/>
              <w:rPr>
                <w:rFonts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采购人：深圳市前海深港现代服务业合作区管理局</w:t>
            </w:r>
          </w:p>
          <w:p>
            <w:pPr>
              <w:snapToGrid w:val="0"/>
              <w:spacing w:after="0" w:line="380" w:lineRule="exact"/>
              <w:rPr>
                <w:rFonts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地址：</w:t>
            </w:r>
            <w:r>
              <w:rPr>
                <w:rFonts w:hint="eastAsia" w:ascii="仿宋_GB2312" w:hAnsi="仿宋_GB2312" w:eastAsia="仿宋_GB2312" w:cs="仿宋_GB2312"/>
                <w:color w:val="auto"/>
                <w:kern w:val="0"/>
                <w:sz w:val="22"/>
                <w:szCs w:val="22"/>
                <w:lang w:bidi="ar"/>
              </w:rPr>
              <w:t>深圳市前海深港合作区桂湾</w:t>
            </w:r>
            <w:r>
              <w:rPr>
                <w:rFonts w:hint="eastAsia" w:ascii="仿宋_GB2312" w:hAnsi="仿宋_GB2312" w:eastAsia="仿宋_GB2312" w:cs="仿宋_GB2312"/>
                <w:color w:val="auto"/>
                <w:kern w:val="0"/>
                <w:sz w:val="22"/>
                <w:szCs w:val="22"/>
                <w:lang w:eastAsia="zh-CN" w:bidi="ar"/>
              </w:rPr>
              <w:t>五</w:t>
            </w:r>
            <w:r>
              <w:rPr>
                <w:rFonts w:hint="eastAsia" w:ascii="仿宋_GB2312" w:hAnsi="仿宋_GB2312" w:eastAsia="仿宋_GB2312" w:cs="仿宋_GB2312"/>
                <w:color w:val="auto"/>
                <w:kern w:val="0"/>
                <w:sz w:val="22"/>
                <w:szCs w:val="22"/>
                <w:lang w:bidi="ar"/>
              </w:rPr>
              <w:t xml:space="preserve">路123号前海大厦T1栋 </w:t>
            </w:r>
          </w:p>
          <w:p>
            <w:pPr>
              <w:snapToGrid w:val="0"/>
              <w:spacing w:after="0" w:line="380" w:lineRule="exact"/>
              <w:rPr>
                <w:rFonts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联系人：柯女士</w:t>
            </w:r>
          </w:p>
          <w:p>
            <w:pPr>
              <w:snapToGrid w:val="0"/>
              <w:spacing w:after="0" w:line="380" w:lineRule="exact"/>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bidi="ar"/>
              </w:rPr>
              <w:t>联系电话：</w:t>
            </w:r>
            <w:r>
              <w:rPr>
                <w:rFonts w:hint="eastAsia" w:ascii="仿宋_GB2312" w:hAnsi="仿宋_GB2312" w:eastAsia="仿宋_GB2312" w:cs="仿宋_GB2312"/>
                <w:color w:val="auto"/>
                <w:sz w:val="22"/>
                <w:szCs w:val="22"/>
              </w:rPr>
              <w:t>0755—88105381</w:t>
            </w:r>
          </w:p>
        </w:tc>
      </w:tr>
    </w:tbl>
    <w:p>
      <w:pPr>
        <w:adjustRightInd w:val="0"/>
        <w:snapToGrid w:val="0"/>
        <w:spacing w:line="400" w:lineRule="exact"/>
        <w:ind w:firstLine="480" w:firstLineChars="200"/>
        <w:jc w:val="right"/>
        <w:rPr>
          <w:rFonts w:ascii="仿宋_GB2312" w:hAnsi="仿宋_GB2312" w:eastAsia="仿宋_GB2312" w:cs="仿宋_GB2312"/>
          <w:color w:val="auto"/>
          <w:sz w:val="24"/>
        </w:rPr>
      </w:pPr>
    </w:p>
    <w:p>
      <w:pPr>
        <w:adjustRightInd w:val="0"/>
        <w:snapToGrid w:val="0"/>
        <w:spacing w:line="400" w:lineRule="exact"/>
        <w:ind w:firstLine="440" w:firstLineChars="200"/>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2"/>
          <w:szCs w:val="22"/>
          <w:lang w:eastAsia="zh-TW"/>
        </w:rPr>
        <w:t>深圳交易咨询集团有限公司</w:t>
      </w:r>
      <w:r>
        <w:rPr>
          <w:rFonts w:hint="eastAsia" w:ascii="仿宋_GB2312" w:hAnsi="仿宋_GB2312" w:eastAsia="仿宋_GB2312" w:cs="仿宋_GB2312"/>
          <w:color w:val="auto"/>
          <w:sz w:val="24"/>
        </w:rPr>
        <w:t xml:space="preserve"> </w:t>
      </w:r>
    </w:p>
    <w:p>
      <w:pPr>
        <w:adjustRightInd w:val="0"/>
        <w:snapToGrid w:val="0"/>
        <w:spacing w:line="400" w:lineRule="exact"/>
        <w:ind w:firstLine="480" w:firstLineChars="200"/>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2023年</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日</w:t>
      </w:r>
    </w:p>
    <w:p>
      <w:pPr>
        <w:pStyle w:val="4"/>
        <w:spacing w:line="400" w:lineRule="exac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br w:type="page"/>
      </w:r>
      <w:r>
        <w:rPr>
          <w:rFonts w:hint="eastAsia" w:ascii="仿宋_GB2312" w:hAnsi="仿宋_GB2312" w:eastAsia="仿宋_GB2312" w:cs="仿宋_GB2312"/>
          <w:b/>
          <w:bCs/>
          <w:color w:val="auto"/>
        </w:rPr>
        <w:t>第二章 投标须知</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1.本项目是深圳市前海深港现代服务业合作区管理局的</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u w:val="single"/>
          <w:lang w:eastAsia="zh-CN"/>
        </w:rPr>
        <w:t>前海合作区2023年度办公用房市场租金评估项目</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rPr>
        <w:t>项目。</w:t>
      </w:r>
    </w:p>
    <w:p>
      <w:pPr>
        <w:spacing w:line="400" w:lineRule="exact"/>
        <w:ind w:firstLine="480" w:firstLineChars="200"/>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rPr>
        <w:t>2.本项目不属于</w:t>
      </w:r>
      <w:r>
        <w:rPr>
          <w:rFonts w:hint="eastAsia" w:ascii="宋体" w:hAnsi="宋体" w:cs="宋体"/>
          <w:color w:val="auto"/>
          <w:sz w:val="24"/>
          <w:highlight w:val="none"/>
        </w:rPr>
        <w:t>《</w:t>
      </w:r>
      <w:r>
        <w:rPr>
          <w:rFonts w:hint="eastAsia" w:ascii="仿宋_GB2312" w:hAnsi="仿宋_GB2312" w:eastAsia="仿宋_GB2312" w:cs="仿宋_GB2312"/>
          <w:color w:val="auto"/>
          <w:sz w:val="24"/>
        </w:rPr>
        <w:t>深圳市2023—2024年政府集中采购目录及限额标准》规定应集中采购项目，根据《中华人民共和国政府采购法》《深圳经济特区</w:t>
      </w:r>
      <w:r>
        <w:rPr>
          <w:rFonts w:hint="eastAsia" w:ascii="仿宋_GB2312" w:hAnsi="仿宋_GB2312" w:eastAsia="仿宋_GB2312" w:cs="仿宋_GB2312"/>
          <w:color w:val="auto"/>
          <w:sz w:val="24"/>
          <w:lang w:eastAsia="zh-CN"/>
        </w:rPr>
        <w:t>政府</w:t>
      </w:r>
      <w:r>
        <w:rPr>
          <w:rFonts w:hint="eastAsia" w:ascii="仿宋_GB2312" w:hAnsi="仿宋_GB2312" w:eastAsia="仿宋_GB2312" w:cs="仿宋_GB2312"/>
          <w:color w:val="auto"/>
          <w:sz w:val="24"/>
        </w:rPr>
        <w:t>采购条例》及采购单位的有关规定的有关规定，</w:t>
      </w:r>
      <w:r>
        <w:rPr>
          <w:rFonts w:hint="eastAsia" w:ascii="仿宋_GB2312" w:hAnsi="仿宋_GB2312" w:eastAsia="仿宋_GB2312" w:cs="仿宋_GB2312"/>
          <w:color w:val="auto"/>
          <w:sz w:val="24"/>
          <w:u w:val="single"/>
          <w:lang w:eastAsia="zh-TW"/>
        </w:rPr>
        <w:t>深圳交易咨询集团有限公司</w:t>
      </w:r>
      <w:r>
        <w:rPr>
          <w:rFonts w:hint="eastAsia" w:ascii="仿宋_GB2312" w:hAnsi="仿宋_GB2312" w:eastAsia="仿宋_GB2312" w:cs="仿宋_GB2312"/>
          <w:color w:val="auto"/>
          <w:sz w:val="24"/>
        </w:rPr>
        <w:t>受</w:t>
      </w:r>
      <w:r>
        <w:rPr>
          <w:rFonts w:hint="eastAsia" w:ascii="仿宋_GB2312" w:hAnsi="仿宋_GB2312" w:eastAsia="仿宋_GB2312" w:cs="仿宋_GB2312"/>
          <w:color w:val="auto"/>
          <w:sz w:val="24"/>
          <w:u w:val="single"/>
        </w:rPr>
        <w:t>深圳市前海深港现代服务业合作区管理局</w:t>
      </w:r>
      <w:r>
        <w:rPr>
          <w:rFonts w:hint="eastAsia" w:ascii="仿宋_GB2312" w:hAnsi="仿宋_GB2312" w:eastAsia="仿宋_GB2312" w:cs="仿宋_GB2312"/>
          <w:color w:val="auto"/>
          <w:sz w:val="24"/>
          <w:u w:val="none"/>
        </w:rPr>
        <w:t>委托以简易招标方式组织采购。</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本次采购公开征集供应商，报名且符合招标文件初审的供应商满足</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家或</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家以上的，采用综合评分法的方式进行。报名且符合招标文件初审的供应商不足</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家而致招标失败的，按以下流程执行：</w:t>
      </w:r>
    </w:p>
    <w:p>
      <w:pPr>
        <w:snapToGrid w:val="0"/>
        <w:spacing w:line="400" w:lineRule="exact"/>
        <w:ind w:firstLine="240" w:firstLineChars="1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a.</w:t>
      </w:r>
      <w:r>
        <w:rPr>
          <w:rFonts w:hint="eastAsia" w:ascii="仿宋_GB2312" w:hAnsi="仿宋_GB2312" w:eastAsia="仿宋_GB2312" w:cs="仿宋_GB2312"/>
          <w:color w:val="auto"/>
          <w:sz w:val="24"/>
        </w:rPr>
        <w:t>有效投标人为</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家的，可在</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家有效投标人中取得分</w:t>
      </w:r>
      <w:r>
        <w:rPr>
          <w:rFonts w:hint="eastAsia" w:ascii="仿宋_GB2312" w:hAnsi="仿宋_GB2312" w:eastAsia="仿宋_GB2312" w:cs="仿宋_GB2312"/>
          <w:color w:val="auto"/>
          <w:sz w:val="24"/>
          <w:lang w:eastAsia="zh-CN"/>
        </w:rPr>
        <w:t>排名前二名的</w:t>
      </w:r>
      <w:r>
        <w:rPr>
          <w:rFonts w:hint="eastAsia" w:ascii="仿宋_GB2312" w:hAnsi="仿宋_GB2312" w:eastAsia="仿宋_GB2312" w:cs="仿宋_GB2312"/>
          <w:color w:val="auto"/>
          <w:sz w:val="24"/>
        </w:rPr>
        <w:t>为中标供应商；</w:t>
      </w:r>
    </w:p>
    <w:p>
      <w:pPr>
        <w:snapToGrid w:val="0"/>
        <w:spacing w:line="40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b. 如参与投标且符合招标文件要求的供应商仅有</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家，评审委员会应与投标供应商</w:t>
      </w:r>
      <w:r>
        <w:rPr>
          <w:rFonts w:hint="eastAsia" w:ascii="仿宋_GB2312" w:hAnsi="仿宋_GB2312" w:eastAsia="仿宋_GB2312" w:cs="仿宋_GB2312"/>
          <w:color w:val="auto"/>
          <w:sz w:val="24"/>
          <w:lang w:val="en-US" w:eastAsia="zh-CN"/>
        </w:rPr>
        <w:t>分别</w:t>
      </w:r>
      <w:r>
        <w:rPr>
          <w:rFonts w:hint="eastAsia" w:ascii="仿宋_GB2312" w:hAnsi="仿宋_GB2312" w:eastAsia="仿宋_GB2312" w:cs="仿宋_GB2312"/>
          <w:color w:val="auto"/>
          <w:sz w:val="24"/>
        </w:rPr>
        <w:t>进行谈判，原则上成交价应为最初报价的95%</w:t>
      </w:r>
      <w:r>
        <w:rPr>
          <w:rFonts w:hint="eastAsia" w:ascii="仿宋_GB2312" w:hAnsi="仿宋_GB2312" w:eastAsia="仿宋_GB2312" w:cs="仿宋_GB2312"/>
          <w:color w:val="auto"/>
          <w:sz w:val="24"/>
          <w:lang w:eastAsia="zh-CN"/>
        </w:rPr>
        <w:t>。</w:t>
      </w:r>
    </w:p>
    <w:p>
      <w:pPr>
        <w:snapToGrid w:val="0"/>
        <w:spacing w:line="400" w:lineRule="exact"/>
        <w:ind w:firstLine="240" w:firstLineChars="1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c.</w:t>
      </w:r>
      <w:r>
        <w:rPr>
          <w:rFonts w:hint="eastAsia" w:ascii="仿宋_GB2312" w:hAnsi="仿宋_GB2312" w:eastAsia="仿宋_GB2312" w:cs="仿宋_GB2312"/>
          <w:color w:val="auto"/>
          <w:sz w:val="24"/>
        </w:rPr>
        <w:t>如参与投标且符合招标文件要求的供应商仅有</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家</w:t>
      </w:r>
      <w:r>
        <w:rPr>
          <w:rFonts w:hint="eastAsia" w:ascii="仿宋_GB2312" w:hAnsi="仿宋_GB2312" w:eastAsia="仿宋_GB2312" w:cs="仿宋_GB2312"/>
          <w:color w:val="auto"/>
          <w:sz w:val="24"/>
          <w:lang w:eastAsia="zh-CN"/>
        </w:rPr>
        <w:t>时，本</w:t>
      </w:r>
      <w:r>
        <w:rPr>
          <w:rFonts w:hint="eastAsia" w:ascii="仿宋_GB2312" w:hAnsi="仿宋_GB2312" w:eastAsia="仿宋_GB2312" w:cs="仿宋_GB2312"/>
          <w:color w:val="auto"/>
          <w:sz w:val="24"/>
          <w:lang w:val="en-US" w:eastAsia="zh-CN"/>
        </w:rPr>
        <w:t>项目</w:t>
      </w:r>
      <w:r>
        <w:rPr>
          <w:rFonts w:hint="eastAsia" w:ascii="仿宋_GB2312" w:hAnsi="仿宋_GB2312" w:eastAsia="仿宋_GB2312" w:cs="仿宋_GB2312"/>
          <w:color w:val="auto"/>
          <w:sz w:val="24"/>
          <w:lang w:eastAsia="zh-CN"/>
        </w:rPr>
        <w:t>招标失败。</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本项目根据项目的实际情况，公开征集符合投标单位资格的供应商。请各供应商根据本文件的要求，准备5套（1套正本，4套副本，附电子版，电子版是以光盘、U盘或硬盘等移动存储介质提交的加盖公章的PDF电子投标文件）完备的资料进行投标，副本可以是正本的复印件。</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4、本招标文件已对本次采购项目的商务条件和货物或服务的质量、技术要求、成果要求、交货要求、售后服务作出了明确的规定。</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5、响应文件要包括如下内容：</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①</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价格部分；</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②</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商务部分；</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③</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技术部分。</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项目的报价要求：</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（1）本次投标为总价包干，投标报价包括了投标人完成本招标项目而发生的全部费用，</w:t>
      </w:r>
      <w:r>
        <w:rPr>
          <w:rFonts w:hint="eastAsia" w:ascii="仿宋_GB2312" w:hAnsi="仿宋_GB2312" w:eastAsia="仿宋_GB2312" w:cs="仿宋_GB2312"/>
          <w:color w:val="auto"/>
          <w:sz w:val="24"/>
          <w:lang w:val="zh-CN"/>
        </w:rPr>
        <w:t>投标报价包括但不限于物业查勘费、市场调研费、评估费、</w:t>
      </w:r>
      <w:r>
        <w:rPr>
          <w:rFonts w:hint="eastAsia" w:ascii="仿宋_GB2312" w:hAnsi="仿宋_GB2312" w:eastAsia="仿宋_GB2312" w:cs="仿宋_GB2312"/>
          <w:color w:val="auto"/>
          <w:sz w:val="24"/>
        </w:rPr>
        <w:t>交通费、餐费、保险费，税费</w:t>
      </w:r>
      <w:r>
        <w:rPr>
          <w:rFonts w:hint="eastAsia" w:ascii="仿宋_GB2312" w:hAnsi="仿宋_GB2312" w:eastAsia="仿宋_GB2312" w:cs="仿宋_GB2312"/>
          <w:color w:val="auto"/>
          <w:sz w:val="24"/>
          <w:lang w:val="en-US" w:eastAsia="zh-CN"/>
        </w:rPr>
        <w:t>等与本项目实施有关的一切费用</w:t>
      </w:r>
      <w:r>
        <w:rPr>
          <w:rFonts w:hint="eastAsia" w:ascii="仿宋_GB2312" w:hAnsi="仿宋_GB2312" w:eastAsia="仿宋_GB2312" w:cs="仿宋_GB2312"/>
          <w:color w:val="auto"/>
          <w:sz w:val="24"/>
        </w:rPr>
        <w:t>。投标报价总价作为中标单位与采购单位签订的合同金额。投标单位</w:t>
      </w:r>
      <w:r>
        <w:rPr>
          <w:rFonts w:hint="eastAsia" w:ascii="仿宋_GB2312" w:hAnsi="仿宋_GB2312" w:eastAsia="仿宋_GB2312" w:cs="仿宋_GB2312"/>
          <w:color w:val="auto"/>
          <w:sz w:val="24"/>
          <w:lang w:val="zh-CN"/>
        </w:rPr>
        <w:t>的报价不可高于限价，否则</w:t>
      </w:r>
      <w:r>
        <w:rPr>
          <w:rFonts w:hint="eastAsia" w:ascii="仿宋_GB2312" w:hAnsi="仿宋_GB2312" w:eastAsia="仿宋_GB2312" w:cs="仿宋_GB2312"/>
          <w:color w:val="auto"/>
          <w:sz w:val="24"/>
        </w:rPr>
        <w:t>投标单位</w:t>
      </w:r>
      <w:r>
        <w:rPr>
          <w:rFonts w:hint="eastAsia" w:ascii="仿宋_GB2312" w:hAnsi="仿宋_GB2312" w:eastAsia="仿宋_GB2312" w:cs="仿宋_GB2312"/>
          <w:color w:val="auto"/>
          <w:sz w:val="24"/>
          <w:lang w:val="zh-CN"/>
        </w:rPr>
        <w:t>的投标文件视同无效。</w:t>
      </w:r>
      <w:r>
        <w:rPr>
          <w:rFonts w:hint="eastAsia" w:ascii="仿宋_GB2312" w:hAnsi="仿宋_GB2312" w:eastAsia="仿宋_GB2312" w:cs="仿宋_GB2312"/>
          <w:color w:val="auto"/>
          <w:sz w:val="24"/>
        </w:rPr>
        <w:t>投标单位应根据本机构的成本自行决定报价，不得以低于服务成本的报价投标。</w:t>
      </w:r>
    </w:p>
    <w:p>
      <w:pPr>
        <w:snapToGrid w:val="0"/>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投标单位不得期望通过索赔等方式获取补偿，否则，除可能遭到拒绝外，还可能将被作为不良行为记录在案，并可能影响其以后参加政府采购的项目投标。各投标单位在投标报价时，应充分考虑投标报价的风险。</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（2）投标人应根据本机构的成本自行决定报价，不得以低于服务成本的报价投标。</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7、采购单位会对本次招标的项目确定一个最高限价，最终成交价格超出最高限价将会被当作无效投标处理。</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8、如采购单位要求参加投标的供应商需在现场述标时，要派出熟悉本项目情况的项目负责人和对报价有决策权的代表参加，供应商代表要有法人代表的授权，同时要提供法人代表证明。</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9、采购单位有权根据项目的实际情况提出质量标准、服务标准、交货标准、交货时间、验收方式、付款方式、履约保证、价格等方面的要求，并就这些内容进行评审，所有供应商都在同一标准下进行评审。</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10、本次采购凡涉及知识产权问题，由项目供应商负责。</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11、采购单位将组成评审委员会，评审工作由评审委员会独立负责。</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12、供应商应在规定的时间内现场递交投标文件，采购代理机构在投标截止时间前半小时开始接收投标文件。</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13、采用综合评分法的情况：评审委员会将分别对供应商递交的投标文件进行评审。</w:t>
      </w:r>
    </w:p>
    <w:p>
      <w:pPr>
        <w:snapToGrid w:val="0"/>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评审委员会将根据供应商的供货能力、服务能力、货物的质量、是否满足本次采购的商务条件、报价等方面的情况进行综合评审，评标委员会依据得分情况，取综合得分</w:t>
      </w:r>
      <w:r>
        <w:rPr>
          <w:rFonts w:hint="eastAsia" w:ascii="仿宋_GB2312" w:hAnsi="仿宋_GB2312" w:eastAsia="仿宋_GB2312" w:cs="仿宋_GB2312"/>
          <w:color w:val="auto"/>
          <w:sz w:val="24"/>
          <w:lang w:eastAsia="zh-CN"/>
        </w:rPr>
        <w:t>排名前二</w:t>
      </w:r>
      <w:r>
        <w:rPr>
          <w:rFonts w:hint="eastAsia" w:ascii="仿宋_GB2312" w:hAnsi="仿宋_GB2312" w:eastAsia="仿宋_GB2312" w:cs="仿宋_GB2312"/>
          <w:color w:val="auto"/>
          <w:sz w:val="24"/>
        </w:rPr>
        <w:t>的供应商为第一中标候选人；</w:t>
      </w:r>
    </w:p>
    <w:p>
      <w:pPr>
        <w:snapToGrid w:val="0"/>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如果二个及以上供应商的综合评分相同时，取投标价格低者为第一中标候选人；</w:t>
      </w:r>
    </w:p>
    <w:p>
      <w:pPr>
        <w:snapToGrid w:val="0"/>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如果二个及以上供应商的综合评分相同，且投标价格也相同时，取技术部分得分高者为第一中标候选人。</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14、采用谈判的情况：当参与投标且符合招标文件要求的供应商仅有</w:t>
      </w:r>
      <w:r>
        <w:rPr>
          <w:rFonts w:hint="eastAsia" w:ascii="仿宋_GB2312" w:hAnsi="仿宋_GB2312" w:eastAsia="仿宋_GB2312" w:cs="仿宋_GB2312"/>
          <w:color w:val="auto"/>
          <w:sz w:val="24"/>
          <w:lang w:eastAsia="zh-CN"/>
        </w:rPr>
        <w:t>两</w:t>
      </w:r>
      <w:r>
        <w:rPr>
          <w:rFonts w:hint="eastAsia" w:ascii="仿宋_GB2312" w:hAnsi="仿宋_GB2312" w:eastAsia="仿宋_GB2312" w:cs="仿宋_GB2312"/>
          <w:color w:val="auto"/>
          <w:sz w:val="24"/>
        </w:rPr>
        <w:t>家时，评审委员会将与投标供应商进行谈判。</w:t>
      </w:r>
    </w:p>
    <w:p>
      <w:pPr>
        <w:snapToGrid w:val="0"/>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供应商在谈判时由项目负责人与评审委员会进行谈判；</w:t>
      </w:r>
    </w:p>
    <w:p>
      <w:pPr>
        <w:snapToGrid w:val="0"/>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原则上成交价应为最初报价的95%。</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15、供应商不得将本项目转包给其他人。</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16、所有的评审/谈判内容都必须保密。</w:t>
      </w:r>
    </w:p>
    <w:p>
      <w:pPr>
        <w:snapToGrid w:val="0"/>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17、招标代理服务收费：</w:t>
      </w:r>
    </w:p>
    <w:p>
      <w:pPr>
        <w:snapToGrid w:val="0"/>
        <w:spacing w:line="40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每家中标供应商均</w:t>
      </w:r>
      <w:r>
        <w:rPr>
          <w:rFonts w:hint="eastAsia" w:ascii="仿宋_GB2312" w:hAnsi="仿宋_GB2312" w:eastAsia="仿宋_GB2312" w:cs="仿宋_GB2312"/>
          <w:color w:val="auto"/>
          <w:sz w:val="24"/>
        </w:rPr>
        <w:t>以《深圳市财政委员会关于规范深圳市社会采购代理机构管理有关事项的补充通知》（深财购〔2018〕27号）代理费用参考标准的70%按差额定率累进法进行计费，若以上计算金额小于3000元，则</w:t>
      </w:r>
      <w:r>
        <w:rPr>
          <w:rFonts w:hint="eastAsia" w:ascii="仿宋_GB2312" w:hAnsi="仿宋_GB2312" w:eastAsia="仿宋_GB2312" w:cs="仿宋_GB2312"/>
          <w:color w:val="auto"/>
          <w:sz w:val="24"/>
          <w:lang w:eastAsia="zh-CN"/>
        </w:rPr>
        <w:t>均</w:t>
      </w:r>
      <w:r>
        <w:rPr>
          <w:rFonts w:hint="eastAsia" w:ascii="仿宋_GB2312" w:hAnsi="仿宋_GB2312" w:eastAsia="仿宋_GB2312" w:cs="仿宋_GB2312"/>
          <w:color w:val="auto"/>
          <w:sz w:val="24"/>
        </w:rPr>
        <w:t>按3000元收取。</w:t>
      </w:r>
    </w:p>
    <w:p>
      <w:pPr>
        <w:adjustRightInd w:val="0"/>
        <w:snapToGrid w:val="0"/>
        <w:spacing w:line="400" w:lineRule="exact"/>
        <w:ind w:right="26"/>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400" w:lineRule="exact"/>
              <w:ind w:right="26"/>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中标金额</w:t>
            </w:r>
          </w:p>
        </w:tc>
        <w:tc>
          <w:tcPr>
            <w:tcW w:w="5495" w:type="dxa"/>
            <w:gridSpan w:val="3"/>
            <w:shd w:val="clear" w:color="auto" w:fill="D7D7D7"/>
            <w:vAlign w:val="center"/>
          </w:tcPr>
          <w:p>
            <w:pPr>
              <w:adjustRightInd w:val="0"/>
              <w:snapToGrid w:val="0"/>
              <w:spacing w:line="400" w:lineRule="exact"/>
              <w:ind w:right="26"/>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400" w:lineRule="exact"/>
              <w:ind w:right="26"/>
              <w:jc w:val="center"/>
              <w:rPr>
                <w:rFonts w:ascii="仿宋_GB2312" w:hAnsi="仿宋_GB2312" w:eastAsia="仿宋_GB2312" w:cs="仿宋_GB2312"/>
                <w:b/>
                <w:bCs/>
                <w:color w:val="auto"/>
                <w:sz w:val="24"/>
              </w:rPr>
            </w:pPr>
          </w:p>
        </w:tc>
        <w:tc>
          <w:tcPr>
            <w:tcW w:w="1843" w:type="dxa"/>
            <w:shd w:val="clear" w:color="auto" w:fill="D7D7D7"/>
            <w:vAlign w:val="center"/>
          </w:tcPr>
          <w:p>
            <w:pPr>
              <w:adjustRightInd w:val="0"/>
              <w:snapToGrid w:val="0"/>
              <w:spacing w:line="400" w:lineRule="exact"/>
              <w:ind w:right="26"/>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货物招标</w:t>
            </w:r>
          </w:p>
        </w:tc>
        <w:tc>
          <w:tcPr>
            <w:tcW w:w="1755" w:type="dxa"/>
            <w:shd w:val="clear" w:color="auto" w:fill="D7D7D7"/>
            <w:vAlign w:val="center"/>
          </w:tcPr>
          <w:p>
            <w:pPr>
              <w:adjustRightInd w:val="0"/>
              <w:snapToGrid w:val="0"/>
              <w:spacing w:line="400" w:lineRule="exact"/>
              <w:ind w:right="26"/>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服务招标</w:t>
            </w:r>
          </w:p>
        </w:tc>
        <w:tc>
          <w:tcPr>
            <w:tcW w:w="1897" w:type="dxa"/>
            <w:shd w:val="clear" w:color="auto" w:fill="D7D7D7"/>
            <w:vAlign w:val="center"/>
          </w:tcPr>
          <w:p>
            <w:pPr>
              <w:adjustRightInd w:val="0"/>
              <w:snapToGrid w:val="0"/>
              <w:spacing w:line="400" w:lineRule="exact"/>
              <w:ind w:right="26"/>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100万元以下</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100万元（含）-500万元</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0.8%</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500万元（含）-1000万元</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0.8%</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0.45%</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1000万元（含）-5000万元</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0.5%</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0.25%</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5000万元（含）-1亿元</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0.25%</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0.1%</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1亿元（含）-5亿元</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0.05%</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0.05%</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5亿元（含）-10亿元</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0.035%</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0.035%</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10亿元（含）-50亿元</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0.008%</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0.008%</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50亿元（含）-100亿元</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0.006%</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0.006%</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100亿元（含）以上</w:t>
            </w:r>
          </w:p>
        </w:tc>
        <w:tc>
          <w:tcPr>
            <w:tcW w:w="1843" w:type="dxa"/>
            <w:vAlign w:val="center"/>
          </w:tcPr>
          <w:p>
            <w:pPr>
              <w:adjustRightInd w:val="0"/>
              <w:snapToGrid w:val="0"/>
              <w:spacing w:line="40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0.004%</w:t>
            </w:r>
          </w:p>
        </w:tc>
        <w:tc>
          <w:tcPr>
            <w:tcW w:w="1755"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0.004%</w:t>
            </w:r>
          </w:p>
        </w:tc>
        <w:tc>
          <w:tcPr>
            <w:tcW w:w="1897" w:type="dxa"/>
            <w:vAlign w:val="center"/>
          </w:tcPr>
          <w:p>
            <w:pPr>
              <w:adjustRightInd w:val="0"/>
              <w:snapToGrid w:val="0"/>
              <w:spacing w:line="400" w:lineRule="exact"/>
              <w:ind w:right="28"/>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0.004%</w:t>
            </w:r>
          </w:p>
        </w:tc>
      </w:tr>
    </w:tbl>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招标代理服务费缴纳至：</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开户名称：</w:t>
      </w:r>
      <w:r>
        <w:rPr>
          <w:rFonts w:hint="eastAsia" w:ascii="仿宋_GB2312" w:hAnsi="仿宋_GB2312" w:eastAsia="仿宋_GB2312" w:cs="仿宋_GB2312"/>
          <w:color w:val="auto"/>
          <w:sz w:val="24"/>
          <w:lang w:eastAsia="zh-TW"/>
        </w:rPr>
        <w:t>深圳交易咨询集团有限公司</w:t>
      </w:r>
    </w:p>
    <w:p>
      <w:pPr>
        <w:spacing w:line="400" w:lineRule="exact"/>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银行账号：</w:t>
      </w:r>
      <w:r>
        <w:rPr>
          <w:rFonts w:ascii="仿宋_GB2312" w:hAnsi="仿宋_GB2312" w:eastAsia="仿宋_GB2312" w:cs="仿宋_GB2312"/>
          <w:bCs/>
          <w:color w:val="auto"/>
          <w:sz w:val="24"/>
        </w:rPr>
        <w:t>11002982389701</w:t>
      </w:r>
    </w:p>
    <w:p>
      <w:pPr>
        <w:spacing w:line="400" w:lineRule="exact"/>
        <w:ind w:firstLine="480" w:firstLineChars="200"/>
        <w:rPr>
          <w:rFonts w:ascii="仿宋_GB2312" w:hAnsi="仿宋_GB2312" w:eastAsia="仿宋_GB2312" w:cs="仿宋_GB2312"/>
          <w:bCs/>
          <w:color w:val="auto"/>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Cs/>
          <w:color w:val="auto"/>
          <w:sz w:val="24"/>
        </w:rPr>
        <w:t>开户银行：平安银行深圳江苏大厦支行</w:t>
      </w:r>
    </w:p>
    <w:p>
      <w:pPr>
        <w:pStyle w:val="4"/>
        <w:spacing w:line="400" w:lineRule="exact"/>
        <w:rPr>
          <w:rFonts w:ascii="仿宋_GB2312" w:hAnsi="仿宋_GB2312" w:eastAsia="仿宋_GB2312" w:cs="仿宋_GB2312"/>
          <w:b/>
          <w:bCs/>
          <w:color w:val="auto"/>
        </w:rPr>
      </w:pPr>
      <w:r>
        <w:rPr>
          <w:rFonts w:hint="eastAsia" w:ascii="仿宋_GB2312" w:hAnsi="仿宋_GB2312" w:eastAsia="仿宋_GB2312" w:cs="仿宋_GB2312"/>
          <w:b/>
          <w:bCs/>
          <w:color w:val="auto"/>
        </w:rPr>
        <w:t>第三章 评标程序</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一、依法成立评审委员会。评审委员会由招标代理在深圳市政府采购评审专家库中抽取专家，组建不少于3人（单数）的评审委员会，其中专家人数为1人，其他专家由采购主办部门委派，评审委员会在开标开始前一天组成。</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二、参加会议人员：项目负责代表、评审委员会成员、监督部门代表（如有）。</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三、会议主持人：开标评标会议由招标代理机构主持。</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四、报名截止时间：2023年</w:t>
      </w:r>
      <w:r>
        <w:rPr>
          <w:rFonts w:hint="eastAsia" w:ascii="仿宋_GB2312" w:hAnsi="仿宋_GB2312" w:eastAsia="仿宋_GB2312" w:cs="仿宋_GB2312"/>
          <w:color w:val="auto"/>
          <w:sz w:val="22"/>
          <w:szCs w:val="22"/>
          <w:lang w:val="en-US" w:eastAsia="zh-CN" w:bidi="ar"/>
        </w:rPr>
        <w:t>9</w:t>
      </w:r>
      <w:r>
        <w:rPr>
          <w:rFonts w:hint="eastAsia" w:ascii="仿宋_GB2312" w:hAnsi="仿宋_GB2312" w:eastAsia="仿宋_GB2312" w:cs="仿宋_GB2312"/>
          <w:color w:val="auto"/>
          <w:sz w:val="22"/>
          <w:szCs w:val="22"/>
          <w:lang w:bidi="ar"/>
        </w:rPr>
        <w:t>月</w:t>
      </w:r>
      <w:r>
        <w:rPr>
          <w:rFonts w:hint="eastAsia" w:ascii="仿宋_GB2312" w:hAnsi="仿宋_GB2312" w:eastAsia="仿宋_GB2312" w:cs="仿宋_GB2312"/>
          <w:color w:val="auto"/>
          <w:sz w:val="22"/>
          <w:szCs w:val="22"/>
          <w:lang w:val="en-US" w:eastAsia="zh-CN" w:bidi="ar"/>
        </w:rPr>
        <w:t>13</w:t>
      </w:r>
      <w:r>
        <w:rPr>
          <w:rFonts w:hint="eastAsia" w:ascii="仿宋_GB2312" w:hAnsi="仿宋_GB2312" w:eastAsia="仿宋_GB2312" w:cs="仿宋_GB2312"/>
          <w:color w:val="auto"/>
          <w:sz w:val="22"/>
          <w:szCs w:val="22"/>
          <w:lang w:bidi="ar"/>
        </w:rPr>
        <w:t>日</w:t>
      </w:r>
      <w:r>
        <w:rPr>
          <w:rFonts w:hint="eastAsia" w:ascii="仿宋_GB2312" w:hAnsi="仿宋_GB2312" w:eastAsia="仿宋_GB2312" w:cs="仿宋_GB2312"/>
          <w:color w:val="auto"/>
          <w:sz w:val="22"/>
          <w:szCs w:val="22"/>
          <w:lang w:eastAsia="zh-CN" w:bidi="ar"/>
        </w:rPr>
        <w:t>下</w:t>
      </w:r>
      <w:r>
        <w:rPr>
          <w:rFonts w:hint="eastAsia" w:ascii="仿宋_GB2312" w:hAnsi="仿宋_GB2312" w:eastAsia="仿宋_GB2312" w:cs="仿宋_GB2312"/>
          <w:color w:val="auto"/>
          <w:sz w:val="22"/>
          <w:szCs w:val="22"/>
          <w:lang w:bidi="ar"/>
        </w:rPr>
        <w:t>午1</w:t>
      </w:r>
      <w:r>
        <w:rPr>
          <w:rFonts w:hint="eastAsia" w:ascii="仿宋_GB2312" w:hAnsi="仿宋_GB2312" w:eastAsia="仿宋_GB2312" w:cs="仿宋_GB2312"/>
          <w:color w:val="auto"/>
          <w:sz w:val="22"/>
          <w:szCs w:val="22"/>
          <w:lang w:val="en-US" w:eastAsia="zh-CN" w:bidi="ar"/>
        </w:rPr>
        <w:t>7</w:t>
      </w:r>
      <w:r>
        <w:rPr>
          <w:rFonts w:hint="eastAsia" w:ascii="仿宋_GB2312" w:hAnsi="仿宋_GB2312" w:eastAsia="仿宋_GB2312" w:cs="仿宋_GB2312"/>
          <w:color w:val="auto"/>
          <w:sz w:val="22"/>
          <w:szCs w:val="22"/>
          <w:lang w:bidi="ar"/>
        </w:rPr>
        <w:t>:00时（北京时间）。</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五、投标文件的递交。投标单位应将投标文件正本和副本密封，并标明项目编号、招标项目名称及“正本”或“副本”，采购单位业务处室工作人员接收投标单位递交的投标文件，投标单位应在2023年</w:t>
      </w:r>
      <w:r>
        <w:rPr>
          <w:rFonts w:hint="eastAsia" w:ascii="仿宋_GB2312" w:hAnsi="仿宋_GB2312" w:eastAsia="仿宋_GB2312" w:cs="仿宋_GB2312"/>
          <w:color w:val="auto"/>
          <w:sz w:val="22"/>
          <w:szCs w:val="22"/>
          <w:lang w:val="en-US" w:eastAsia="zh-CN" w:bidi="ar"/>
        </w:rPr>
        <w:t>9</w:t>
      </w:r>
      <w:r>
        <w:rPr>
          <w:rFonts w:hint="eastAsia" w:ascii="仿宋_GB2312" w:hAnsi="仿宋_GB2312" w:eastAsia="仿宋_GB2312" w:cs="仿宋_GB2312"/>
          <w:color w:val="auto"/>
          <w:sz w:val="22"/>
          <w:szCs w:val="22"/>
          <w:lang w:bidi="ar"/>
        </w:rPr>
        <w:t>月</w:t>
      </w:r>
      <w:r>
        <w:rPr>
          <w:rFonts w:hint="eastAsia" w:ascii="仿宋_GB2312" w:hAnsi="仿宋_GB2312" w:eastAsia="仿宋_GB2312" w:cs="仿宋_GB2312"/>
          <w:color w:val="auto"/>
          <w:sz w:val="22"/>
          <w:szCs w:val="22"/>
          <w:lang w:val="en-US" w:eastAsia="zh-CN" w:bidi="ar"/>
        </w:rPr>
        <w:t>13</w:t>
      </w:r>
      <w:r>
        <w:rPr>
          <w:rFonts w:hint="eastAsia" w:ascii="仿宋_GB2312" w:hAnsi="仿宋_GB2312" w:eastAsia="仿宋_GB2312" w:cs="仿宋_GB2312"/>
          <w:color w:val="auto"/>
          <w:sz w:val="22"/>
          <w:szCs w:val="22"/>
          <w:lang w:bidi="ar"/>
        </w:rPr>
        <w:t>日</w:t>
      </w:r>
      <w:r>
        <w:rPr>
          <w:rFonts w:hint="eastAsia" w:ascii="仿宋_GB2312" w:hAnsi="仿宋_GB2312" w:eastAsia="仿宋_GB2312" w:cs="仿宋_GB2312"/>
          <w:color w:val="auto"/>
          <w:sz w:val="22"/>
          <w:szCs w:val="22"/>
          <w:lang w:eastAsia="zh-CN" w:bidi="ar"/>
        </w:rPr>
        <w:t>下</w:t>
      </w:r>
      <w:r>
        <w:rPr>
          <w:rFonts w:hint="eastAsia" w:ascii="仿宋_GB2312" w:hAnsi="仿宋_GB2312" w:eastAsia="仿宋_GB2312" w:cs="仿宋_GB2312"/>
          <w:color w:val="auto"/>
          <w:sz w:val="22"/>
          <w:szCs w:val="22"/>
          <w:lang w:bidi="ar"/>
        </w:rPr>
        <w:t>午1</w:t>
      </w:r>
      <w:r>
        <w:rPr>
          <w:rFonts w:hint="eastAsia" w:ascii="仿宋_GB2312" w:hAnsi="仿宋_GB2312" w:eastAsia="仿宋_GB2312" w:cs="仿宋_GB2312"/>
          <w:color w:val="auto"/>
          <w:sz w:val="22"/>
          <w:szCs w:val="22"/>
          <w:lang w:val="en-US" w:eastAsia="zh-CN" w:bidi="ar"/>
        </w:rPr>
        <w:t>7</w:t>
      </w:r>
      <w:r>
        <w:rPr>
          <w:rFonts w:hint="eastAsia" w:ascii="仿宋_GB2312" w:hAnsi="仿宋_GB2312" w:eastAsia="仿宋_GB2312" w:cs="仿宋_GB2312"/>
          <w:color w:val="auto"/>
          <w:sz w:val="22"/>
          <w:szCs w:val="22"/>
          <w:lang w:bidi="ar"/>
        </w:rPr>
        <w:t>:00时（北京时间）前送达（现场递交至前海桂湾五路123号前海大厦T1栋2</w:t>
      </w:r>
      <w:r>
        <w:rPr>
          <w:rFonts w:hint="eastAsia" w:ascii="仿宋_GB2312" w:hAnsi="仿宋_GB2312" w:eastAsia="仿宋_GB2312" w:cs="仿宋_GB2312"/>
          <w:color w:val="auto"/>
          <w:sz w:val="22"/>
          <w:szCs w:val="22"/>
          <w:lang w:val="en-US" w:eastAsia="zh-CN" w:bidi="ar"/>
        </w:rPr>
        <w:t>313</w:t>
      </w:r>
      <w:r>
        <w:rPr>
          <w:rFonts w:hint="eastAsia" w:ascii="仿宋_GB2312" w:hAnsi="仿宋_GB2312" w:eastAsia="仿宋_GB2312" w:cs="仿宋_GB2312"/>
          <w:color w:val="auto"/>
          <w:sz w:val="22"/>
          <w:szCs w:val="22"/>
          <w:lang w:bidi="ar"/>
        </w:rPr>
        <w:t>室）。截标后不再接收任何投标文件。</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六、开标。招标代理机构组织开标会。投标单位</w:t>
      </w:r>
      <w:r>
        <w:rPr>
          <w:rFonts w:hint="eastAsia" w:ascii="仿宋_GB2312" w:hAnsi="仿宋_GB2312" w:eastAsia="仿宋_GB2312" w:cs="仿宋_GB2312"/>
          <w:color w:val="auto"/>
          <w:sz w:val="22"/>
          <w:szCs w:val="22"/>
          <w:lang w:eastAsia="zh-CN" w:bidi="ar"/>
        </w:rPr>
        <w:t>如需</w:t>
      </w:r>
      <w:r>
        <w:rPr>
          <w:rFonts w:hint="eastAsia" w:ascii="仿宋_GB2312" w:hAnsi="仿宋_GB2312" w:eastAsia="仿宋_GB2312" w:cs="仿宋_GB2312"/>
          <w:color w:val="auto"/>
          <w:sz w:val="22"/>
          <w:szCs w:val="22"/>
          <w:lang w:bidi="ar"/>
        </w:rPr>
        <w:t>委派代表参加，参加开标的代表应签名报到以证明出席。开标时，招标代理机构将当众宣读投标单位名称、开标一览表（以招标文件规定的开标一览表内容为准）并做开标记录。</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八、评审委员会审查供应商的投标文件，工作人员记录审查的情况。</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九、评审委员会按以下工作程序进行：</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1、评标委员会对各供应商的投标文件进行初审，对未能通过初审的投标文件作投标无效处理。</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2、对通过初审的供应商的投标文件进行详细的比较和评价。如需要，进行必要的澄清/说明工作。</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3、根据参与投标且符合招标文件要求的供应商数量情况，确定本项目的评审方法。</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4、采用综合评分法的情况：评审委员会将分别对供应商递交的投标文件进行评审。</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4.1评审委员会将根据供应商的供货能力、服务能力、货物的质量、是否满足本次采购的商务条件、报价等方面的情况进行综合评价，评标委员会依据得分情况推荐综合得分</w:t>
      </w:r>
      <w:r>
        <w:rPr>
          <w:rFonts w:hint="eastAsia" w:ascii="仿宋_GB2312" w:hAnsi="仿宋_GB2312" w:eastAsia="仿宋_GB2312" w:cs="仿宋_GB2312"/>
          <w:color w:val="auto"/>
          <w:sz w:val="22"/>
          <w:szCs w:val="22"/>
          <w:lang w:eastAsia="zh-CN" w:bidi="ar"/>
        </w:rPr>
        <w:t>排名前二</w:t>
      </w:r>
      <w:r>
        <w:rPr>
          <w:rFonts w:hint="eastAsia" w:ascii="仿宋_GB2312" w:hAnsi="仿宋_GB2312" w:eastAsia="仿宋_GB2312" w:cs="仿宋_GB2312"/>
          <w:color w:val="auto"/>
          <w:sz w:val="22"/>
          <w:szCs w:val="22"/>
          <w:lang w:bidi="ar"/>
        </w:rPr>
        <w:t>的供应商为第一中标候选人；</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4.2如果二个及以上供应商的综合评分相同时，取投标价格低者为第一中标候选人。</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4.3如果二个及以上供应商的综合评分相同，且投标价格也相同时，取技术部分得分高者为第一中标候选人。</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5、采用谈判的情况：如参与投标且符合招标文件要求的供应商仅有</w:t>
      </w:r>
      <w:r>
        <w:rPr>
          <w:rFonts w:hint="eastAsia" w:ascii="仿宋_GB2312" w:hAnsi="仿宋_GB2312" w:eastAsia="仿宋_GB2312" w:cs="仿宋_GB2312"/>
          <w:color w:val="auto"/>
          <w:sz w:val="22"/>
          <w:szCs w:val="22"/>
          <w:lang w:eastAsia="zh-CN" w:bidi="ar"/>
        </w:rPr>
        <w:t>两</w:t>
      </w:r>
      <w:r>
        <w:rPr>
          <w:rFonts w:hint="eastAsia" w:ascii="仿宋_GB2312" w:hAnsi="仿宋_GB2312" w:eastAsia="仿宋_GB2312" w:cs="仿宋_GB2312"/>
          <w:color w:val="auto"/>
          <w:sz w:val="22"/>
          <w:szCs w:val="22"/>
          <w:lang w:bidi="ar"/>
        </w:rPr>
        <w:t>家，评审委员会将与投标供应商</w:t>
      </w:r>
      <w:r>
        <w:rPr>
          <w:rFonts w:hint="eastAsia" w:ascii="仿宋_GB2312" w:hAnsi="仿宋_GB2312" w:eastAsia="仿宋_GB2312" w:cs="仿宋_GB2312"/>
          <w:color w:val="auto"/>
          <w:sz w:val="22"/>
          <w:szCs w:val="22"/>
          <w:lang w:eastAsia="zh-CN" w:bidi="ar"/>
        </w:rPr>
        <w:t>分别</w:t>
      </w:r>
      <w:r>
        <w:rPr>
          <w:rFonts w:hint="eastAsia" w:ascii="仿宋_GB2312" w:hAnsi="仿宋_GB2312" w:eastAsia="仿宋_GB2312" w:cs="仿宋_GB2312"/>
          <w:color w:val="auto"/>
          <w:sz w:val="22"/>
          <w:szCs w:val="22"/>
          <w:lang w:bidi="ar"/>
        </w:rPr>
        <w:t>进行谈判。</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5.1供应商在谈判时由项目负责人与评审委员会进行谈判；</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5.2原则上成交价应为最初报价的95%。</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5.3评审委员会在谈判环节确定本项目最后的方案和承诺的内容，确定符合本次采购要求。如经谈判，供应商无法对招标实质性要求作出完全的响应，该供应商将被要求退出本次谈判，项目招标失败。</w:t>
      </w:r>
    </w:p>
    <w:p>
      <w:pPr>
        <w:snapToGrid w:val="0"/>
        <w:spacing w:line="360" w:lineRule="auto"/>
        <w:ind w:firstLine="440" w:firstLineChars="200"/>
        <w:rPr>
          <w:rFonts w:hint="eastAsia" w:ascii="仿宋_GB2312" w:hAnsi="仿宋_GB2312" w:eastAsia="仿宋_GB2312" w:cs="仿宋_GB2312"/>
          <w:color w:val="auto"/>
          <w:sz w:val="22"/>
          <w:szCs w:val="22"/>
          <w:lang w:val="en-US" w:eastAsia="zh-CN" w:bidi="ar"/>
        </w:rPr>
      </w:pPr>
      <w:r>
        <w:rPr>
          <w:rFonts w:hint="eastAsia" w:ascii="仿宋_GB2312" w:hAnsi="仿宋_GB2312" w:eastAsia="仿宋_GB2312" w:cs="仿宋_GB2312"/>
          <w:color w:val="auto"/>
          <w:sz w:val="22"/>
          <w:szCs w:val="22"/>
          <w:lang w:val="en-US" w:eastAsia="zh-CN" w:bidi="ar"/>
        </w:rPr>
        <w:t xml:space="preserve">5.4 </w:t>
      </w:r>
      <w:r>
        <w:rPr>
          <w:rFonts w:hint="eastAsia" w:ascii="仿宋_GB2312" w:hAnsi="仿宋_GB2312" w:eastAsia="仿宋_GB2312" w:cs="仿宋_GB2312"/>
          <w:color w:val="auto"/>
          <w:sz w:val="22"/>
          <w:szCs w:val="22"/>
          <w:lang w:bidi="ar"/>
        </w:rPr>
        <w:t>如参与投标且符合招标文件要求的供应商仅有</w:t>
      </w:r>
      <w:r>
        <w:rPr>
          <w:rFonts w:hint="eastAsia" w:ascii="仿宋_GB2312" w:hAnsi="仿宋_GB2312" w:eastAsia="仿宋_GB2312" w:cs="仿宋_GB2312"/>
          <w:color w:val="auto"/>
          <w:sz w:val="22"/>
          <w:szCs w:val="22"/>
          <w:lang w:val="en-US" w:eastAsia="zh-CN" w:bidi="ar"/>
        </w:rPr>
        <w:t>1</w:t>
      </w:r>
      <w:r>
        <w:rPr>
          <w:rFonts w:hint="eastAsia" w:ascii="仿宋_GB2312" w:hAnsi="仿宋_GB2312" w:eastAsia="仿宋_GB2312" w:cs="仿宋_GB2312"/>
          <w:color w:val="auto"/>
          <w:sz w:val="22"/>
          <w:szCs w:val="22"/>
          <w:lang w:bidi="ar"/>
        </w:rPr>
        <w:t>家</w:t>
      </w:r>
      <w:r>
        <w:rPr>
          <w:rFonts w:hint="eastAsia" w:ascii="仿宋_GB2312" w:hAnsi="仿宋_GB2312" w:eastAsia="仿宋_GB2312" w:cs="仿宋_GB2312"/>
          <w:color w:val="auto"/>
          <w:sz w:val="22"/>
          <w:szCs w:val="22"/>
          <w:lang w:eastAsia="zh-CN" w:bidi="ar"/>
        </w:rPr>
        <w:t>时，本项目招标失败。</w:t>
      </w:r>
    </w:p>
    <w:p>
      <w:pPr>
        <w:snapToGrid w:val="0"/>
        <w:spacing w:line="360" w:lineRule="auto"/>
        <w:ind w:firstLine="440" w:firstLineChars="200"/>
        <w:rPr>
          <w:rFonts w:hint="eastAsia" w:ascii="仿宋_GB2312" w:hAnsi="仿宋_GB2312" w:eastAsia="仿宋_GB2312" w:cs="仿宋_GB2312"/>
          <w:color w:val="auto"/>
          <w:sz w:val="22"/>
          <w:szCs w:val="22"/>
          <w:lang w:bidi="ar"/>
        </w:rPr>
      </w:pPr>
      <w:r>
        <w:rPr>
          <w:rFonts w:hint="eastAsia" w:ascii="仿宋_GB2312" w:hAnsi="仿宋_GB2312" w:eastAsia="仿宋_GB2312" w:cs="仿宋_GB2312"/>
          <w:color w:val="auto"/>
          <w:sz w:val="22"/>
          <w:szCs w:val="22"/>
          <w:lang w:bidi="ar"/>
        </w:rPr>
        <w:t>6、评审委员会按照本项目招标文件中规定的评标方法确定中标供应商。</w:t>
      </w:r>
    </w:p>
    <w:p>
      <w:pPr>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bidi="ar"/>
        </w:rPr>
        <w:t>十、根据本次采购的结果，10个工作日内与中标供应商签订合同。</w:t>
      </w: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pStyle w:val="3"/>
        <w:tabs>
          <w:tab w:val="left" w:pos="3150"/>
        </w:tabs>
        <w:jc w:val="center"/>
        <w:outlineLvl w:val="0"/>
        <w:rPr>
          <w:rStyle w:val="25"/>
          <w:rFonts w:ascii="仿宋_GB2312" w:hAnsi="仿宋_GB2312" w:eastAsia="仿宋_GB2312" w:cs="仿宋_GB2312"/>
          <w:b w:val="0"/>
          <w:color w:val="auto"/>
          <w:sz w:val="30"/>
          <w:szCs w:val="30"/>
        </w:rPr>
      </w:pPr>
      <w:r>
        <w:rPr>
          <w:rFonts w:hint="eastAsia" w:ascii="仿宋_GB2312" w:hAnsi="仿宋_GB2312" w:eastAsia="仿宋_GB2312" w:cs="仿宋_GB2312"/>
          <w:bCs/>
          <w:color w:val="auto"/>
          <w:sz w:val="28"/>
          <w:szCs w:val="28"/>
        </w:rPr>
        <w:br w:type="page"/>
      </w:r>
      <w:r>
        <w:rPr>
          <w:rFonts w:hint="eastAsia" w:ascii="仿宋_GB2312" w:hAnsi="仿宋_GB2312" w:eastAsia="仿宋_GB2312" w:cs="仿宋_GB2312"/>
          <w:bCs/>
          <w:color w:val="auto"/>
          <w:sz w:val="28"/>
          <w:szCs w:val="28"/>
        </w:rPr>
        <w:t>第四章</w:t>
      </w:r>
      <w:r>
        <w:rPr>
          <w:rStyle w:val="25"/>
          <w:rFonts w:hint="eastAsia" w:ascii="仿宋_GB2312" w:hAnsi="仿宋_GB2312" w:eastAsia="仿宋_GB2312" w:cs="仿宋_GB2312"/>
          <w:b w:val="0"/>
          <w:color w:val="auto"/>
          <w:sz w:val="30"/>
          <w:szCs w:val="30"/>
        </w:rPr>
        <w:t xml:space="preserve"> </w:t>
      </w:r>
      <w:r>
        <w:rPr>
          <w:rFonts w:hint="eastAsia" w:ascii="仿宋_GB2312" w:hAnsi="仿宋_GB2312" w:eastAsia="仿宋_GB2312" w:cs="仿宋_GB2312"/>
          <w:bCs/>
          <w:color w:val="auto"/>
          <w:sz w:val="28"/>
          <w:szCs w:val="28"/>
        </w:rPr>
        <w:t>合同格式及合同条款</w:t>
      </w:r>
    </w:p>
    <w:p>
      <w:pPr>
        <w:snapToGrid w:val="0"/>
        <w:spacing w:line="360" w:lineRule="auto"/>
        <w:jc w:val="right"/>
        <w:rPr>
          <w:rFonts w:ascii="仿宋_GB2312" w:hAnsi="仿宋_GB2312" w:eastAsia="仿宋_GB2312" w:cs="仿宋_GB2312"/>
          <w:color w:val="auto"/>
          <w:szCs w:val="21"/>
          <w:lang w:bidi="ar"/>
        </w:rPr>
      </w:pPr>
    </w:p>
    <w:p>
      <w:pPr>
        <w:shd w:val="clear" w:color="auto"/>
        <w:tabs>
          <w:tab w:val="left" w:pos="180"/>
        </w:tabs>
        <w:adjustRightInd w:val="0"/>
        <w:snapToGrid w:val="0"/>
        <w:jc w:val="right"/>
        <w:rPr>
          <w:rFonts w:ascii="仿宋_GB2312" w:hAnsi="仿宋_GB2312" w:eastAsia="仿宋_GB2312" w:cs="仿宋_GB2312"/>
          <w:bCs/>
          <w:color w:val="auto"/>
          <w:szCs w:val="21"/>
          <w:highlight w:val="none"/>
        </w:rPr>
      </w:pPr>
    </w:p>
    <w:p>
      <w:pPr>
        <w:pStyle w:val="31"/>
        <w:spacing w:line="360" w:lineRule="auto"/>
        <w:ind w:left="1475" w:right="1470" w:hanging="1475" w:hangingChars="612"/>
        <w:rPr>
          <w:rFonts w:ascii="宋体" w:hAnsi="宋体" w:cs="宋体"/>
          <w:b/>
          <w:color w:val="auto"/>
          <w:sz w:val="24"/>
          <w:szCs w:val="24"/>
        </w:rPr>
      </w:pPr>
      <w:r>
        <w:rPr>
          <w:rFonts w:hint="eastAsia" w:ascii="宋体" w:hAnsi="宋体" w:cs="宋体"/>
          <w:b/>
          <w:color w:val="auto"/>
          <w:sz w:val="24"/>
          <w:szCs w:val="24"/>
        </w:rPr>
        <w:t>合同编号（甲方）：</w:t>
      </w:r>
    </w:p>
    <w:p>
      <w:pPr>
        <w:shd w:val="clear" w:color="auto"/>
        <w:tabs>
          <w:tab w:val="left" w:pos="180"/>
        </w:tabs>
        <w:adjustRightInd w:val="0"/>
        <w:snapToGrid w:val="0"/>
        <w:spacing w:line="440" w:lineRule="exact"/>
        <w:jc w:val="left"/>
        <w:rPr>
          <w:rFonts w:ascii="仿宋_GB2312" w:hAnsi="仿宋_GB2312" w:eastAsia="仿宋_GB2312" w:cs="仿宋_GB2312"/>
          <w:color w:val="auto"/>
          <w:szCs w:val="21"/>
          <w:highlight w:val="none"/>
        </w:rPr>
      </w:pPr>
      <w:r>
        <w:rPr>
          <w:rFonts w:hint="eastAsia" w:ascii="宋体" w:hAnsi="宋体" w:cs="宋体"/>
          <w:b/>
          <w:color w:val="auto"/>
          <w:sz w:val="24"/>
          <w:szCs w:val="24"/>
        </w:rPr>
        <w:t>合同编号（乙方）：</w:t>
      </w:r>
    </w:p>
    <w:p>
      <w:pPr>
        <w:rPr>
          <w:rFonts w:hint="eastAsia" w:ascii="仿宋_GB2312" w:hAnsi="仿宋_GB2312" w:eastAsia="仿宋_GB2312" w:cs="仿宋_GB2312"/>
          <w:b/>
          <w:bCs/>
          <w:color w:val="auto"/>
          <w:sz w:val="28"/>
          <w:szCs w:val="36"/>
        </w:rPr>
      </w:pPr>
    </w:p>
    <w:p>
      <w:pPr>
        <w:rPr>
          <w:rFonts w:hint="eastAsia" w:ascii="仿宋_GB2312" w:hAnsi="仿宋_GB2312" w:eastAsia="仿宋_GB2312" w:cs="仿宋_GB2312"/>
          <w:b/>
          <w:bCs/>
          <w:color w:val="auto"/>
          <w:sz w:val="28"/>
          <w:szCs w:val="36"/>
        </w:rPr>
      </w:pPr>
    </w:p>
    <w:p>
      <w:pPr>
        <w:rPr>
          <w:rFonts w:hint="eastAsia" w:ascii="仿宋_GB2312" w:hAnsi="仿宋_GB2312" w:eastAsia="仿宋_GB2312" w:cs="仿宋_GB2312"/>
          <w:b/>
          <w:bCs/>
          <w:color w:val="auto"/>
          <w:sz w:val="28"/>
          <w:szCs w:val="36"/>
        </w:rPr>
      </w:pPr>
    </w:p>
    <w:p>
      <w:pPr>
        <w:ind w:firstLine="562" w:firstLineChars="200"/>
        <w:jc w:val="both"/>
        <w:rPr>
          <w:rFonts w:hint="eastAsia"/>
          <w:color w:val="auto"/>
        </w:rPr>
      </w:pPr>
      <w:r>
        <w:rPr>
          <w:rFonts w:hint="eastAsia" w:ascii="仿宋_GB2312" w:hAnsi="仿宋_GB2312" w:eastAsia="仿宋_GB2312" w:cs="仿宋_GB2312"/>
          <w:b/>
          <w:bCs/>
          <w:color w:val="auto"/>
          <w:sz w:val="28"/>
          <w:szCs w:val="36"/>
          <w:lang w:eastAsia="zh-CN"/>
        </w:rPr>
        <w:t>前海合作区2023年度办公用房市场租金评估项目委托</w:t>
      </w:r>
      <w:r>
        <w:rPr>
          <w:rFonts w:hint="eastAsia" w:ascii="仿宋_GB2312" w:hAnsi="仿宋_GB2312" w:eastAsia="仿宋_GB2312" w:cs="仿宋_GB2312"/>
          <w:b/>
          <w:bCs/>
          <w:color w:val="auto"/>
          <w:sz w:val="28"/>
          <w:szCs w:val="36"/>
        </w:rPr>
        <w:t>合同</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仿宋_GB2312" w:hAnsi="仿宋_GB2312" w:eastAsia="仿宋_GB2312" w:cs="仿宋_GB2312"/>
          <w:color w:val="auto"/>
          <w:sz w:val="24"/>
          <w:u w:val="single"/>
          <w:lang w:eastAsia="zh-CN"/>
        </w:rPr>
      </w:pPr>
      <w:r>
        <w:rPr>
          <w:rFonts w:hint="eastAsia" w:ascii="仿宋_GB2312" w:hAnsi="仿宋_GB2312" w:eastAsia="仿宋_GB2312" w:cs="仿宋_GB2312"/>
          <w:color w:val="auto"/>
          <w:sz w:val="24"/>
        </w:rPr>
        <w:t>项目名称：</w:t>
      </w:r>
      <w:r>
        <w:rPr>
          <w:rFonts w:hint="eastAsia" w:ascii="仿宋_GB2312" w:hAnsi="仿宋_GB2312" w:eastAsia="仿宋_GB2312" w:cs="仿宋_GB2312"/>
          <w:color w:val="auto"/>
          <w:sz w:val="24"/>
          <w:lang w:eastAsia="zh-CN"/>
        </w:rPr>
        <w:t>前海合作区2023年度办公用房市场租金评估项目</w:t>
      </w:r>
    </w:p>
    <w:p>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委托方（甲方）：</w:t>
      </w:r>
      <w:r>
        <w:rPr>
          <w:rFonts w:hint="eastAsia" w:ascii="仿宋_GB2312" w:hAnsi="仿宋_GB2312" w:eastAsia="仿宋_GB2312" w:cs="仿宋_GB2312"/>
          <w:color w:val="auto"/>
          <w:sz w:val="24"/>
          <w:u w:val="single"/>
        </w:rPr>
        <w:t xml:space="preserve">  深圳市前海深港现代服务业合作区管理局  </w:t>
      </w:r>
    </w:p>
    <w:p>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承接方（乙方）：</w:t>
      </w:r>
      <w:r>
        <w:rPr>
          <w:rFonts w:hint="eastAsia" w:ascii="仿宋_GB2312" w:hAnsi="仿宋_GB2312" w:eastAsia="仿宋_GB2312" w:cs="仿宋_GB2312"/>
          <w:color w:val="auto"/>
          <w:sz w:val="24"/>
          <w:u w:val="single"/>
        </w:rPr>
        <w:t xml:space="preserve">                                        </w:t>
      </w:r>
    </w:p>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b/>
          <w:color w:val="auto"/>
          <w:sz w:val="24"/>
        </w:rPr>
        <w:t xml:space="preserve"> </w:t>
      </w:r>
    </w:p>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二〇二</w:t>
      </w:r>
      <w:r>
        <w:rPr>
          <w:rFonts w:hint="eastAsia" w:ascii="仿宋_GB2312" w:hAnsi="仿宋_GB2312" w:eastAsia="仿宋_GB2312" w:cs="仿宋_GB2312"/>
          <w:color w:val="auto"/>
          <w:sz w:val="24"/>
          <w:lang w:eastAsia="zh-Hans"/>
        </w:rPr>
        <w:t>三</w:t>
      </w:r>
      <w:r>
        <w:rPr>
          <w:rFonts w:hint="eastAsia" w:ascii="仿宋_GB2312" w:hAnsi="仿宋_GB2312" w:eastAsia="仿宋_GB2312" w:cs="仿宋_GB2312"/>
          <w:color w:val="auto"/>
          <w:sz w:val="24"/>
        </w:rPr>
        <w:t>年  月</w:t>
      </w:r>
    </w:p>
    <w:p>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甲方：深圳市前海深港现代服务业合作区管理局</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地址：深圳市前海深港现代服务业合作区桂湾五路123号前海大厦T1栋</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法定代表人：</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联系人：</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联系方式</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rPr>
      </w:pP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rPr>
      </w:pP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乙方： </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统一社会信用代码：</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地址：</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法定代表人：</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联系人：</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联系方式：</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 </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以下甲方和乙方合称“双方”。</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根据《中华人民共和国民法典》等法律、法规的相关规定和编号为【QH2023098】招标项目的中标结果，由【</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】单位（以下简称乙方）为中标单位。按照《中华人民共和国民法典》和《深圳经济特区政府采购条例》，经深圳市前海深港现代服务业合作区管理局（以下简称甲方）和【</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】单位（以下简称乙方）协商，就甲方委托乙方承担前海合作区2023年度办公用房市场租金评估项目（以下简称本项目），达成以下合同条款：</w:t>
      </w:r>
    </w:p>
    <w:p>
      <w:pPr>
        <w:shd w:val="clear" w:color="auto"/>
        <w:adjustRightInd w:val="0"/>
        <w:snapToGrid w:val="0"/>
        <w:spacing w:line="440" w:lineRule="exact"/>
        <w:ind w:firstLine="442" w:firstLineChars="200"/>
        <w:rPr>
          <w:rFonts w:hint="eastAsia" w:ascii="仿宋_GB2312" w:hAnsi="仿宋_GB2312" w:eastAsia="仿宋_GB2312" w:cs="仿宋_GB2312"/>
          <w:b/>
          <w:color w:val="auto"/>
          <w:sz w:val="22"/>
          <w:szCs w:val="22"/>
          <w:highlight w:val="none"/>
          <w:lang w:eastAsia="zh-CN"/>
        </w:rPr>
      </w:pPr>
      <w:r>
        <w:rPr>
          <w:rFonts w:hint="eastAsia" w:ascii="仿宋_GB2312" w:hAnsi="仿宋_GB2312" w:eastAsia="仿宋_GB2312" w:cs="仿宋_GB2312"/>
          <w:b/>
          <w:color w:val="auto"/>
          <w:sz w:val="22"/>
          <w:szCs w:val="22"/>
          <w:highlight w:val="none"/>
        </w:rPr>
        <w:t>第一条 项目</w:t>
      </w:r>
      <w:r>
        <w:rPr>
          <w:rFonts w:hint="eastAsia" w:ascii="仿宋_GB2312" w:hAnsi="仿宋_GB2312" w:eastAsia="仿宋_GB2312" w:cs="仿宋_GB2312"/>
          <w:b/>
          <w:color w:val="auto"/>
          <w:sz w:val="22"/>
          <w:szCs w:val="22"/>
          <w:highlight w:val="none"/>
          <w:lang w:eastAsia="zh-CN"/>
        </w:rPr>
        <w:t>目标</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主要工作内容包括对前海合作区区域内的办公用房项目进行202</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rPr>
        <w:t>年度租金价格评估，并负责解释、答疑。</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第二条 项目服务要求</w:t>
      </w:r>
    </w:p>
    <w:p>
      <w:pPr>
        <w:shd w:val="clear" w:color="auto"/>
        <w:adjustRightInd w:val="0"/>
        <w:snapToGrid w:val="0"/>
        <w:spacing w:line="440" w:lineRule="exact"/>
        <w:ind w:firstLine="440" w:firstLineChars="200"/>
        <w:rPr>
          <w:rFonts w:hint="eastAsia" w:ascii="仿宋_GB2312" w:hAnsi="仿宋_GB2312" w:eastAsia="仿宋_GB2312" w:cs="仿宋_GB2312"/>
          <w:b/>
          <w:color w:val="auto"/>
          <w:sz w:val="22"/>
          <w:szCs w:val="22"/>
        </w:rPr>
      </w:pPr>
      <w:r>
        <w:rPr>
          <w:rFonts w:hint="eastAsia" w:ascii="仿宋_GB2312" w:hAnsi="仿宋_GB2312" w:eastAsia="仿宋_GB2312" w:cs="仿宋_GB2312"/>
          <w:color w:val="auto"/>
          <w:sz w:val="22"/>
          <w:szCs w:val="22"/>
        </w:rPr>
        <w:t>对前海合作区</w:t>
      </w:r>
      <w:r>
        <w:rPr>
          <w:rFonts w:hint="eastAsia" w:ascii="仿宋_GB2312" w:hAnsi="仿宋_GB2312" w:eastAsia="仿宋_GB2312" w:cs="仿宋_GB2312"/>
          <w:color w:val="auto"/>
          <w:sz w:val="22"/>
          <w:szCs w:val="22"/>
          <w:lang w:eastAsia="zh-CN"/>
        </w:rPr>
        <w:t>区域</w:t>
      </w:r>
      <w:r>
        <w:rPr>
          <w:rFonts w:hint="eastAsia" w:ascii="仿宋_GB2312" w:hAnsi="仿宋_GB2312" w:eastAsia="仿宋_GB2312" w:cs="仿宋_GB2312"/>
          <w:color w:val="auto"/>
          <w:sz w:val="22"/>
          <w:szCs w:val="22"/>
        </w:rPr>
        <w:t>内需评估的办公用房项目进行物业查勘、市场调研，并科学合理建立评估模型；以项目为单位，根据项目实际情况，评估项目市场租金，并</w:t>
      </w:r>
      <w:r>
        <w:rPr>
          <w:rFonts w:hint="eastAsia" w:ascii="仿宋_GB2312" w:hAnsi="仿宋_GB2312" w:eastAsia="仿宋_GB2312" w:cs="仿宋_GB2312"/>
          <w:color w:val="auto"/>
          <w:sz w:val="22"/>
          <w:szCs w:val="22"/>
          <w:lang w:eastAsia="zh-CN"/>
        </w:rPr>
        <w:t>按</w:t>
      </w:r>
      <w:r>
        <w:rPr>
          <w:rFonts w:hint="eastAsia" w:ascii="仿宋_GB2312" w:hAnsi="仿宋_GB2312" w:eastAsia="仿宋_GB2312" w:cs="仿宋_GB2312"/>
          <w:color w:val="auto"/>
          <w:sz w:val="22"/>
          <w:szCs w:val="22"/>
          <w:lang w:val="en-US" w:eastAsia="zh-CN"/>
        </w:rPr>
        <w:t>2023年度上、下半年分别</w:t>
      </w:r>
      <w:r>
        <w:rPr>
          <w:rFonts w:hint="eastAsia" w:ascii="仿宋_GB2312" w:hAnsi="仿宋_GB2312" w:eastAsia="仿宋_GB2312" w:cs="仿宋_GB2312"/>
          <w:color w:val="auto"/>
          <w:sz w:val="22"/>
          <w:szCs w:val="22"/>
        </w:rPr>
        <w:t>出具市场租金</w:t>
      </w:r>
      <w:r>
        <w:rPr>
          <w:rFonts w:hint="eastAsia" w:ascii="仿宋_GB2312" w:hAnsi="仿宋_GB2312" w:eastAsia="仿宋_GB2312" w:cs="仿宋_GB2312"/>
          <w:color w:val="auto"/>
          <w:sz w:val="22"/>
          <w:szCs w:val="22"/>
          <w:lang w:eastAsia="zh-CN"/>
        </w:rPr>
        <w:t>价格</w:t>
      </w:r>
      <w:r>
        <w:rPr>
          <w:rFonts w:hint="eastAsia" w:ascii="仿宋_GB2312" w:hAnsi="仿宋_GB2312" w:eastAsia="仿宋_GB2312" w:cs="仿宋_GB2312"/>
          <w:color w:val="auto"/>
          <w:sz w:val="22"/>
          <w:szCs w:val="22"/>
        </w:rPr>
        <w:t>评估报告</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公开发布相关项目市场评估租金，并根据需要进行解释、答疑</w:t>
      </w:r>
      <w:r>
        <w:rPr>
          <w:rFonts w:hint="eastAsia" w:ascii="仿宋_GB2312" w:hAnsi="仿宋_GB2312" w:eastAsia="仿宋_GB2312" w:cs="仿宋_GB2312"/>
          <w:color w:val="auto"/>
          <w:sz w:val="22"/>
          <w:szCs w:val="22"/>
          <w:lang w:eastAsia="zh-CN"/>
        </w:rPr>
        <w:t>（实际评估办公用房项目数量以甲方</w:t>
      </w:r>
      <w:r>
        <w:rPr>
          <w:rFonts w:hint="eastAsia" w:ascii="仿宋_GB2312" w:hAnsi="仿宋_GB2312" w:eastAsia="仿宋_GB2312" w:cs="仿宋_GB2312"/>
          <w:color w:val="auto"/>
          <w:sz w:val="22"/>
          <w:szCs w:val="22"/>
        </w:rPr>
        <w:t>提出的工作需求为准，</w:t>
      </w:r>
      <w:r>
        <w:rPr>
          <w:rFonts w:hint="eastAsia" w:ascii="仿宋_GB2312" w:hAnsi="仿宋_GB2312" w:eastAsia="仿宋_GB2312" w:cs="仿宋_GB2312"/>
          <w:color w:val="auto"/>
          <w:sz w:val="22"/>
          <w:szCs w:val="22"/>
          <w:lang w:eastAsia="zh-CN"/>
        </w:rPr>
        <w:t>拟评估项目数量</w:t>
      </w:r>
      <w:r>
        <w:rPr>
          <w:rFonts w:hint="eastAsia" w:ascii="仿宋_GB2312" w:hAnsi="仿宋_GB2312" w:eastAsia="仿宋_GB2312" w:cs="仿宋_GB2312"/>
          <w:color w:val="auto"/>
          <w:sz w:val="22"/>
          <w:szCs w:val="22"/>
        </w:rPr>
        <w:t>控制在</w:t>
      </w:r>
      <w:r>
        <w:rPr>
          <w:rFonts w:hint="default" w:ascii="仿宋_GB2312" w:hAnsi="仿宋_GB2312" w:eastAsia="仿宋_GB2312" w:cs="仿宋_GB2312"/>
          <w:color w:val="auto"/>
          <w:sz w:val="22"/>
          <w:szCs w:val="22"/>
          <w:lang w:val="en-US" w:eastAsia="zh-CN"/>
        </w:rPr>
        <w:t>50</w:t>
      </w:r>
      <w:r>
        <w:rPr>
          <w:rFonts w:hint="eastAsia" w:ascii="仿宋_GB2312" w:hAnsi="仿宋_GB2312" w:eastAsia="仿宋_GB2312" w:cs="仿宋_GB2312"/>
          <w:color w:val="auto"/>
          <w:sz w:val="22"/>
          <w:szCs w:val="22"/>
        </w:rPr>
        <w:t>处以内）。</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第三条 人员及管理要求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（一）人员要求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1.人员配备要求：供应商应指派不少于5名团队人员，配合甲方开展项目全过程管理。</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2.人员资质要求：至少3名人员具有租金评估资质，且有租金价格评估工作经验；身体健康，沟通能力强，有责任心，有较高的职业素养和敬业精神。</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3.在服务期限内，项目人员应相对稳定，</w:t>
      </w:r>
      <w:r>
        <w:rPr>
          <w:rFonts w:ascii="仿宋_GB2312" w:hAnsi="仿宋_GB2312" w:eastAsia="仿宋_GB2312" w:cs="仿宋_GB2312"/>
          <w:color w:val="auto"/>
          <w:sz w:val="22"/>
          <w:szCs w:val="22"/>
        </w:rPr>
        <w:t>乙方</w:t>
      </w:r>
      <w:r>
        <w:rPr>
          <w:rFonts w:hint="eastAsia" w:ascii="仿宋_GB2312" w:hAnsi="仿宋_GB2312" w:eastAsia="仿宋_GB2312" w:cs="仿宋_GB2312"/>
          <w:color w:val="auto"/>
          <w:sz w:val="22"/>
          <w:szCs w:val="22"/>
        </w:rPr>
        <w:t>不得随意更换项目负责人和项目组成员，及减少项目团队人数，或降低项目团队标准。若团队成员更换，须经甲方书面同意后方可更换。</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r>
        <w:rPr>
          <w:rFonts w:ascii="仿宋_GB2312" w:hAnsi="仿宋_GB2312" w:eastAsia="仿宋_GB2312" w:cs="仿宋_GB2312"/>
          <w:color w:val="auto"/>
          <w:sz w:val="22"/>
          <w:szCs w:val="22"/>
        </w:rPr>
        <w:t>乙方</w:t>
      </w:r>
      <w:r>
        <w:rPr>
          <w:rFonts w:hint="eastAsia" w:ascii="仿宋_GB2312" w:hAnsi="仿宋_GB2312" w:eastAsia="仿宋_GB2312" w:cs="仿宋_GB2312"/>
          <w:color w:val="auto"/>
          <w:sz w:val="22"/>
          <w:szCs w:val="22"/>
        </w:rPr>
        <w:t>应在合同签订后5个工作日内按甲方要求安排人员到岗开展服务工作，否则，每超期1天处以5000元/人次/日的违约金；若超期5天仍未按招标方要求安排人员到岗开展服务工作，</w:t>
      </w:r>
      <w:r>
        <w:rPr>
          <w:rFonts w:ascii="仿宋_GB2312" w:hAnsi="仿宋_GB2312" w:eastAsia="仿宋_GB2312" w:cs="仿宋_GB2312"/>
          <w:color w:val="auto"/>
          <w:sz w:val="22"/>
          <w:szCs w:val="22"/>
        </w:rPr>
        <w:t>甲方</w:t>
      </w:r>
      <w:r>
        <w:rPr>
          <w:rFonts w:hint="eastAsia" w:ascii="仿宋_GB2312" w:hAnsi="仿宋_GB2312" w:eastAsia="仿宋_GB2312" w:cs="仿宋_GB2312"/>
          <w:color w:val="auto"/>
          <w:sz w:val="22"/>
          <w:szCs w:val="22"/>
        </w:rPr>
        <w:t>有权解除合同。若甲方根据工作需求提出更换团队服务人员的，</w:t>
      </w:r>
      <w:r>
        <w:rPr>
          <w:rFonts w:ascii="仿宋_GB2312" w:hAnsi="仿宋_GB2312" w:eastAsia="仿宋_GB2312" w:cs="仿宋_GB2312"/>
          <w:color w:val="auto"/>
          <w:sz w:val="22"/>
          <w:szCs w:val="22"/>
        </w:rPr>
        <w:t>乙方</w:t>
      </w:r>
      <w:r>
        <w:rPr>
          <w:rFonts w:hint="eastAsia" w:ascii="仿宋_GB2312" w:hAnsi="仿宋_GB2312" w:eastAsia="仿宋_GB2312" w:cs="仿宋_GB2312"/>
          <w:color w:val="auto"/>
          <w:sz w:val="22"/>
          <w:szCs w:val="22"/>
        </w:rPr>
        <w:t>在10个工作日内未更换或拒不更换人员，</w:t>
      </w:r>
      <w:r>
        <w:rPr>
          <w:rFonts w:ascii="仿宋_GB2312" w:hAnsi="仿宋_GB2312" w:eastAsia="仿宋_GB2312" w:cs="仿宋_GB2312"/>
          <w:color w:val="auto"/>
          <w:sz w:val="22"/>
          <w:szCs w:val="22"/>
        </w:rPr>
        <w:t>甲方</w:t>
      </w:r>
      <w:r>
        <w:rPr>
          <w:rFonts w:hint="eastAsia" w:ascii="仿宋_GB2312" w:hAnsi="仿宋_GB2312" w:eastAsia="仿宋_GB2312" w:cs="仿宋_GB2312"/>
          <w:color w:val="auto"/>
          <w:sz w:val="22"/>
          <w:szCs w:val="22"/>
        </w:rPr>
        <w:t>有权解除合同。</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5.本项目服务团队人员不得有下列情形之一：</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5.1受过刑事处罚或者涉嫌违法犯罪尚未查清的。</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5.2曾被行政拘留或者有吸毒史的。</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5.3因违规违纪被机关、事业单位开除、辞退的。</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5.4有个人不良信用记录的。</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5.5曾参加过非法组织、邪教组织或危害国家安全活动的。</w:t>
      </w:r>
    </w:p>
    <w:p>
      <w:pPr>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（二）项目管理要求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r>
        <w:rPr>
          <w:rFonts w:ascii="仿宋_GB2312" w:hAnsi="仿宋_GB2312" w:eastAsia="仿宋_GB2312" w:cs="仿宋_GB2312"/>
          <w:color w:val="auto"/>
          <w:sz w:val="22"/>
          <w:szCs w:val="22"/>
        </w:rPr>
        <w:t>乙方</w:t>
      </w:r>
      <w:r>
        <w:rPr>
          <w:rFonts w:hint="eastAsia" w:ascii="仿宋_GB2312" w:hAnsi="仿宋_GB2312" w:eastAsia="仿宋_GB2312" w:cs="仿宋_GB2312"/>
          <w:color w:val="auto"/>
          <w:sz w:val="22"/>
          <w:szCs w:val="22"/>
        </w:rPr>
        <w:t>应指定一名团队负责人与甲方做好工作业务沟通对接、人员管理工作。</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2.投入项目的团队成员工作时间应与甲方上班时间保持一致，不得无故缺勤，不得违反</w:t>
      </w:r>
      <w:r>
        <w:rPr>
          <w:rFonts w:ascii="仿宋_GB2312" w:hAnsi="仿宋_GB2312" w:eastAsia="仿宋_GB2312" w:cs="仿宋_GB2312"/>
          <w:color w:val="auto"/>
          <w:sz w:val="22"/>
          <w:szCs w:val="22"/>
        </w:rPr>
        <w:t>甲方</w:t>
      </w:r>
      <w:r>
        <w:rPr>
          <w:rFonts w:hint="eastAsia" w:ascii="仿宋_GB2312" w:hAnsi="仿宋_GB2312" w:eastAsia="仿宋_GB2312" w:cs="仿宋_GB2312"/>
          <w:color w:val="auto"/>
          <w:sz w:val="22"/>
          <w:szCs w:val="22"/>
        </w:rPr>
        <w:t>单位工作纪律。</w:t>
      </w:r>
    </w:p>
    <w:p>
      <w:pPr>
        <w:pStyle w:val="2"/>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3.如需派驻，甲方应为派驻人员提供必要的工作条件及设施。</w:t>
      </w:r>
    </w:p>
    <w:p>
      <w:pPr>
        <w:ind w:firstLine="442" w:firstLineChars="200"/>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（三）项目服务期限</w:t>
      </w:r>
    </w:p>
    <w:p>
      <w:pPr>
        <w:pStyle w:val="8"/>
        <w:ind w:firstLine="440" w:firstLineChars="200"/>
        <w:rPr>
          <w:rFonts w:hint="eastAsia" w:ascii="仿宋_GB2312" w:hAnsi="仿宋_GB2312" w:eastAsia="宋体" w:cs="仿宋_GB2312"/>
          <w:color w:val="auto"/>
          <w:sz w:val="22"/>
          <w:szCs w:val="22"/>
          <w:lang w:val="en-US" w:eastAsia="zh-CN"/>
        </w:rPr>
      </w:pPr>
      <w:r>
        <w:rPr>
          <w:rFonts w:hint="eastAsia" w:ascii="仿宋_GB2312" w:hAnsi="仿宋_GB2312" w:eastAsia="仿宋_GB2312" w:cs="仿宋_GB2312"/>
          <w:color w:val="auto"/>
          <w:sz w:val="22"/>
          <w:szCs w:val="22"/>
        </w:rPr>
        <w:t>项目服务期限为自合同签订之日起一年内。</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第四条 合同费用及付款方式</w:t>
      </w:r>
    </w:p>
    <w:p>
      <w:pPr>
        <w:shd w:val="clear" w:color="auto"/>
        <w:adjustRightInd w:val="0"/>
        <w:snapToGrid w:val="0"/>
        <w:spacing w:line="440" w:lineRule="exact"/>
        <w:ind w:firstLine="442" w:firstLineChars="200"/>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（一）合同费用</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本合同</w:t>
      </w:r>
      <w:r>
        <w:rPr>
          <w:rFonts w:hint="eastAsia" w:ascii="仿宋_GB2312" w:hAnsi="仿宋_GB2312" w:eastAsia="仿宋_GB2312" w:cs="仿宋_GB2312"/>
          <w:color w:val="auto"/>
          <w:sz w:val="22"/>
          <w:szCs w:val="22"/>
          <w:lang w:eastAsia="zh-CN"/>
        </w:rPr>
        <w:t>项下服务费用总</w:t>
      </w:r>
      <w:r>
        <w:rPr>
          <w:rFonts w:hint="eastAsia" w:ascii="仿宋_GB2312" w:hAnsi="仿宋_GB2312" w:eastAsia="仿宋_GB2312" w:cs="仿宋_GB2312"/>
          <w:color w:val="auto"/>
          <w:sz w:val="22"/>
          <w:szCs w:val="22"/>
        </w:rPr>
        <w:t>金额（含税费）共计人民币     万元整(￥    )</w:t>
      </w:r>
      <w:r>
        <w:rPr>
          <w:rFonts w:hint="eastAsia" w:ascii="仿宋_GB2312" w:hAnsi="仿宋_GB2312" w:eastAsia="仿宋_GB2312" w:cs="仿宋_GB2312"/>
          <w:color w:val="auto"/>
          <w:sz w:val="22"/>
          <w:szCs w:val="22"/>
          <w:lang w:eastAsia="zh-CN"/>
        </w:rPr>
        <w:t>（实际评估办公用房项目数量以甲方</w:t>
      </w:r>
      <w:r>
        <w:rPr>
          <w:rFonts w:hint="eastAsia" w:ascii="仿宋_GB2312" w:hAnsi="仿宋_GB2312" w:eastAsia="仿宋_GB2312" w:cs="仿宋_GB2312"/>
          <w:color w:val="auto"/>
          <w:sz w:val="22"/>
          <w:szCs w:val="22"/>
        </w:rPr>
        <w:t>提出的工作需求为准，</w:t>
      </w:r>
      <w:r>
        <w:rPr>
          <w:rFonts w:hint="eastAsia" w:ascii="仿宋_GB2312" w:hAnsi="仿宋_GB2312" w:eastAsia="仿宋_GB2312" w:cs="仿宋_GB2312"/>
          <w:color w:val="auto"/>
          <w:sz w:val="22"/>
          <w:szCs w:val="22"/>
          <w:lang w:eastAsia="zh-CN"/>
        </w:rPr>
        <w:t>拟评估项目数量</w:t>
      </w:r>
      <w:r>
        <w:rPr>
          <w:rFonts w:hint="eastAsia" w:ascii="仿宋_GB2312" w:hAnsi="仿宋_GB2312" w:eastAsia="仿宋_GB2312" w:cs="仿宋_GB2312"/>
          <w:color w:val="auto"/>
          <w:sz w:val="22"/>
          <w:szCs w:val="22"/>
        </w:rPr>
        <w:t>控制在</w:t>
      </w:r>
      <w:r>
        <w:rPr>
          <w:rFonts w:hint="default" w:ascii="仿宋_GB2312" w:hAnsi="仿宋_GB2312" w:eastAsia="仿宋_GB2312" w:cs="仿宋_GB2312"/>
          <w:color w:val="auto"/>
          <w:sz w:val="22"/>
          <w:szCs w:val="22"/>
          <w:lang w:val="en-US" w:eastAsia="zh-CN"/>
        </w:rPr>
        <w:t>50</w:t>
      </w:r>
      <w:r>
        <w:rPr>
          <w:rFonts w:hint="eastAsia" w:ascii="仿宋_GB2312" w:hAnsi="仿宋_GB2312" w:eastAsia="仿宋_GB2312" w:cs="仿宋_GB2312"/>
          <w:color w:val="auto"/>
          <w:sz w:val="22"/>
          <w:szCs w:val="22"/>
        </w:rPr>
        <w:t>处以内</w:t>
      </w:r>
      <w:r>
        <w:rPr>
          <w:rFonts w:hint="eastAsia" w:ascii="仿宋_GB2312" w:hAnsi="仿宋_GB2312" w:eastAsia="仿宋_GB2312" w:cs="仿宋_GB2312"/>
          <w:color w:val="auto"/>
          <w:sz w:val="22"/>
          <w:szCs w:val="22"/>
          <w:lang w:eastAsia="zh-CN"/>
        </w:rPr>
        <w:t>，按照</w:t>
      </w:r>
      <w:r>
        <w:rPr>
          <w:rFonts w:hint="eastAsia" w:ascii="仿宋_GB2312" w:hAnsi="仿宋_GB2312" w:eastAsia="仿宋_GB2312" w:cs="仿宋_GB2312"/>
          <w:color w:val="auto"/>
          <w:sz w:val="22"/>
          <w:szCs w:val="22"/>
        </w:rPr>
        <w:t>实际发生数量</w:t>
      </w:r>
      <w:r>
        <w:rPr>
          <w:rFonts w:hint="eastAsia" w:ascii="仿宋_GB2312" w:hAnsi="仿宋_GB2312" w:eastAsia="仿宋_GB2312" w:cs="仿宋_GB2312"/>
          <w:color w:val="auto"/>
          <w:sz w:val="22"/>
          <w:szCs w:val="22"/>
          <w:lang w:eastAsia="zh-CN"/>
        </w:rPr>
        <w:t>以及中标单价结算</w:t>
      </w: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eastAsia="zh-CN"/>
        </w:rPr>
        <w:t>，以上</w:t>
      </w:r>
      <w:r>
        <w:rPr>
          <w:rFonts w:hint="eastAsia" w:ascii="仿宋_GB2312" w:hAnsi="仿宋_GB2312" w:eastAsia="仿宋_GB2312" w:cs="仿宋_GB2312"/>
          <w:color w:val="auto"/>
          <w:sz w:val="22"/>
          <w:szCs w:val="22"/>
        </w:rPr>
        <w:t>服务费已包含乙方提供本合同项下服务的全部费用，</w:t>
      </w:r>
      <w:r>
        <w:rPr>
          <w:rFonts w:hint="eastAsia" w:ascii="仿宋_GB2312" w:hAnsi="仿宋_GB2312" w:eastAsia="仿宋_GB2312" w:cs="仿宋_GB2312"/>
          <w:color w:val="auto"/>
          <w:kern w:val="0"/>
          <w:sz w:val="22"/>
          <w:szCs w:val="22"/>
          <w:lang w:val="zh-CN"/>
        </w:rPr>
        <w:t>包括但不限于物业查勘费、市场调研费、评估费、</w:t>
      </w:r>
      <w:r>
        <w:rPr>
          <w:rFonts w:hint="eastAsia" w:ascii="仿宋_GB2312" w:hAnsi="仿宋_GB2312" w:eastAsia="仿宋_GB2312" w:cs="仿宋_GB2312"/>
          <w:color w:val="auto"/>
          <w:kern w:val="0"/>
          <w:sz w:val="22"/>
          <w:szCs w:val="22"/>
        </w:rPr>
        <w:t>交通费、餐费、保险费，税费</w:t>
      </w:r>
      <w:r>
        <w:rPr>
          <w:rFonts w:hint="eastAsia" w:ascii="仿宋_GB2312" w:hAnsi="仿宋_GB2312" w:eastAsia="仿宋_GB2312" w:cs="仿宋_GB2312"/>
          <w:color w:val="auto"/>
          <w:kern w:val="0"/>
          <w:sz w:val="22"/>
          <w:szCs w:val="22"/>
          <w:lang w:val="en-US" w:eastAsia="zh-CN"/>
        </w:rPr>
        <w:t>等与本项目实施有关的一切费用</w:t>
      </w:r>
      <w:r>
        <w:rPr>
          <w:rFonts w:hint="eastAsia" w:ascii="仿宋_GB2312" w:hAnsi="仿宋_GB2312" w:eastAsia="仿宋_GB2312" w:cs="仿宋_GB2312"/>
          <w:color w:val="auto"/>
          <w:kern w:val="0"/>
          <w:sz w:val="22"/>
          <w:szCs w:val="22"/>
        </w:rPr>
        <w:t>。</w:t>
      </w:r>
    </w:p>
    <w:p>
      <w:pPr>
        <w:shd w:val="clear" w:color="auto"/>
        <w:adjustRightInd w:val="0"/>
        <w:snapToGrid w:val="0"/>
        <w:spacing w:line="440" w:lineRule="exact"/>
        <w:ind w:firstLine="442" w:firstLineChars="200"/>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（二）支付方式</w:t>
      </w:r>
    </w:p>
    <w:p>
      <w:pPr>
        <w:shd w:val="clear" w:color="auto"/>
        <w:adjustRightInd w:val="0"/>
        <w:snapToGrid w:val="0"/>
        <w:spacing w:line="440" w:lineRule="exact"/>
        <w:ind w:firstLine="440" w:firstLineChars="20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合同价款由甲方分3期支付至乙方指定银行账户：</w:t>
      </w:r>
    </w:p>
    <w:p>
      <w:pPr>
        <w:shd w:val="clear" w:color="auto"/>
        <w:adjustRightInd w:val="0"/>
        <w:snapToGrid w:val="0"/>
        <w:spacing w:line="440" w:lineRule="exact"/>
        <w:ind w:firstLine="440" w:firstLineChars="20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eastAsia="zh-CN"/>
        </w:rPr>
        <w:t>第</w:t>
      </w:r>
      <w:r>
        <w:rPr>
          <w:rFonts w:hint="eastAsia" w:ascii="仿宋_GB2312" w:hAnsi="仿宋_GB2312" w:eastAsia="仿宋_GB2312" w:cs="仿宋_GB2312"/>
          <w:color w:val="auto"/>
          <w:kern w:val="0"/>
          <w:sz w:val="22"/>
          <w:szCs w:val="22"/>
          <w:lang w:val="en-US" w:eastAsia="zh-CN"/>
        </w:rPr>
        <w:t>1期</w:t>
      </w:r>
      <w:r>
        <w:rPr>
          <w:rFonts w:hint="eastAsia" w:ascii="仿宋_GB2312" w:hAnsi="仿宋_GB2312" w:eastAsia="仿宋_GB2312" w:cs="仿宋_GB2312"/>
          <w:color w:val="auto"/>
          <w:kern w:val="0"/>
          <w:sz w:val="22"/>
          <w:szCs w:val="22"/>
        </w:rPr>
        <w:t>：自本合同签订之日起15个工作日内，根据乙方提出的付款申请，甲方向乙方支付合同总价款的30%；</w:t>
      </w:r>
    </w:p>
    <w:p>
      <w:pPr>
        <w:shd w:val="clear" w:color="auto"/>
        <w:adjustRightInd w:val="0"/>
        <w:snapToGrid w:val="0"/>
        <w:spacing w:line="440" w:lineRule="exact"/>
        <w:ind w:firstLine="440" w:firstLineChars="20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第2期：乙方完成提交送审成果</w:t>
      </w:r>
      <w:r>
        <w:rPr>
          <w:rFonts w:hint="eastAsia" w:ascii="仿宋_GB2312" w:hAnsi="仿宋_GB2312" w:eastAsia="仿宋_GB2312" w:cs="仿宋_GB2312"/>
          <w:color w:val="auto"/>
          <w:kern w:val="0"/>
          <w:sz w:val="22"/>
          <w:szCs w:val="22"/>
          <w:lang w:eastAsia="zh-CN"/>
        </w:rPr>
        <w:t>（含</w:t>
      </w:r>
      <w:r>
        <w:rPr>
          <w:rFonts w:hint="eastAsia" w:ascii="仿宋_GB2312" w:hAnsi="仿宋_GB2312" w:eastAsia="仿宋_GB2312" w:cs="仿宋_GB2312"/>
          <w:color w:val="auto"/>
          <w:kern w:val="0"/>
          <w:sz w:val="22"/>
          <w:szCs w:val="22"/>
          <w:lang w:val="en-US" w:eastAsia="zh-CN"/>
        </w:rPr>
        <w:t>2023年度上、下半年市场租金价格评估报告</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，乙方向甲方提出付款申请，甲方向乙方累计支付至实际</w:t>
      </w:r>
      <w:r>
        <w:rPr>
          <w:rFonts w:hint="eastAsia" w:ascii="仿宋_GB2312" w:hAnsi="仿宋_GB2312" w:eastAsia="仿宋_GB2312" w:cs="仿宋_GB2312"/>
          <w:color w:val="auto"/>
          <w:kern w:val="0"/>
          <w:sz w:val="22"/>
          <w:szCs w:val="22"/>
          <w:lang w:eastAsia="zh-CN"/>
        </w:rPr>
        <w:t>评估</w:t>
      </w:r>
      <w:r>
        <w:rPr>
          <w:rFonts w:hint="eastAsia" w:ascii="仿宋_GB2312" w:hAnsi="仿宋_GB2312" w:eastAsia="仿宋_GB2312" w:cs="仿宋_GB2312"/>
          <w:color w:val="auto"/>
          <w:kern w:val="0"/>
          <w:sz w:val="22"/>
          <w:szCs w:val="22"/>
        </w:rPr>
        <w:t>数量对应结算金额的</w:t>
      </w:r>
      <w:r>
        <w:rPr>
          <w:rFonts w:hint="eastAsia" w:ascii="仿宋_GB2312" w:hAnsi="仿宋_GB2312" w:eastAsia="仿宋_GB2312" w:cs="仿宋_GB2312"/>
          <w:color w:val="auto"/>
          <w:kern w:val="0"/>
          <w:sz w:val="22"/>
          <w:szCs w:val="22"/>
          <w:lang w:val="en-US" w:eastAsia="zh-CN"/>
        </w:rPr>
        <w:t>7</w:t>
      </w:r>
      <w:r>
        <w:rPr>
          <w:rFonts w:hint="eastAsia" w:ascii="仿宋_GB2312" w:hAnsi="仿宋_GB2312" w:eastAsia="仿宋_GB2312" w:cs="仿宋_GB2312"/>
          <w:color w:val="auto"/>
          <w:kern w:val="0"/>
          <w:sz w:val="22"/>
          <w:szCs w:val="22"/>
        </w:rPr>
        <w:t>0%；</w:t>
      </w:r>
    </w:p>
    <w:p>
      <w:pPr>
        <w:shd w:val="clear" w:color="auto"/>
        <w:adjustRightInd w:val="0"/>
        <w:snapToGrid w:val="0"/>
        <w:spacing w:line="440" w:lineRule="exact"/>
        <w:ind w:firstLine="440" w:firstLineChars="20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第3期：</w:t>
      </w:r>
      <w:r>
        <w:rPr>
          <w:rFonts w:hint="eastAsia" w:ascii="仿宋_GB2312" w:hAnsi="仿宋_GB2312" w:eastAsia="仿宋_GB2312" w:cs="仿宋_GB2312"/>
          <w:color w:val="auto"/>
          <w:kern w:val="0"/>
          <w:sz w:val="22"/>
          <w:szCs w:val="22"/>
          <w:lang w:eastAsia="zh-CN"/>
        </w:rPr>
        <w:t>乙方</w:t>
      </w:r>
      <w:r>
        <w:rPr>
          <w:rFonts w:hint="eastAsia" w:ascii="仿宋_GB2312" w:hAnsi="仿宋_GB2312" w:eastAsia="仿宋_GB2312" w:cs="仿宋_GB2312"/>
          <w:color w:val="auto"/>
          <w:kern w:val="0"/>
          <w:sz w:val="22"/>
          <w:szCs w:val="22"/>
        </w:rPr>
        <w:t>完成提交送审成果</w:t>
      </w:r>
      <w:r>
        <w:rPr>
          <w:rFonts w:hint="eastAsia" w:ascii="仿宋_GB2312" w:hAnsi="仿宋_GB2312" w:eastAsia="仿宋_GB2312" w:cs="仿宋_GB2312"/>
          <w:color w:val="auto"/>
          <w:kern w:val="0"/>
          <w:sz w:val="22"/>
          <w:szCs w:val="22"/>
          <w:lang w:eastAsia="zh-CN"/>
        </w:rPr>
        <w:t>（含</w:t>
      </w:r>
      <w:r>
        <w:rPr>
          <w:rFonts w:hint="eastAsia" w:ascii="仿宋_GB2312" w:hAnsi="仿宋_GB2312" w:eastAsia="仿宋_GB2312" w:cs="仿宋_GB2312"/>
          <w:color w:val="auto"/>
          <w:kern w:val="0"/>
          <w:sz w:val="22"/>
          <w:szCs w:val="22"/>
          <w:lang w:val="en-US" w:eastAsia="zh-CN"/>
        </w:rPr>
        <w:t>2023年度上、下半年市场租金价格评估报告</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，且公示无异议后15个工作日内，乙方向甲方提出付款申请，甲方按服务期内乙方实际</w:t>
      </w:r>
      <w:r>
        <w:rPr>
          <w:rFonts w:hint="eastAsia" w:ascii="仿宋_GB2312" w:hAnsi="仿宋_GB2312" w:eastAsia="仿宋_GB2312" w:cs="仿宋_GB2312"/>
          <w:color w:val="auto"/>
          <w:kern w:val="0"/>
          <w:sz w:val="22"/>
          <w:szCs w:val="22"/>
          <w:lang w:eastAsia="zh-CN"/>
        </w:rPr>
        <w:t>评估</w:t>
      </w:r>
      <w:r>
        <w:rPr>
          <w:rFonts w:hint="eastAsia" w:ascii="仿宋_GB2312" w:hAnsi="仿宋_GB2312" w:eastAsia="仿宋_GB2312" w:cs="仿宋_GB2312"/>
          <w:color w:val="auto"/>
          <w:kern w:val="0"/>
          <w:sz w:val="22"/>
          <w:szCs w:val="22"/>
        </w:rPr>
        <w:t>数量结算，向乙方支付剩余款项。实际结算金额累计最高不超过合同金额。</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r>
        <w:rPr>
          <w:rFonts w:hint="eastAsia" w:ascii="仿宋_GB2312" w:hAnsi="仿宋_GB2312" w:eastAsia="仿宋_GB2312" w:cs="仿宋_GB2312"/>
          <w:bCs w:val="0"/>
          <w:color w:val="auto"/>
          <w:kern w:val="0"/>
          <w:sz w:val="22"/>
          <w:szCs w:val="22"/>
        </w:rPr>
        <w:t>甲方有权在支付价款时扣除乙方按照本合同应承担的违约金和赔偿金。</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开户银行：</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开户名：</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开户银行帐号：</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开户银行地址：</w:t>
      </w:r>
    </w:p>
    <w:p>
      <w:pPr>
        <w:widowControl/>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第五条 双方的权利义务</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（一）甲方的权利和义务</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1.甲方有权向乙方询问项目工作进展及相关情况，并要求乙方在合理时间内做出答复。</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2.甲方有权对乙方提交的阶段性成果、最终成果送审稿等相关文件进行审核并提出修改意见。</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r>
        <w:rPr>
          <w:rFonts w:hint="eastAsia" w:ascii="仿宋_GB2312" w:hAnsi="仿宋_GB2312" w:eastAsia="仿宋_GB2312" w:cs="仿宋_GB2312"/>
          <w:color w:val="auto"/>
          <w:sz w:val="22"/>
          <w:szCs w:val="22"/>
          <w:lang w:eastAsia="zh-Hans"/>
        </w:rPr>
        <w:t>甲方有权</w:t>
      </w:r>
      <w:r>
        <w:rPr>
          <w:rFonts w:hint="eastAsia" w:ascii="仿宋_GB2312" w:hAnsi="仿宋_GB2312" w:eastAsia="仿宋_GB2312" w:cs="仿宋_GB2312"/>
          <w:color w:val="auto"/>
          <w:sz w:val="22"/>
          <w:szCs w:val="22"/>
        </w:rPr>
        <w:t>检查乙方研究人员到位情况，如因人力、能力不足致使研究工作不能按计划完成时，可要求乙方增加或替换相应的人员，直至甲方认可，乙方不得拒绝。</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4.甲方对乙方在委托权限范围内完成委托事项提供必要的配合和支持，应为乙方在深圳开展调研出具函件联系相关部门协助开展工作，对于乙方遵照学术规律开展的研究活动不得无理由干涉。</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 甲方在不违反相关法律法规及自身纪律前提下，应为乙方开展调研提供必要的支持协助。应将服务项目所需相关资料、案例、数据等提供给乙方，确保所提供材料的准确性、真实性，确保不涉密。</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6.甲方应按照本合同的约定向乙方支付费用。</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7.甲方对乙方在委托权限范围内完成委托事项有指导、监督权利。</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8.甲方有权要求乙方全面履行合同。甲方不接受部分履行，如本合同项下部分成果文件未能按时交付则视为整体延误。</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9．甲方指定项目联系人：</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姓名：</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联系方式：</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（二）乙方的权利和义务</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为保证项目成果的质量，乙方在合同履行期间，应按照服务内容要求组织专家队伍，成立项目团队（团队成员名单见附件），并保障项目团队成员到位，确保服务项目按照合同顺利进行，并在工作结束后及时组织专家论证。项目团队成员应不少于5人（不含项目负责人），负责人及相关工作人员名单在甲方确认后如需更换，乙方应事先征得甲方的书面同意，且接替的工作人员的职位、资历、资质应与原定工作人员相当。如</w:t>
      </w:r>
      <w:r>
        <w:rPr>
          <w:rFonts w:hint="eastAsia" w:ascii="仿宋_GB2312" w:hAnsi="仿宋_GB2312" w:eastAsia="仿宋_GB2312" w:cs="仿宋_GB2312"/>
          <w:color w:val="auto"/>
          <w:sz w:val="22"/>
          <w:szCs w:val="22"/>
          <w:lang w:eastAsia="zh-Hans"/>
        </w:rPr>
        <w:t>乙方</w:t>
      </w:r>
      <w:r>
        <w:rPr>
          <w:rFonts w:hint="eastAsia" w:ascii="仿宋_GB2312" w:hAnsi="仿宋_GB2312" w:eastAsia="仿宋_GB2312" w:cs="仿宋_GB2312"/>
          <w:color w:val="auto"/>
          <w:sz w:val="22"/>
          <w:szCs w:val="22"/>
        </w:rPr>
        <w:t>不经</w:t>
      </w:r>
      <w:r>
        <w:rPr>
          <w:rFonts w:hint="eastAsia" w:ascii="仿宋_GB2312" w:hAnsi="仿宋_GB2312" w:eastAsia="仿宋_GB2312" w:cs="仿宋_GB2312"/>
          <w:color w:val="auto"/>
          <w:sz w:val="22"/>
          <w:szCs w:val="22"/>
          <w:lang w:eastAsia="zh-Hans"/>
        </w:rPr>
        <w:t>甲方</w:t>
      </w:r>
      <w:r>
        <w:rPr>
          <w:rFonts w:hint="eastAsia" w:ascii="仿宋_GB2312" w:hAnsi="仿宋_GB2312" w:eastAsia="仿宋_GB2312" w:cs="仿宋_GB2312"/>
          <w:color w:val="auto"/>
          <w:sz w:val="22"/>
          <w:szCs w:val="22"/>
        </w:rPr>
        <w:t>同意擅自更换，</w:t>
      </w:r>
      <w:r>
        <w:rPr>
          <w:rFonts w:hint="eastAsia" w:ascii="仿宋_GB2312" w:hAnsi="仿宋_GB2312" w:eastAsia="仿宋_GB2312" w:cs="仿宋_GB2312"/>
          <w:color w:val="auto"/>
          <w:sz w:val="22"/>
          <w:szCs w:val="22"/>
          <w:lang w:eastAsia="zh-Hans"/>
        </w:rPr>
        <w:t>甲方</w:t>
      </w:r>
      <w:r>
        <w:rPr>
          <w:rFonts w:hint="eastAsia" w:ascii="仿宋_GB2312" w:hAnsi="仿宋_GB2312" w:eastAsia="仿宋_GB2312" w:cs="仿宋_GB2312"/>
          <w:color w:val="auto"/>
          <w:sz w:val="22"/>
          <w:szCs w:val="22"/>
        </w:rPr>
        <w:t>有权解除合同或根据情节</w:t>
      </w:r>
      <w:r>
        <w:rPr>
          <w:rFonts w:hint="eastAsia" w:ascii="仿宋_GB2312" w:hAnsi="仿宋_GB2312" w:eastAsia="仿宋_GB2312" w:cs="仿宋_GB2312"/>
          <w:color w:val="auto"/>
          <w:sz w:val="22"/>
          <w:szCs w:val="22"/>
          <w:lang w:eastAsia="zh-Hans"/>
        </w:rPr>
        <w:t>要求乙方支付</w:t>
      </w:r>
      <w:r>
        <w:rPr>
          <w:rFonts w:hint="eastAsia" w:ascii="仿宋_GB2312" w:hAnsi="仿宋_GB2312" w:eastAsia="仿宋_GB2312" w:cs="仿宋_GB2312"/>
          <w:color w:val="auto"/>
          <w:sz w:val="22"/>
          <w:szCs w:val="22"/>
        </w:rPr>
        <w:t>5000元/</w:t>
      </w:r>
      <w:r>
        <w:rPr>
          <w:rFonts w:hint="eastAsia" w:ascii="仿宋_GB2312" w:hAnsi="仿宋_GB2312" w:eastAsia="仿宋_GB2312" w:cs="仿宋_GB2312"/>
          <w:color w:val="auto"/>
          <w:sz w:val="22"/>
          <w:szCs w:val="22"/>
          <w:lang w:eastAsia="zh-Hans"/>
        </w:rPr>
        <w:t>人</w:t>
      </w:r>
      <w:r>
        <w:rPr>
          <w:rFonts w:hint="eastAsia" w:ascii="仿宋_GB2312" w:hAnsi="仿宋_GB2312" w:eastAsia="仿宋_GB2312" w:cs="仿宋_GB2312"/>
          <w:color w:val="auto"/>
          <w:sz w:val="22"/>
          <w:szCs w:val="22"/>
        </w:rPr>
        <w:t>/次的</w:t>
      </w:r>
      <w:r>
        <w:rPr>
          <w:rFonts w:hint="eastAsia" w:ascii="仿宋_GB2312" w:hAnsi="仿宋_GB2312" w:eastAsia="仿宋_GB2312" w:cs="仿宋_GB2312"/>
          <w:color w:val="auto"/>
          <w:sz w:val="22"/>
          <w:szCs w:val="22"/>
          <w:lang w:eastAsia="zh-Hans"/>
        </w:rPr>
        <w:t>违约金</w:t>
      </w:r>
      <w:r>
        <w:rPr>
          <w:rFonts w:hint="eastAsia" w:ascii="仿宋_GB2312" w:hAnsi="仿宋_GB2312" w:eastAsia="仿宋_GB2312" w:cs="仿宋_GB2312"/>
          <w:color w:val="auto"/>
          <w:sz w:val="22"/>
          <w:szCs w:val="22"/>
        </w:rPr>
        <w:t>。</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3.乙方应配合甲方验收人员的工作,对于验收过程中发现的问题，乙方应在发现问题后立即整改，最晚不超过3日内进行改正，以符合甲方的需要。</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4.乙方有维护甲方声誉的义务，乙方不能以甲方名义从事与本项目无关的任何事务。</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5.乙方应独立完成本项目。未经甲方书面同意，乙方不得向任何第三方全部或部分转让本项目。</w:t>
      </w:r>
    </w:p>
    <w:p>
      <w:pPr>
        <w:shd w:val="clear"/>
        <w:spacing w:line="440" w:lineRule="exact"/>
        <w:ind w:firstLine="495" w:firstLineChars="225"/>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7.乙方应确保投标文件中提供的所有资料、信息真实、有效。</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8.乙方不得单独对外发布本项目任何成果。如必要，应提前征得甲方书面同意。</w:t>
      </w:r>
    </w:p>
    <w:p>
      <w:pPr>
        <w:pStyle w:val="2"/>
        <w:shd w:val="clear"/>
        <w:spacing w:line="440" w:lineRule="exact"/>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9.本合同期满或提前解除、终止后，乙方应将甲方的档案资料、信息数据等交还甲方，并应销毁或删除所有备份。</w:t>
      </w:r>
    </w:p>
    <w:p>
      <w:pPr>
        <w:shd w:val="clear"/>
        <w:spacing w:line="440" w:lineRule="exact"/>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10.针对甲方就乙方提交的工作报告等相关文件提出的修改意见，乙方应当在甲方指定的修改时间内完成修改。</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11.乙方指定项目联系人：</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姓名：</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联系方式：</w:t>
      </w:r>
    </w:p>
    <w:p>
      <w:pPr>
        <w:spacing w:line="440" w:lineRule="exact"/>
        <w:ind w:firstLine="42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乙</w:t>
      </w:r>
      <w:r>
        <w:rPr>
          <w:rFonts w:hint="eastAsia" w:ascii="仿宋_GB2312" w:hAnsi="仿宋_GB2312" w:eastAsia="仿宋_GB2312" w:cs="仿宋_GB2312"/>
          <w:color w:val="auto"/>
          <w:sz w:val="22"/>
          <w:szCs w:val="22"/>
        </w:rPr>
        <w:t>方变更项目联系人的，应当在5个工作日内以书面形式通知</w:t>
      </w:r>
      <w:r>
        <w:rPr>
          <w:rFonts w:hint="eastAsia" w:ascii="仿宋_GB2312" w:hAnsi="仿宋_GB2312" w:eastAsia="仿宋_GB2312" w:cs="仿宋_GB2312"/>
          <w:color w:val="auto"/>
          <w:sz w:val="22"/>
          <w:szCs w:val="22"/>
          <w:lang w:val="en-US" w:eastAsia="zh-CN"/>
        </w:rPr>
        <w:t>甲</w:t>
      </w:r>
      <w:r>
        <w:rPr>
          <w:rFonts w:hint="eastAsia" w:ascii="仿宋_GB2312" w:hAnsi="仿宋_GB2312" w:eastAsia="仿宋_GB2312" w:cs="仿宋_GB2312"/>
          <w:color w:val="auto"/>
          <w:sz w:val="22"/>
          <w:szCs w:val="22"/>
        </w:rPr>
        <w:t>方。未及时通知并影响本合同履行或造成损失的，应承担相应的责任。</w:t>
      </w:r>
      <w:r>
        <w:rPr>
          <w:rFonts w:hint="eastAsia" w:ascii="仿宋_GB2312" w:hAnsi="仿宋_GB2312" w:eastAsia="仿宋_GB2312" w:cs="仿宋_GB2312"/>
          <w:color w:val="auto"/>
          <w:sz w:val="22"/>
          <w:szCs w:val="22"/>
          <w:lang w:val="en-US" w:eastAsia="zh-CN"/>
        </w:rPr>
        <w:t>乙</w:t>
      </w:r>
      <w:r>
        <w:rPr>
          <w:rFonts w:hint="eastAsia" w:ascii="仿宋_GB2312" w:hAnsi="仿宋_GB2312" w:eastAsia="仿宋_GB2312" w:cs="仿宋_GB2312"/>
          <w:color w:val="auto"/>
          <w:sz w:val="22"/>
          <w:szCs w:val="22"/>
        </w:rPr>
        <w:t>方变更通讯地址或者联系方式，应及时将变更后的地址、联系方式通知</w:t>
      </w:r>
      <w:r>
        <w:rPr>
          <w:rFonts w:hint="eastAsia" w:ascii="仿宋_GB2312" w:hAnsi="仿宋_GB2312" w:eastAsia="仿宋_GB2312" w:cs="仿宋_GB2312"/>
          <w:color w:val="auto"/>
          <w:sz w:val="22"/>
          <w:szCs w:val="22"/>
          <w:lang w:val="en-US" w:eastAsia="zh-CN"/>
        </w:rPr>
        <w:t>甲</w:t>
      </w:r>
      <w:r>
        <w:rPr>
          <w:rFonts w:hint="eastAsia" w:ascii="仿宋_GB2312" w:hAnsi="仿宋_GB2312" w:eastAsia="仿宋_GB2312" w:cs="仿宋_GB2312"/>
          <w:color w:val="auto"/>
          <w:sz w:val="22"/>
          <w:szCs w:val="22"/>
        </w:rPr>
        <w:t>方，否则</w:t>
      </w:r>
      <w:r>
        <w:rPr>
          <w:rFonts w:hint="eastAsia" w:ascii="仿宋_GB2312" w:hAnsi="仿宋_GB2312" w:eastAsia="仿宋_GB2312" w:cs="仿宋_GB2312"/>
          <w:color w:val="auto"/>
          <w:sz w:val="22"/>
          <w:szCs w:val="22"/>
          <w:lang w:val="en-US" w:eastAsia="zh-CN"/>
        </w:rPr>
        <w:t>乙</w:t>
      </w:r>
      <w:r>
        <w:rPr>
          <w:rFonts w:hint="eastAsia" w:ascii="仿宋_GB2312" w:hAnsi="仿宋_GB2312" w:eastAsia="仿宋_GB2312" w:cs="仿宋_GB2312"/>
          <w:color w:val="auto"/>
          <w:sz w:val="22"/>
          <w:szCs w:val="22"/>
        </w:rPr>
        <w:t>方应对此造成的一切后果承担责任。</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第六条 成果权属与知识产权</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（一）本项目全部阶段性成果和最终成果的所有权、知识产权以及与之相关的所有权利归甲方所有；本合同签署前双方已经拥有的知识产权权利，仍归各自所有。</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（二）双方确定，甲方有权对乙方按照本合同约定提供的成果进行后续改进。由此产生的具有实质性或创造性技术进步特征的新的技术成果及其权利全部由甲方享有。</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（五）乙方完成本项目的研究人员享有在有关技术成果文件上署名的权利和与甲方共同获得有关荣誉证书、奖励的权利。</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第七条 保密条款</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（三）乙方实施项目的程序应符合国家安全、保密的有关规定和标准。</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（四）上述保密义务不适用以下情况：</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1.获取的信息已被合法公开；</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2.获得信息拥有方书面许可并在该许可范围内披露；</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3.国家法律、法规规定的情形。</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（六）无论本合同或本合同其他条款是否有效，本保密条款始终约束双方。国家秘密的保密期限由国家有关部门确定，工作秘密的保密期限由甲方确定。</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第八条 合同解除</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（一）双方协商同意提前终止本协议的，按双方约定进行清算执行。</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（二）如果一方发生以下任一情形，另一方有权解除协议。当事方有义务在事由发生后15个工作日内以书面方式通知对方：</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1.破产、解散、被依法关闭、撤销或已进入清算阶段；</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2.出现了协议约定的或法定解除事由。</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3.有下列情形之一的，本协议自甲方向乙方发出书面通知之日起终止：</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（1）甲方的职能发生转变，不再具有委托职能。</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（2）本协议签订时适用的法律法规或政策发生变化，且对本协议的继续履行造成重大影响。</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发生以上情形，甲方已向乙方支付的款项不退还，同时乙方应向甲方提交在协议终止日前完成的所有项目文件和相关资料。</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4.如发生不可抗力，如行政命令、政策法规、罢工、禁运、战争、自然灾害（如洪水或地震）或其他超出协议双方控制的事件，致使一方无法履行协议，协议解除。</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本协议所称不可抗力是指自然灾害、战争、地震突发事件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（2）发生不可抗力，甲乙双方承担各自的损失。由于其中一方延迟履行协议义务后发生不可抗力的，不能免除责任。</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（3）不可抗力事件导致一方无法履行协议义务或继续履行已无意义，由双方协商进行本协议的清算。</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第九条 违约责任</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（一）如乙方未按照本合同约定的时间完成本项目各阶段工作，且未经甲方书面同意延长服务成果完成期限的，每迟延一日，甲方有权要求乙方支付本合同服务费总金额的1‰的逾期违约金。</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二</w:t>
      </w:r>
      <w:r>
        <w:rPr>
          <w:rFonts w:hint="eastAsia" w:ascii="仿宋_GB2312" w:hAnsi="仿宋_GB2312" w:eastAsia="仿宋_GB2312" w:cs="仿宋_GB2312"/>
          <w:color w:val="auto"/>
          <w:sz w:val="22"/>
          <w:szCs w:val="22"/>
          <w:lang w:eastAsia="zh-CN"/>
        </w:rPr>
        <w:t>）本项目所要求的项目内容，任意一项未在服务期限内完成，均视为整个项目的延迟交付。</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val="en-US" w:eastAsia="zh-CN"/>
        </w:rPr>
        <w:t>三</w:t>
      </w:r>
      <w:r>
        <w:rPr>
          <w:rFonts w:hint="eastAsia" w:ascii="仿宋_GB2312" w:hAnsi="仿宋_GB2312" w:eastAsia="仿宋_GB2312" w:cs="仿宋_GB2312"/>
          <w:color w:val="auto"/>
          <w:sz w:val="22"/>
          <w:szCs w:val="22"/>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widowControl/>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（1）乙方未能按合同约定的日期(含协商延缓的日期)提交各阶段成果或最终成果，延误时间超过15个工作日；</w:t>
      </w:r>
    </w:p>
    <w:p>
      <w:pPr>
        <w:widowControl/>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（2）因乙方工作的错误或遗漏造成成果质量损失，</w:t>
      </w:r>
      <w:r>
        <w:rPr>
          <w:rFonts w:hint="eastAsia" w:ascii="仿宋_GB2312" w:hAnsi="仿宋_GB2312" w:eastAsia="仿宋_GB2312" w:cs="仿宋_GB2312"/>
          <w:color w:val="auto"/>
          <w:sz w:val="22"/>
          <w:szCs w:val="22"/>
          <w:lang w:val="zh-CN"/>
        </w:rPr>
        <w:t>工作成果质量低劣，不能满足甲方工作需要和要求</w:t>
      </w:r>
      <w:r>
        <w:rPr>
          <w:rFonts w:hint="eastAsia" w:ascii="仿宋_GB2312" w:hAnsi="仿宋_GB2312" w:eastAsia="仿宋_GB2312" w:cs="仿宋_GB2312"/>
          <w:color w:val="auto"/>
          <w:sz w:val="22"/>
          <w:szCs w:val="22"/>
        </w:rPr>
        <w:t>；</w:t>
      </w:r>
    </w:p>
    <w:p>
      <w:pPr>
        <w:widowControl/>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（3）乙方虽如期提交最终成果，但连续二次未能通过甲方验收的；</w:t>
      </w:r>
    </w:p>
    <w:p>
      <w:pPr>
        <w:widowControl/>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（4）未经甲方书面在先同意，乙方擅自将本合同项目与任何第三方合作，或将本合同标的全部或部分擅自转</w:t>
      </w:r>
      <w:r>
        <w:rPr>
          <w:rFonts w:hint="eastAsia" w:ascii="仿宋_GB2312" w:hAnsi="仿宋_GB2312" w:eastAsia="仿宋_GB2312" w:cs="仿宋_GB2312"/>
          <w:color w:val="auto"/>
          <w:sz w:val="22"/>
          <w:szCs w:val="22"/>
          <w:lang w:val="en-US" w:eastAsia="zh-CN"/>
        </w:rPr>
        <w:t>委托</w:t>
      </w:r>
      <w:r>
        <w:rPr>
          <w:rFonts w:hint="eastAsia" w:ascii="仿宋_GB2312" w:hAnsi="仿宋_GB2312" w:eastAsia="仿宋_GB2312" w:cs="仿宋_GB2312"/>
          <w:color w:val="auto"/>
          <w:sz w:val="22"/>
          <w:szCs w:val="22"/>
        </w:rPr>
        <w:t>给任何第三方，且未按甲方的要求终止与第三方的合同的；</w:t>
      </w:r>
    </w:p>
    <w:p>
      <w:pPr>
        <w:widowControl/>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（5）项目负责人未承担本合同项目实质性工作，或未经甲方书面在先同意，乙方擅自更换项目负责人的；</w:t>
      </w:r>
    </w:p>
    <w:p>
      <w:pPr>
        <w:widowControl/>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（6）发现乙方或乙方工作人员出现全部或部分丧失履行委托服务能力的情况，甲方有权通知乙方限期整改或更换工作人员，期限届满乙方并未进行改善的；</w:t>
      </w:r>
    </w:p>
    <w:p>
      <w:pPr>
        <w:widowControl/>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（7）乙方明确表示或者以自己的行为表明不履行本合同的。</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val="en-US" w:eastAsia="zh-CN"/>
        </w:rPr>
        <w:t>四</w:t>
      </w:r>
      <w:r>
        <w:rPr>
          <w:rFonts w:hint="eastAsia" w:ascii="仿宋_GB2312" w:hAnsi="仿宋_GB2312" w:eastAsia="仿宋_GB2312" w:cs="仿宋_GB2312"/>
          <w:color w:val="auto"/>
          <w:sz w:val="22"/>
          <w:szCs w:val="22"/>
        </w:rPr>
        <w:t>）除因</w:t>
      </w:r>
      <w:r>
        <w:rPr>
          <w:rFonts w:hint="eastAsia" w:ascii="仿宋_GB2312" w:hAnsi="仿宋_GB2312" w:eastAsia="仿宋_GB2312" w:cs="仿宋_GB2312"/>
          <w:color w:val="auto"/>
          <w:kern w:val="0"/>
          <w:sz w:val="22"/>
          <w:szCs w:val="22"/>
        </w:rPr>
        <w:t>甲方付款审批影响支付进度的情况外，</w:t>
      </w:r>
      <w:r>
        <w:rPr>
          <w:rFonts w:hint="eastAsia" w:ascii="仿宋_GB2312" w:hAnsi="仿宋_GB2312" w:eastAsia="仿宋_GB2312" w:cs="仿宋_GB2312"/>
          <w:color w:val="auto"/>
          <w:sz w:val="22"/>
          <w:szCs w:val="22"/>
        </w:rPr>
        <w:t>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val="en-US" w:eastAsia="zh-CN"/>
        </w:rPr>
        <w:t>五</w:t>
      </w:r>
      <w:r>
        <w:rPr>
          <w:rFonts w:hint="eastAsia" w:ascii="仿宋_GB2312" w:hAnsi="仿宋_GB2312" w:eastAsia="仿宋_GB2312" w:cs="仿宋_GB2312"/>
          <w:color w:val="auto"/>
          <w:sz w:val="22"/>
          <w:szCs w:val="22"/>
        </w:rPr>
        <w:t>）上述违约责任各自独立且可累加。如本合同所约定的违约金无法弥补因违约行为所造成的损失，违约方应补偿上述不足部分的损失。</w:t>
      </w:r>
    </w:p>
    <w:p>
      <w:pPr>
        <w:shd w:val="clear" w:color="auto"/>
        <w:adjustRightInd w:val="0"/>
        <w:snapToGrid w:val="0"/>
        <w:spacing w:line="440" w:lineRule="exact"/>
        <w:ind w:firstLine="440" w:firstLineChars="200"/>
        <w:rPr>
          <w:rFonts w:hint="eastAsia" w:ascii="仿宋_GB2312" w:hAnsi="仿宋_GB2312" w:eastAsia="仿宋_GB2312" w:cs="仿宋_GB2312"/>
          <w:bCs w:val="0"/>
          <w:color w:val="auto"/>
          <w:sz w:val="22"/>
          <w:szCs w:val="22"/>
        </w:rPr>
      </w:pPr>
      <w:r>
        <w:rPr>
          <w:rFonts w:hint="eastAsia" w:ascii="仿宋_GB2312" w:hAnsi="仿宋_GB2312" w:eastAsia="仿宋_GB2312" w:cs="仿宋_GB2312"/>
          <w:bCs w:val="0"/>
          <w:color w:val="auto"/>
          <w:sz w:val="22"/>
          <w:szCs w:val="22"/>
          <w:lang w:eastAsia="zh-CN"/>
        </w:rPr>
        <w:t>（</w:t>
      </w:r>
      <w:r>
        <w:rPr>
          <w:rFonts w:hint="eastAsia" w:ascii="仿宋_GB2312" w:hAnsi="仿宋_GB2312" w:eastAsia="仿宋_GB2312" w:cs="仿宋_GB2312"/>
          <w:bCs w:val="0"/>
          <w:color w:val="auto"/>
          <w:sz w:val="22"/>
          <w:szCs w:val="22"/>
          <w:lang w:val="en-US" w:eastAsia="zh-CN"/>
        </w:rPr>
        <w:t>六</w:t>
      </w:r>
      <w:r>
        <w:rPr>
          <w:rFonts w:hint="eastAsia" w:ascii="仿宋_GB2312" w:hAnsi="仿宋_GB2312" w:eastAsia="仿宋_GB2312" w:cs="仿宋_GB2312"/>
          <w:bCs w:val="0"/>
          <w:color w:val="auto"/>
          <w:sz w:val="22"/>
          <w:szCs w:val="22"/>
          <w:lang w:eastAsia="zh-CN"/>
        </w:rPr>
        <w:t>）</w:t>
      </w:r>
      <w:r>
        <w:rPr>
          <w:rFonts w:hint="eastAsia" w:ascii="仿宋_GB2312" w:hAnsi="仿宋_GB2312" w:eastAsia="仿宋_GB2312" w:cs="仿宋_GB2312"/>
          <w:bCs w:val="0"/>
          <w:color w:val="auto"/>
          <w:sz w:val="22"/>
          <w:szCs w:val="22"/>
        </w:rPr>
        <w:t>乙方无正当理由解除合同的，应向甲方支付合同总额</w:t>
      </w:r>
      <w:r>
        <w:rPr>
          <w:rFonts w:hint="eastAsia" w:ascii="仿宋_GB2312" w:hAnsi="仿宋_GB2312" w:eastAsia="仿宋_GB2312" w:cs="仿宋_GB2312"/>
          <w:bCs w:val="0"/>
          <w:color w:val="auto"/>
          <w:sz w:val="22"/>
          <w:szCs w:val="22"/>
          <w:u w:val="none"/>
        </w:rPr>
        <w:t>20%</w:t>
      </w:r>
      <w:r>
        <w:rPr>
          <w:rFonts w:hint="eastAsia" w:ascii="仿宋_GB2312" w:hAnsi="仿宋_GB2312" w:eastAsia="仿宋_GB2312" w:cs="仿宋_GB2312"/>
          <w:bCs w:val="0"/>
          <w:color w:val="auto"/>
          <w:sz w:val="22"/>
          <w:szCs w:val="22"/>
        </w:rPr>
        <w:t>的违约金。</w:t>
      </w:r>
    </w:p>
    <w:p>
      <w:pPr>
        <w:shd w:val="clear" w:color="auto"/>
        <w:adjustRightInd w:val="0"/>
        <w:snapToGrid w:val="0"/>
        <w:spacing w:line="440" w:lineRule="exact"/>
        <w:ind w:firstLine="440" w:firstLineChars="200"/>
        <w:rPr>
          <w:color w:val="auto"/>
          <w:sz w:val="22"/>
          <w:szCs w:val="22"/>
        </w:rPr>
      </w:pPr>
      <w:r>
        <w:rPr>
          <w:rFonts w:hint="eastAsia" w:ascii="仿宋_GB2312" w:hAnsi="仿宋_GB2312" w:eastAsia="仿宋_GB2312" w:cs="仿宋_GB2312"/>
          <w:bCs w:val="0"/>
          <w:color w:val="auto"/>
          <w:sz w:val="22"/>
          <w:szCs w:val="22"/>
          <w:lang w:eastAsia="zh-CN"/>
        </w:rPr>
        <w:t>（</w:t>
      </w:r>
      <w:r>
        <w:rPr>
          <w:rFonts w:hint="eastAsia" w:ascii="仿宋_GB2312" w:hAnsi="仿宋_GB2312" w:eastAsia="仿宋_GB2312" w:cs="仿宋_GB2312"/>
          <w:bCs w:val="0"/>
          <w:color w:val="auto"/>
          <w:sz w:val="22"/>
          <w:szCs w:val="22"/>
          <w:lang w:val="en-US" w:eastAsia="zh-CN"/>
        </w:rPr>
        <w:t>七</w:t>
      </w:r>
      <w:r>
        <w:rPr>
          <w:rFonts w:hint="eastAsia" w:ascii="仿宋_GB2312" w:hAnsi="仿宋_GB2312" w:eastAsia="仿宋_GB2312" w:cs="仿宋_GB2312"/>
          <w:bCs w:val="0"/>
          <w:color w:val="auto"/>
          <w:sz w:val="22"/>
          <w:szCs w:val="22"/>
          <w:lang w:eastAsia="zh-CN"/>
        </w:rPr>
        <w:t>）</w:t>
      </w:r>
      <w:r>
        <w:rPr>
          <w:rFonts w:hint="eastAsia" w:ascii="仿宋_GB2312" w:hAnsi="仿宋_GB2312" w:eastAsia="仿宋_GB2312" w:cs="仿宋_GB2312"/>
          <w:bCs w:val="0"/>
          <w:color w:val="auto"/>
          <w:sz w:val="22"/>
          <w:szCs w:val="22"/>
        </w:rPr>
        <w:t>本合同未约定违约责任的，违约方应按照《中华人民共和国民法典》有关条款的规定承担违约责任。</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第十条 争议解决</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执行本合同发生的争议，由甲乙双方协商解决。协商不成，双方可依法向深圳前海合作区人民法院起诉。</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第十一条 项目变更</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（一）本合同履行过程中的需求变更和进度调整，以甲乙双方达成一致的书面文件为准。</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（二）乙方遇到不能按期完成工作的情况，应及时以书面形式将不能按期完成工作的理由、延误时间通知甲方。甲方在收到乙方通知后，根据情况决定是否延长完成时间。如同意延长，则乙方责任期也相应延长。</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（三）因非乙方责任造成项目进度推迟或延误，无法按照本合同约定的日期完成相应工作，双方经过协商可以进一步约定完成的日期，乙方的责任期也随之顺延。</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hd w:val="clear" w:color="auto"/>
        <w:adjustRightInd w:val="0"/>
        <w:snapToGrid w:val="0"/>
        <w:spacing w:line="440" w:lineRule="exact"/>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第十二条 其他约定</w:t>
      </w:r>
    </w:p>
    <w:p>
      <w:pPr>
        <w:pStyle w:val="35"/>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Style w:val="35"/>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1.合同书及补充协议；</w:t>
      </w:r>
    </w:p>
    <w:p>
      <w:pPr>
        <w:pStyle w:val="35"/>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2.中标通知书；</w:t>
      </w:r>
    </w:p>
    <w:p>
      <w:pPr>
        <w:pStyle w:val="35"/>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3.招标文件（编号：    ）及其澄清、补正公告；</w:t>
      </w:r>
    </w:p>
    <w:p>
      <w:pPr>
        <w:pStyle w:val="35"/>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4.投标书。</w:t>
      </w:r>
    </w:p>
    <w:p>
      <w:pPr>
        <w:pStyle w:val="35"/>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（二）本合同替代此前双方所有关于本合同事项的口头或书面的纪要、备忘录、合同、协议。</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（三）本合同附件（如有）为合同不可分割的组成部分，与本合同一并加盖骑缝章后具有同等法律效力。若附件与合同正文有任何冲突，以合同正文为准。</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（四）本合同各条标题仅为提示之用，应以条文内容确定各方的权利义务。</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（五）本合同未尽事宜，由双方协商签订补充协议进行约定。补充协议应以书面形式作成，经双方法定代表人或其授权代表签字、盖章后与本合同具有同等法律效力。</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（六）本合同约定的权利和义务不因合同双方发生收购、兼并、重组、分立而发生变化。如果发生上述情形，则本合同约定的权利和义务随之转移至收购、兼并、重组或分立后成立的单位。</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（七）本合同在国家法律、法规和规章规定的范围内执行。当国家法律、法规和规章发生变化导致本合同有关条款与之抵触时，双方协商变更或废止该条款，在此情况下，双方互不承担责任。</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（八）如果本合同的任何条款在任何时候变成不合法、无效或不可强制执行而不从根本上影响本合同的效力时，本合同的其他条款不受影响。</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（十）本合同的任何内容不应被视为或解释为双方之间具有合资、合伙、代理关系。</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（十一）任何一方未经另一方同意不得向任何第三方透露本合同的签订及其内容。甲方向其关联公司透露前述内容的，不受此限。</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35"/>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（十三）本合同自双方法定代表人或其授权代表签字、盖章之日起生效，有效期至合同所有义务履行完毕之日止。</w:t>
      </w:r>
    </w:p>
    <w:p>
      <w:pPr>
        <w:pStyle w:val="35"/>
        <w:spacing w:line="360" w:lineRule="auto"/>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（十四）本合同一式六份，甲方与乙方各执三份，均具同等法律效力。</w:t>
      </w:r>
    </w:p>
    <w:p>
      <w:pPr>
        <w:keepNext w:val="0"/>
        <w:keepLines w:val="0"/>
        <w:pageBreakBefore w:val="0"/>
        <w:kinsoku/>
        <w:wordWrap/>
        <w:overflowPunct/>
        <w:topLinePunct w:val="0"/>
        <w:autoSpaceDE/>
        <w:autoSpaceDN/>
        <w:bidi w:val="0"/>
        <w:spacing w:line="360" w:lineRule="auto"/>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（以下无正文，为签章栏）</w:t>
      </w:r>
    </w:p>
    <w:p>
      <w:pPr>
        <w:pStyle w:val="5"/>
        <w:rPr>
          <w:color w:val="auto"/>
          <w:sz w:val="22"/>
          <w:szCs w:val="22"/>
        </w:rPr>
      </w:pPr>
    </w:p>
    <w:p>
      <w:pPr>
        <w:rPr>
          <w:color w:val="auto"/>
          <w:sz w:val="22"/>
          <w:szCs w:val="22"/>
        </w:rPr>
      </w:pP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rPr>
      </w:pPr>
    </w:p>
    <w:p>
      <w:pPr>
        <w:shd w:val="clear" w:color="auto"/>
        <w:adjustRightInd w:val="0"/>
        <w:snapToGrid w:val="0"/>
        <w:spacing w:line="44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（本页为签章页）</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甲方（盖章）：深圳市前海深港现代服务业合作区管理局</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法定代表人或授权代表（签字）：</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日期：     年    月   日            </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乙方（盖章）： </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法定代表人或授权代表（签字）：</w:t>
      </w:r>
    </w:p>
    <w:p>
      <w:pPr>
        <w:shd w:val="clear" w:color="auto"/>
        <w:adjustRightInd w:val="0"/>
        <w:snapToGrid w:val="0"/>
        <w:spacing w:line="440" w:lineRule="exact"/>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日期：     年    月    日  </w:t>
      </w:r>
    </w:p>
    <w:p>
      <w:pPr>
        <w:pStyle w:val="2"/>
        <w:shd w:val="clear"/>
        <w:rPr>
          <w:rFonts w:ascii="仿宋_GB2312" w:hAnsi="仿宋_GB2312" w:eastAsia="仿宋_GB2312" w:cs="仿宋_GB2312"/>
          <w:color w:val="auto"/>
          <w:sz w:val="22"/>
          <w:szCs w:val="22"/>
        </w:rPr>
      </w:pPr>
    </w:p>
    <w:p>
      <w:pPr>
        <w:shd w:val="clear"/>
        <w:rPr>
          <w:rFonts w:ascii="仿宋_GB2312" w:hAnsi="仿宋_GB2312" w:eastAsia="仿宋_GB2312" w:cs="仿宋_GB2312"/>
          <w:color w:val="auto"/>
        </w:rPr>
      </w:pPr>
    </w:p>
    <w:p>
      <w:pPr>
        <w:shd w:val="clear" w:color="auto"/>
        <w:adjustRightInd w:val="0"/>
        <w:snapToGrid w:val="0"/>
        <w:spacing w:line="300" w:lineRule="auto"/>
        <w:rPr>
          <w:rFonts w:ascii="仿宋_GB2312" w:hAnsi="仿宋_GB2312" w:eastAsia="仿宋_GB2312" w:cs="仿宋_GB2312"/>
          <w:color w:val="auto"/>
          <w:szCs w:val="21"/>
        </w:rPr>
      </w:pPr>
    </w:p>
    <w:p>
      <w:pPr>
        <w:shd w:val="clear"/>
        <w:spacing w:line="360" w:lineRule="auto"/>
        <w:ind w:firstLine="442" w:firstLineChars="200"/>
        <w:rPr>
          <w:rFonts w:ascii="仿宋_GB2312" w:hAnsi="仿宋_GB2312" w:eastAsia="仿宋_GB2312" w:cs="仿宋_GB2312"/>
          <w:color w:val="auto"/>
          <w:sz w:val="22"/>
          <w:szCs w:val="22"/>
        </w:rPr>
        <w:sectPr>
          <w:headerReference r:id="rId5" w:type="default"/>
          <w:footerReference r:id="rId6"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b/>
          <w:bCs/>
          <w:color w:val="auto"/>
          <w:sz w:val="22"/>
          <w:szCs w:val="22"/>
        </w:rPr>
        <w:t>注：本合同样本仅供参考，具体条款内容采购单位和中标单位按前海管理局合同样本签订。签订合同内容不改变本合同模板中的实质性条款。</w:t>
      </w:r>
    </w:p>
    <w:p>
      <w:pPr>
        <w:spacing w:line="360" w:lineRule="auto"/>
        <w:jc w:val="center"/>
        <w:outlineLvl w:val="0"/>
        <w:rPr>
          <w:rFonts w:ascii="仿宋_GB2312" w:hAnsi="仿宋_GB2312" w:eastAsia="仿宋_GB2312" w:cs="仿宋_GB2312"/>
          <w:b/>
          <w:bCs/>
          <w:color w:val="auto"/>
          <w:sz w:val="28"/>
          <w:szCs w:val="28"/>
        </w:rPr>
      </w:pPr>
      <w:bookmarkStart w:id="0" w:name="_Toc21620"/>
      <w:bookmarkStart w:id="1" w:name="_Toc22925"/>
      <w:bookmarkStart w:id="2" w:name="_Toc2114"/>
      <w:r>
        <w:rPr>
          <w:rFonts w:hint="eastAsia" w:ascii="仿宋_GB2312" w:hAnsi="仿宋_GB2312" w:eastAsia="仿宋_GB2312" w:cs="仿宋_GB2312"/>
          <w:b/>
          <w:bCs/>
          <w:color w:val="auto"/>
          <w:sz w:val="28"/>
          <w:szCs w:val="28"/>
        </w:rPr>
        <w:t>第五章 用户需求书</w:t>
      </w:r>
      <w:bookmarkEnd w:id="0"/>
      <w:bookmarkEnd w:id="1"/>
      <w:bookmarkEnd w:id="2"/>
    </w:p>
    <w:p>
      <w:pPr>
        <w:adjustRightInd w:val="0"/>
        <w:snapToGrid w:val="0"/>
        <w:spacing w:line="360" w:lineRule="auto"/>
        <w:ind w:firstLine="422" w:firstLineChars="200"/>
        <w:outlineLvl w:val="1"/>
        <w:rPr>
          <w:rFonts w:hint="eastAsia" w:ascii="仿宋_GB2312" w:hAnsi="仿宋_GB2312" w:eastAsia="仿宋_GB2312" w:cs="仿宋_GB2312"/>
          <w:b/>
          <w:color w:val="auto"/>
          <w:kern w:val="0"/>
          <w:szCs w:val="21"/>
        </w:rPr>
      </w:pPr>
    </w:p>
    <w:p>
      <w:pPr>
        <w:adjustRightInd w:val="0"/>
        <w:snapToGrid w:val="0"/>
        <w:spacing w:line="360" w:lineRule="auto"/>
        <w:ind w:firstLine="442" w:firstLineChars="200"/>
        <w:outlineLvl w:val="1"/>
        <w:rPr>
          <w:rFonts w:ascii="仿宋_GB2312" w:hAnsi="仿宋_GB2312" w:eastAsia="仿宋_GB2312" w:cs="仿宋_GB2312"/>
          <w:b/>
          <w:color w:val="auto"/>
          <w:kern w:val="0"/>
          <w:sz w:val="22"/>
          <w:szCs w:val="22"/>
        </w:rPr>
      </w:pPr>
      <w:r>
        <w:rPr>
          <w:rFonts w:hint="eastAsia" w:ascii="仿宋_GB2312" w:hAnsi="仿宋_GB2312" w:eastAsia="仿宋_GB2312" w:cs="仿宋_GB2312"/>
          <w:b/>
          <w:color w:val="auto"/>
          <w:kern w:val="0"/>
          <w:sz w:val="22"/>
          <w:szCs w:val="22"/>
        </w:rPr>
        <w:t>一、项目背景</w:t>
      </w:r>
    </w:p>
    <w:p>
      <w:pPr>
        <w:widowControl/>
        <w:spacing w:line="360" w:lineRule="auto"/>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根据《深圳前海深港现代服务业合作区促进企业回归办公用房租金补贴办法》（深前海规〔2019〕8号）和</w:t>
      </w:r>
      <w:r>
        <w:rPr>
          <w:rFonts w:hint="eastAsia" w:ascii="仿宋_GB2312" w:hAnsi="仿宋_GB2312" w:eastAsia="仿宋_GB2312" w:cs="仿宋_GB2312"/>
          <w:color w:val="auto"/>
          <w:sz w:val="22"/>
          <w:szCs w:val="22"/>
          <w:lang w:eastAsia="zh-CN"/>
        </w:rPr>
        <w:t>《深圳市前海深港现代服务业合作区促进产业集聚办公用房资金补贴办法》（深前海规〔202</w:t>
      </w: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8</w:t>
      </w:r>
      <w:r>
        <w:rPr>
          <w:rFonts w:hint="eastAsia" w:ascii="仿宋_GB2312" w:hAnsi="仿宋_GB2312" w:eastAsia="仿宋_GB2312" w:cs="仿宋_GB2312"/>
          <w:color w:val="auto"/>
          <w:sz w:val="22"/>
          <w:szCs w:val="22"/>
          <w:lang w:eastAsia="zh-CN"/>
        </w:rPr>
        <w:t>号）有关</w:t>
      </w:r>
      <w:r>
        <w:rPr>
          <w:rFonts w:hint="eastAsia" w:ascii="仿宋_GB2312" w:hAnsi="仿宋_GB2312" w:eastAsia="仿宋_GB2312" w:cs="仿宋_GB2312"/>
          <w:color w:val="auto"/>
          <w:sz w:val="22"/>
          <w:szCs w:val="22"/>
        </w:rPr>
        <w:t>规定，前海管理局需委托第三方专业机构评估区内办公用房项目市场租金价格。</w:t>
      </w:r>
    </w:p>
    <w:p>
      <w:pPr>
        <w:adjustRightInd w:val="0"/>
        <w:snapToGrid w:val="0"/>
        <w:spacing w:line="360" w:lineRule="auto"/>
        <w:ind w:firstLine="442" w:firstLineChars="200"/>
        <w:outlineLvl w:val="1"/>
        <w:rPr>
          <w:rFonts w:ascii="仿宋_GB2312" w:hAnsi="仿宋_GB2312" w:eastAsia="仿宋_GB2312" w:cs="仿宋_GB2312"/>
          <w:b/>
          <w:color w:val="auto"/>
          <w:kern w:val="0"/>
          <w:sz w:val="22"/>
          <w:szCs w:val="22"/>
        </w:rPr>
      </w:pPr>
      <w:bookmarkStart w:id="3" w:name="_Toc83405799"/>
      <w:bookmarkStart w:id="4" w:name="_Toc86918424"/>
      <w:bookmarkStart w:id="5" w:name="_Toc10679"/>
      <w:bookmarkStart w:id="6" w:name="_Toc548"/>
      <w:bookmarkStart w:id="7" w:name="_Toc51746099"/>
      <w:bookmarkStart w:id="8" w:name="_Toc17684"/>
      <w:r>
        <w:rPr>
          <w:rFonts w:hint="eastAsia" w:ascii="仿宋_GB2312" w:hAnsi="仿宋_GB2312" w:eastAsia="仿宋_GB2312" w:cs="仿宋_GB2312"/>
          <w:b/>
          <w:color w:val="auto"/>
          <w:kern w:val="0"/>
          <w:sz w:val="22"/>
          <w:szCs w:val="22"/>
        </w:rPr>
        <w:t>二、技术要求</w:t>
      </w:r>
      <w:bookmarkEnd w:id="3"/>
      <w:bookmarkEnd w:id="4"/>
      <w:bookmarkEnd w:id="5"/>
      <w:bookmarkEnd w:id="6"/>
      <w:bookmarkEnd w:id="7"/>
      <w:bookmarkEnd w:id="8"/>
    </w:p>
    <w:p>
      <w:pPr>
        <w:spacing w:line="360" w:lineRule="auto"/>
        <w:ind w:firstLine="420"/>
        <w:rPr>
          <w:rFonts w:ascii="仿宋_GB2312" w:hAnsi="仿宋_GB2312" w:eastAsia="仿宋_GB2312" w:cs="仿宋_GB2312"/>
          <w:b/>
          <w:color w:val="auto"/>
          <w:sz w:val="22"/>
          <w:szCs w:val="22"/>
        </w:rPr>
      </w:pPr>
      <w:bookmarkStart w:id="9" w:name="_Toc83405800"/>
      <w:bookmarkStart w:id="10" w:name="_Toc16772"/>
      <w:bookmarkStart w:id="11" w:name="_Toc21616"/>
      <w:bookmarkStart w:id="12" w:name="_Toc51746100"/>
      <w:bookmarkStart w:id="13" w:name="_Toc13746"/>
      <w:bookmarkStart w:id="14" w:name="_Toc86918425"/>
      <w:r>
        <w:rPr>
          <w:rFonts w:hint="eastAsia" w:ascii="仿宋_GB2312" w:hAnsi="仿宋_GB2312" w:eastAsia="仿宋_GB2312" w:cs="仿宋_GB2312"/>
          <w:b/>
          <w:color w:val="auto"/>
          <w:sz w:val="22"/>
          <w:szCs w:val="22"/>
        </w:rPr>
        <w:t>（一）项目目标</w:t>
      </w:r>
    </w:p>
    <w:p>
      <w:pPr>
        <w:widowControl/>
        <w:shd w:val="clear" w:color="auto"/>
        <w:adjustRightInd/>
        <w:snapToGrid/>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主要工作内容包括对前海合作区区域内的办公用房项目进行202</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rPr>
        <w:t>年度租金价格评估，并负责解释、答疑。</w:t>
      </w:r>
    </w:p>
    <w:p>
      <w:pPr>
        <w:spacing w:line="360" w:lineRule="auto"/>
        <w:ind w:firstLine="420"/>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b/>
          <w:color w:val="auto"/>
          <w:sz w:val="22"/>
          <w:szCs w:val="22"/>
        </w:rPr>
        <w:t>（二）</w:t>
      </w:r>
      <w:r>
        <w:rPr>
          <w:rFonts w:hint="eastAsia" w:ascii="仿宋_GB2312" w:hAnsi="仿宋_GB2312" w:eastAsia="仿宋_GB2312" w:cs="仿宋_GB2312"/>
          <w:b/>
          <w:color w:val="auto"/>
          <w:sz w:val="22"/>
          <w:szCs w:val="22"/>
          <w:lang w:eastAsia="zh-CN"/>
        </w:rPr>
        <w:t>项目服务要求</w:t>
      </w:r>
    </w:p>
    <w:p>
      <w:pPr>
        <w:spacing w:line="360" w:lineRule="auto"/>
        <w:ind w:firstLine="440" w:firstLineChars="200"/>
        <w:rPr>
          <w:rFonts w:hint="eastAsia" w:ascii="仿宋_GB2312" w:hAnsi="仿宋_GB2312" w:eastAsia="仿宋_GB2312" w:cs="仿宋_GB2312"/>
          <w:b w:val="0"/>
          <w:color w:val="auto"/>
          <w:sz w:val="22"/>
          <w:szCs w:val="22"/>
        </w:rPr>
      </w:pPr>
      <w:r>
        <w:rPr>
          <w:rFonts w:hint="eastAsia" w:ascii="仿宋_GB2312" w:hAnsi="仿宋_GB2312" w:eastAsia="仿宋_GB2312" w:cs="仿宋_GB2312"/>
          <w:b w:val="0"/>
          <w:color w:val="auto"/>
          <w:sz w:val="22"/>
          <w:szCs w:val="22"/>
        </w:rPr>
        <w:t>对前海合作区区域内需评估的办公用房项目进行物业查勘、市场调研，并科学合理建立评估模型；以项目为单位，根据项目实际情况，评估项目市场租金，并按2023年度上、下半年分别出具市场租金价格评估报告；公开发布相关项目市场评估租金，并根据需要进行解释、答疑（实际评估办公用房项目数量以</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b w:val="0"/>
          <w:color w:val="auto"/>
          <w:sz w:val="22"/>
          <w:szCs w:val="22"/>
        </w:rPr>
        <w:t>提出的工作需求为准，拟评估项目数量控制在50处以内）。</w:t>
      </w:r>
    </w:p>
    <w:p>
      <w:pPr>
        <w:spacing w:line="360" w:lineRule="auto"/>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（三）项目人员要求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1.人员配备要求：供应商应指派5名团队人员，配合采购方开展项目全过程管理。</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2.人员资质要求：至少3名人员具有租金评估资质，且有租金价格评估工作经验；身体健康，沟通能力强，有责任心，有较高的职业素养和敬业精神。</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3.在服务期限内，项目人员应相对稳定，中标方不得随意更换项目负责人和项目组成员，及减少项目团队人数，或降低项目团队标准。若团队成员更换，须经采购方书面同意后方可更换。</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中标方应在合同签订后5个工作日内按采购方要求安排人员到岗开展服务工作，否则，每超期1天处以5000元/人次/日的违约金；若超期5天仍未按招标方要求安排人员到岗开展服务工作，采购方有权解除合同。若采购方根据工作需求提出更换团队服务人员的，中标方在10个工作日内未更换或拒不更换人员，采购方有权解除合同。</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5.本项目服务团队人员不得有下列情形之一：</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5.1受过刑事处罚或者涉嫌违法犯罪尚未查清的。</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5.2曾被行政拘留或者有吸毒史的。</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5.3因违规违纪被机关、事业单位开除、辞退的。</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5.4有个人不良信用记录的。</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5.5曾参加过非法组织、邪教组织或危害国家安全活动的。</w:t>
      </w:r>
    </w:p>
    <w:p>
      <w:pPr>
        <w:spacing w:line="360" w:lineRule="auto"/>
        <w:ind w:firstLine="221" w:firstLineChars="1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（四）项目管理要求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1.中标方应指定一名团队负责人与采购方做好工作业务沟通对接、人员管理工作。</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2.投入项目的团队成员工作时间应与采购方上班时间保持一致，不得无故缺勤，不得违反采购方单位工作纪律。</w:t>
      </w:r>
    </w:p>
    <w:p>
      <w:pPr>
        <w:pStyle w:val="17"/>
        <w:spacing w:before="0" w:beforeAutospacing="0" w:after="0" w:afterAutospacing="0" w:line="360" w:lineRule="auto"/>
        <w:ind w:firstLine="442" w:firstLineChars="200"/>
        <w:jc w:val="both"/>
        <w:outlineLvl w:val="1"/>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三、商务要求</w:t>
      </w:r>
      <w:bookmarkEnd w:id="9"/>
      <w:bookmarkEnd w:id="10"/>
      <w:bookmarkEnd w:id="11"/>
      <w:bookmarkEnd w:id="12"/>
      <w:bookmarkEnd w:id="13"/>
      <w:bookmarkEnd w:id="14"/>
    </w:p>
    <w:p>
      <w:pPr>
        <w:spacing w:line="360" w:lineRule="auto"/>
        <w:ind w:firstLine="221" w:firstLineChars="100"/>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（一）服务期限</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服务期限为：自合同签订之日起一年内。</w:t>
      </w:r>
    </w:p>
    <w:p>
      <w:pPr>
        <w:spacing w:line="360" w:lineRule="auto"/>
        <w:ind w:firstLine="221" w:firstLineChars="100"/>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（二）项目预算</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本项目招标总价控制</w:t>
      </w:r>
      <w:r>
        <w:rPr>
          <w:rFonts w:hint="eastAsia" w:ascii="仿宋_GB2312" w:hAnsi="仿宋_GB2312" w:eastAsia="仿宋_GB2312" w:cs="仿宋_GB2312"/>
          <w:color w:val="auto"/>
          <w:sz w:val="22"/>
          <w:szCs w:val="22"/>
          <w:lang w:eastAsia="zh-CN"/>
        </w:rPr>
        <w:t>每家不超过</w:t>
      </w:r>
      <w:r>
        <w:rPr>
          <w:rFonts w:hint="eastAsia" w:ascii="仿宋_GB2312" w:hAnsi="仿宋_GB2312" w:eastAsia="仿宋_GB2312" w:cs="仿宋_GB2312"/>
          <w:color w:val="auto"/>
          <w:sz w:val="22"/>
          <w:szCs w:val="22"/>
          <w:lang w:val="en-US" w:eastAsia="zh-CN" w:bidi="ar"/>
        </w:rPr>
        <w:t>12.28</w:t>
      </w:r>
      <w:r>
        <w:rPr>
          <w:rFonts w:hint="eastAsia" w:ascii="仿宋_GB2312" w:hAnsi="仿宋_GB2312" w:eastAsia="仿宋_GB2312" w:cs="仿宋_GB2312"/>
          <w:color w:val="auto"/>
          <w:sz w:val="22"/>
          <w:szCs w:val="22"/>
        </w:rPr>
        <w:t>万元，财政性资金100%，</w:t>
      </w:r>
      <w:r>
        <w:rPr>
          <w:rFonts w:hint="eastAsia" w:ascii="仿宋_GB2312" w:hAnsi="仿宋_GB2312" w:eastAsia="仿宋_GB2312" w:cs="仿宋_GB2312"/>
          <w:color w:val="auto"/>
          <w:sz w:val="22"/>
          <w:szCs w:val="22"/>
          <w:lang w:bidi="ar"/>
        </w:rPr>
        <w:t>共招两家中标人</w:t>
      </w:r>
      <w:r>
        <w:rPr>
          <w:rFonts w:hint="eastAsia" w:ascii="仿宋_GB2312" w:hAnsi="仿宋_GB2312" w:eastAsia="仿宋_GB2312" w:cs="仿宋_GB2312"/>
          <w:color w:val="auto"/>
          <w:sz w:val="22"/>
          <w:szCs w:val="22"/>
          <w:lang w:eastAsia="zh-CN" w:bidi="ar"/>
        </w:rPr>
        <w:t>。</w:t>
      </w:r>
      <w:r>
        <w:rPr>
          <w:rFonts w:hint="eastAsia" w:ascii="仿宋_GB2312" w:hAnsi="仿宋_GB2312" w:eastAsia="仿宋_GB2312" w:cs="仿宋_GB2312"/>
          <w:color w:val="auto"/>
          <w:sz w:val="22"/>
          <w:szCs w:val="22"/>
          <w:lang w:bidi="ar"/>
        </w:rPr>
        <w:t>总预算金额为</w:t>
      </w:r>
      <w:r>
        <w:rPr>
          <w:rFonts w:hint="eastAsia" w:ascii="仿宋_GB2312" w:hAnsi="仿宋_GB2312" w:eastAsia="仿宋_GB2312" w:cs="仿宋_GB2312"/>
          <w:color w:val="auto"/>
          <w:sz w:val="22"/>
          <w:szCs w:val="22"/>
          <w:rtl w:val="0"/>
          <w:lang w:val="en-US" w:eastAsia="zh-CN" w:bidi="ar"/>
        </w:rPr>
        <w:t>24.56</w:t>
      </w:r>
      <w:r>
        <w:rPr>
          <w:rFonts w:hint="eastAsia" w:ascii="仿宋_GB2312" w:hAnsi="仿宋_GB2312" w:eastAsia="仿宋_GB2312" w:cs="仿宋_GB2312"/>
          <w:color w:val="auto"/>
          <w:sz w:val="22"/>
          <w:szCs w:val="22"/>
          <w:lang w:bidi="ar"/>
        </w:rPr>
        <w:t>万元。共招</w:t>
      </w:r>
      <w:r>
        <w:rPr>
          <w:rFonts w:ascii="仿宋_GB2312" w:hAnsi="仿宋_GB2312" w:eastAsia="仿宋_GB2312" w:cs="仿宋_GB2312"/>
          <w:color w:val="auto"/>
          <w:sz w:val="22"/>
          <w:szCs w:val="22"/>
          <w:lang w:bidi="ar"/>
        </w:rPr>
        <w:t>2</w:t>
      </w:r>
      <w:r>
        <w:rPr>
          <w:rFonts w:hint="eastAsia" w:ascii="仿宋_GB2312" w:hAnsi="仿宋_GB2312" w:eastAsia="仿宋_GB2312" w:cs="仿宋_GB2312"/>
          <w:color w:val="auto"/>
          <w:sz w:val="22"/>
          <w:szCs w:val="22"/>
          <w:lang w:bidi="ar"/>
        </w:rPr>
        <w:t>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每家中标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独立完成本项目全部工作</w:t>
      </w:r>
      <w:r>
        <w:rPr>
          <w:rFonts w:hint="eastAsia" w:ascii="仿宋_GB2312" w:hAnsi="仿宋_GB2312" w:eastAsia="仿宋_GB2312" w:cs="仿宋_GB2312"/>
          <w:color w:val="auto"/>
          <w:sz w:val="22"/>
          <w:szCs w:val="22"/>
          <w:lang w:eastAsia="zh-CN" w:bidi="ar"/>
        </w:rPr>
        <w:t>，</w:t>
      </w:r>
      <w:r>
        <w:rPr>
          <w:rFonts w:hint="eastAsia" w:ascii="仿宋_GB2312" w:hAnsi="仿宋_GB2312" w:eastAsia="仿宋_GB2312" w:cs="仿宋_GB2312"/>
          <w:color w:val="auto"/>
          <w:sz w:val="22"/>
          <w:szCs w:val="22"/>
          <w:lang w:eastAsia="zh-CN"/>
        </w:rPr>
        <w:t>拟评估办公用房项目数量约</w:t>
      </w:r>
      <w:r>
        <w:rPr>
          <w:rFonts w:hint="default" w:ascii="仿宋_GB2312" w:hAnsi="仿宋_GB2312" w:eastAsia="仿宋_GB2312" w:cs="仿宋_GB2312"/>
          <w:color w:val="auto"/>
          <w:sz w:val="22"/>
          <w:szCs w:val="22"/>
          <w:lang w:val="en-US" w:eastAsia="zh-CN"/>
        </w:rPr>
        <w:t>50</w:t>
      </w:r>
      <w:r>
        <w:rPr>
          <w:rFonts w:hint="eastAsia" w:ascii="仿宋_GB2312" w:hAnsi="仿宋_GB2312" w:eastAsia="仿宋_GB2312" w:cs="仿宋_GB2312"/>
          <w:color w:val="auto"/>
          <w:sz w:val="22"/>
          <w:szCs w:val="22"/>
        </w:rPr>
        <w:t>处</w:t>
      </w:r>
      <w:r>
        <w:rPr>
          <w:rFonts w:hint="eastAsia" w:ascii="仿宋_GB2312" w:hAnsi="仿宋_GB2312" w:eastAsia="仿宋_GB2312" w:cs="仿宋_GB2312"/>
          <w:color w:val="auto"/>
          <w:sz w:val="22"/>
          <w:szCs w:val="22"/>
          <w:lang w:eastAsia="zh-CN"/>
        </w:rPr>
        <w:t>，单个项目不超过2455.81元/处，</w:t>
      </w:r>
      <w:r>
        <w:rPr>
          <w:rFonts w:hint="eastAsia" w:ascii="仿宋_GB2312" w:hAnsi="仿宋_GB2312" w:eastAsia="仿宋_GB2312" w:cs="仿宋_GB2312"/>
          <w:color w:val="auto"/>
          <w:sz w:val="22"/>
          <w:szCs w:val="22"/>
          <w:lang w:bidi="ar"/>
        </w:rPr>
        <w:t>每家中标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预算金额上限为</w:t>
      </w:r>
      <w:r>
        <w:rPr>
          <w:rFonts w:hint="eastAsia" w:ascii="仿宋_GB2312" w:hAnsi="仿宋_GB2312" w:eastAsia="仿宋_GB2312" w:cs="仿宋_GB2312"/>
          <w:color w:val="auto"/>
          <w:sz w:val="22"/>
          <w:szCs w:val="22"/>
          <w:lang w:val="en-US" w:eastAsia="zh-CN" w:bidi="ar"/>
        </w:rPr>
        <w:t>12.28</w:t>
      </w:r>
      <w:r>
        <w:rPr>
          <w:rFonts w:hint="eastAsia" w:ascii="仿宋_GB2312" w:hAnsi="仿宋_GB2312" w:eastAsia="仿宋_GB2312" w:cs="仿宋_GB2312"/>
          <w:color w:val="auto"/>
          <w:sz w:val="22"/>
          <w:szCs w:val="22"/>
          <w:lang w:bidi="ar"/>
        </w:rPr>
        <w:t>万元 。投标超过上限价则</w:t>
      </w:r>
      <w:r>
        <w:rPr>
          <w:rFonts w:hint="eastAsia" w:ascii="仿宋_GB2312" w:hAnsi="仿宋_GB2312" w:eastAsia="仿宋_GB2312" w:cs="仿宋_GB2312"/>
          <w:color w:val="auto"/>
          <w:sz w:val="22"/>
          <w:szCs w:val="22"/>
          <w:lang w:eastAsia="zh-CN" w:bidi="ar"/>
        </w:rPr>
        <w:t>视为投标无效</w:t>
      </w:r>
      <w:r>
        <w:rPr>
          <w:rFonts w:hint="eastAsia" w:ascii="仿宋_GB2312" w:hAnsi="仿宋_GB2312" w:eastAsia="仿宋_GB2312" w:cs="仿宋_GB2312"/>
          <w:color w:val="auto"/>
          <w:sz w:val="22"/>
          <w:szCs w:val="22"/>
          <w:lang w:bidi="ar"/>
        </w:rPr>
        <w:t>。预计需评估</w:t>
      </w:r>
      <w:r>
        <w:rPr>
          <w:rFonts w:hint="eastAsia" w:ascii="仿宋_GB2312" w:hAnsi="仿宋_GB2312" w:eastAsia="仿宋_GB2312" w:cs="仿宋_GB2312"/>
          <w:color w:val="auto"/>
          <w:sz w:val="22"/>
          <w:szCs w:val="22"/>
          <w:lang w:eastAsia="zh-CN" w:bidi="ar"/>
        </w:rPr>
        <w:t>办公用房</w:t>
      </w:r>
      <w:r>
        <w:rPr>
          <w:rFonts w:hint="eastAsia" w:ascii="仿宋_GB2312" w:hAnsi="仿宋_GB2312" w:eastAsia="仿宋_GB2312" w:cs="仿宋_GB2312"/>
          <w:color w:val="auto"/>
          <w:sz w:val="22"/>
          <w:szCs w:val="22"/>
          <w:lang w:bidi="ar"/>
        </w:rPr>
        <w:t>项目不超过</w:t>
      </w:r>
      <w:r>
        <w:rPr>
          <w:rFonts w:hint="eastAsia" w:ascii="仿宋_GB2312" w:hAnsi="仿宋_GB2312" w:eastAsia="仿宋_GB2312" w:cs="仿宋_GB2312"/>
          <w:color w:val="auto"/>
          <w:sz w:val="22"/>
          <w:szCs w:val="22"/>
          <w:lang w:val="en-US" w:eastAsia="zh-CN" w:bidi="ar"/>
        </w:rPr>
        <w:t>50处</w:t>
      </w:r>
      <w:r>
        <w:rPr>
          <w:rFonts w:hint="eastAsia" w:ascii="仿宋_GB2312" w:hAnsi="仿宋_GB2312" w:eastAsia="仿宋_GB2312" w:cs="仿宋_GB2312"/>
          <w:color w:val="auto"/>
          <w:sz w:val="22"/>
          <w:szCs w:val="22"/>
          <w:lang w:bidi="ar"/>
        </w:rPr>
        <w:t>，每家单位分别独立完成</w:t>
      </w:r>
      <w:r>
        <w:rPr>
          <w:rFonts w:hint="eastAsia" w:ascii="仿宋_GB2312" w:hAnsi="仿宋_GB2312" w:eastAsia="仿宋_GB2312" w:cs="仿宋_GB2312"/>
          <w:color w:val="auto"/>
          <w:sz w:val="22"/>
          <w:szCs w:val="22"/>
        </w:rPr>
        <w:t>全部</w:t>
      </w:r>
      <w:r>
        <w:rPr>
          <w:rFonts w:hint="eastAsia" w:ascii="仿宋_GB2312" w:hAnsi="仿宋_GB2312" w:eastAsia="仿宋_GB2312" w:cs="仿宋_GB2312"/>
          <w:color w:val="auto"/>
          <w:sz w:val="22"/>
          <w:szCs w:val="22"/>
          <w:lang w:bidi="ar"/>
        </w:rPr>
        <w:t>项目的租金评估工作，评估具体数量以实际为准。</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本次投标为总价包干，投标报价包括了投标人完成本招标项目而发生的全部费用，</w:t>
      </w:r>
      <w:r>
        <w:rPr>
          <w:rFonts w:hint="eastAsia" w:ascii="仿宋_GB2312" w:hAnsi="仿宋_GB2312" w:eastAsia="仿宋_GB2312" w:cs="仿宋_GB2312"/>
          <w:color w:val="auto"/>
          <w:sz w:val="22"/>
          <w:szCs w:val="22"/>
          <w:lang w:val="zh-CN"/>
        </w:rPr>
        <w:t>包括但不限于物业查勘费、市场调研费、评估费、</w:t>
      </w:r>
      <w:r>
        <w:rPr>
          <w:rFonts w:hint="eastAsia" w:ascii="仿宋_GB2312" w:hAnsi="仿宋_GB2312" w:eastAsia="仿宋_GB2312" w:cs="仿宋_GB2312"/>
          <w:color w:val="auto"/>
          <w:sz w:val="22"/>
          <w:szCs w:val="22"/>
        </w:rPr>
        <w:t>交通费、餐费、保险费，税费</w:t>
      </w:r>
      <w:r>
        <w:rPr>
          <w:rFonts w:hint="eastAsia" w:ascii="仿宋_GB2312" w:hAnsi="仿宋_GB2312" w:eastAsia="仿宋_GB2312" w:cs="仿宋_GB2312"/>
          <w:color w:val="auto"/>
          <w:sz w:val="22"/>
          <w:szCs w:val="22"/>
          <w:lang w:val="en-US" w:eastAsia="zh-CN"/>
        </w:rPr>
        <w:t>等与本项目实施有关的一切费用</w:t>
      </w:r>
      <w:r>
        <w:rPr>
          <w:rFonts w:hint="eastAsia" w:ascii="仿宋_GB2312" w:hAnsi="仿宋_GB2312" w:eastAsia="仿宋_GB2312" w:cs="仿宋_GB2312"/>
          <w:color w:val="auto"/>
          <w:sz w:val="22"/>
          <w:szCs w:val="22"/>
        </w:rPr>
        <w:t>。投标报价总价作为中标单位与采购单位签订的合同金额。投标单位</w:t>
      </w:r>
      <w:r>
        <w:rPr>
          <w:rFonts w:hint="eastAsia" w:ascii="仿宋_GB2312" w:hAnsi="仿宋_GB2312" w:eastAsia="仿宋_GB2312" w:cs="仿宋_GB2312"/>
          <w:color w:val="auto"/>
          <w:sz w:val="22"/>
          <w:szCs w:val="22"/>
          <w:lang w:val="zh-CN"/>
        </w:rPr>
        <w:t>的报价不可高于限价，否则</w:t>
      </w:r>
      <w:r>
        <w:rPr>
          <w:rFonts w:hint="eastAsia" w:ascii="仿宋_GB2312" w:hAnsi="仿宋_GB2312" w:eastAsia="仿宋_GB2312" w:cs="仿宋_GB2312"/>
          <w:color w:val="auto"/>
          <w:sz w:val="22"/>
          <w:szCs w:val="22"/>
        </w:rPr>
        <w:t>投标单位</w:t>
      </w:r>
      <w:r>
        <w:rPr>
          <w:rFonts w:hint="eastAsia" w:ascii="仿宋_GB2312" w:hAnsi="仿宋_GB2312" w:eastAsia="仿宋_GB2312" w:cs="仿宋_GB2312"/>
          <w:color w:val="auto"/>
          <w:sz w:val="22"/>
          <w:szCs w:val="22"/>
          <w:lang w:val="zh-CN"/>
        </w:rPr>
        <w:t>的投标文件视同无效。</w:t>
      </w:r>
      <w:r>
        <w:rPr>
          <w:rFonts w:hint="eastAsia" w:ascii="仿宋_GB2312" w:hAnsi="仿宋_GB2312" w:eastAsia="仿宋_GB2312" w:cs="仿宋_GB2312"/>
          <w:color w:val="auto"/>
          <w:sz w:val="22"/>
          <w:szCs w:val="22"/>
        </w:rPr>
        <w:t>投标单位应根据本机构的成本自行决定报价，不得以低于服务成本的报价投标。</w:t>
      </w:r>
    </w:p>
    <w:p>
      <w:pPr>
        <w:pStyle w:val="6"/>
        <w:tabs>
          <w:tab w:val="left" w:pos="4680"/>
        </w:tabs>
        <w:spacing w:line="360" w:lineRule="auto"/>
        <w:rPr>
          <w:rFonts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（三）付款方式</w:t>
      </w:r>
    </w:p>
    <w:p>
      <w:pPr>
        <w:shd w:val="clear" w:color="auto"/>
        <w:adjustRightInd w:val="0"/>
        <w:snapToGrid w:val="0"/>
        <w:spacing w:line="440" w:lineRule="exact"/>
        <w:ind w:firstLine="440" w:firstLineChars="20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合同价款由</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color w:val="auto"/>
          <w:kern w:val="0"/>
          <w:sz w:val="22"/>
          <w:szCs w:val="22"/>
        </w:rPr>
        <w:t>分3期支付至</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0"/>
          <w:sz w:val="22"/>
          <w:szCs w:val="22"/>
        </w:rPr>
        <w:t>指定银行账户：</w:t>
      </w:r>
    </w:p>
    <w:p>
      <w:pPr>
        <w:shd w:val="clear" w:color="auto"/>
        <w:adjustRightInd w:val="0"/>
        <w:snapToGrid w:val="0"/>
        <w:spacing w:line="440" w:lineRule="exact"/>
        <w:ind w:firstLine="440" w:firstLineChars="20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eastAsia="zh-CN"/>
        </w:rPr>
        <w:t>第</w:t>
      </w:r>
      <w:r>
        <w:rPr>
          <w:rFonts w:hint="eastAsia" w:ascii="仿宋_GB2312" w:hAnsi="仿宋_GB2312" w:eastAsia="仿宋_GB2312" w:cs="仿宋_GB2312"/>
          <w:color w:val="auto"/>
          <w:kern w:val="0"/>
          <w:sz w:val="22"/>
          <w:szCs w:val="22"/>
          <w:lang w:val="en-US" w:eastAsia="zh-CN"/>
        </w:rPr>
        <w:t>1期</w:t>
      </w:r>
      <w:r>
        <w:rPr>
          <w:rFonts w:hint="eastAsia" w:ascii="仿宋_GB2312" w:hAnsi="仿宋_GB2312" w:eastAsia="仿宋_GB2312" w:cs="仿宋_GB2312"/>
          <w:color w:val="auto"/>
          <w:kern w:val="0"/>
          <w:sz w:val="22"/>
          <w:szCs w:val="22"/>
        </w:rPr>
        <w:t>：自本合同签订之日起15个工作日内，根据</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0"/>
          <w:sz w:val="22"/>
          <w:szCs w:val="22"/>
        </w:rPr>
        <w:t>提出的付款申请，</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color w:val="auto"/>
          <w:kern w:val="0"/>
          <w:sz w:val="22"/>
          <w:szCs w:val="22"/>
        </w:rPr>
        <w:t>向</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0"/>
          <w:sz w:val="22"/>
          <w:szCs w:val="22"/>
        </w:rPr>
        <w:t>支付合同总价款的30%；</w:t>
      </w:r>
    </w:p>
    <w:p>
      <w:pPr>
        <w:shd w:val="clear" w:color="auto"/>
        <w:adjustRightInd w:val="0"/>
        <w:snapToGrid w:val="0"/>
        <w:spacing w:line="440" w:lineRule="exact"/>
        <w:ind w:firstLine="440" w:firstLineChars="20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第2期：</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0"/>
          <w:sz w:val="22"/>
          <w:szCs w:val="22"/>
        </w:rPr>
        <w:t>完成提交送审成果</w:t>
      </w:r>
      <w:r>
        <w:rPr>
          <w:rFonts w:hint="eastAsia" w:ascii="仿宋_GB2312" w:hAnsi="仿宋_GB2312" w:eastAsia="仿宋_GB2312" w:cs="仿宋_GB2312"/>
          <w:color w:val="auto"/>
          <w:kern w:val="0"/>
          <w:sz w:val="22"/>
          <w:szCs w:val="22"/>
          <w:lang w:eastAsia="zh-CN"/>
        </w:rPr>
        <w:t>（含</w:t>
      </w:r>
      <w:r>
        <w:rPr>
          <w:rFonts w:hint="eastAsia" w:ascii="仿宋_GB2312" w:hAnsi="仿宋_GB2312" w:eastAsia="仿宋_GB2312" w:cs="仿宋_GB2312"/>
          <w:color w:val="auto"/>
          <w:kern w:val="0"/>
          <w:sz w:val="22"/>
          <w:szCs w:val="22"/>
          <w:lang w:val="en-US" w:eastAsia="zh-CN"/>
        </w:rPr>
        <w:t>2023年度上、下半年市场租金价格评估报告</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0"/>
          <w:sz w:val="22"/>
          <w:szCs w:val="22"/>
        </w:rPr>
        <w:t>向</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color w:val="auto"/>
          <w:kern w:val="0"/>
          <w:sz w:val="22"/>
          <w:szCs w:val="22"/>
        </w:rPr>
        <w:t>提出付款申请，</w:t>
      </w:r>
      <w:r>
        <w:rPr>
          <w:rFonts w:hint="eastAsia" w:ascii="仿宋_GB2312" w:hAnsi="仿宋_GB2312" w:eastAsia="仿宋_GB2312" w:cs="仿宋_GB2312"/>
          <w:color w:val="auto"/>
          <w:kern w:val="0"/>
          <w:sz w:val="22"/>
          <w:szCs w:val="22"/>
          <w:lang w:eastAsia="zh-CN"/>
        </w:rPr>
        <w:t>采购方</w:t>
      </w:r>
      <w:r>
        <w:rPr>
          <w:rFonts w:hint="eastAsia" w:ascii="仿宋_GB2312" w:hAnsi="仿宋_GB2312" w:eastAsia="仿宋_GB2312" w:cs="仿宋_GB2312"/>
          <w:color w:val="auto"/>
          <w:kern w:val="0"/>
          <w:sz w:val="22"/>
          <w:szCs w:val="22"/>
        </w:rPr>
        <w:t>向</w:t>
      </w:r>
      <w:r>
        <w:rPr>
          <w:rFonts w:hint="eastAsia" w:ascii="仿宋_GB2312" w:hAnsi="仿宋_GB2312" w:eastAsia="仿宋_GB2312" w:cs="仿宋_GB2312"/>
          <w:color w:val="auto"/>
          <w:kern w:val="0"/>
          <w:sz w:val="22"/>
          <w:szCs w:val="22"/>
          <w:lang w:eastAsia="zh-CN"/>
        </w:rPr>
        <w:t>中标</w:t>
      </w:r>
      <w:r>
        <w:rPr>
          <w:rFonts w:hint="eastAsia" w:ascii="仿宋_GB2312" w:hAnsi="仿宋_GB2312" w:eastAsia="仿宋_GB2312" w:cs="仿宋_GB2312"/>
          <w:color w:val="auto"/>
          <w:kern w:val="0"/>
          <w:sz w:val="22"/>
          <w:szCs w:val="22"/>
        </w:rPr>
        <w:t>方累计支付至实际</w:t>
      </w:r>
      <w:r>
        <w:rPr>
          <w:rFonts w:hint="eastAsia" w:ascii="仿宋_GB2312" w:hAnsi="仿宋_GB2312" w:eastAsia="仿宋_GB2312" w:cs="仿宋_GB2312"/>
          <w:color w:val="auto"/>
          <w:kern w:val="0"/>
          <w:sz w:val="22"/>
          <w:szCs w:val="22"/>
          <w:lang w:eastAsia="zh-CN"/>
        </w:rPr>
        <w:t>评估</w:t>
      </w:r>
      <w:r>
        <w:rPr>
          <w:rFonts w:hint="eastAsia" w:ascii="仿宋_GB2312" w:hAnsi="仿宋_GB2312" w:eastAsia="仿宋_GB2312" w:cs="仿宋_GB2312"/>
          <w:color w:val="auto"/>
          <w:kern w:val="0"/>
          <w:sz w:val="22"/>
          <w:szCs w:val="22"/>
        </w:rPr>
        <w:t>数量对应结算金额的</w:t>
      </w:r>
      <w:r>
        <w:rPr>
          <w:rFonts w:hint="eastAsia" w:ascii="仿宋_GB2312" w:hAnsi="仿宋_GB2312" w:eastAsia="仿宋_GB2312" w:cs="仿宋_GB2312"/>
          <w:color w:val="auto"/>
          <w:kern w:val="0"/>
          <w:sz w:val="22"/>
          <w:szCs w:val="22"/>
          <w:lang w:val="en-US" w:eastAsia="zh-CN"/>
        </w:rPr>
        <w:t>7</w:t>
      </w:r>
      <w:r>
        <w:rPr>
          <w:rFonts w:hint="eastAsia" w:ascii="仿宋_GB2312" w:hAnsi="仿宋_GB2312" w:eastAsia="仿宋_GB2312" w:cs="仿宋_GB2312"/>
          <w:color w:val="auto"/>
          <w:kern w:val="0"/>
          <w:sz w:val="22"/>
          <w:szCs w:val="22"/>
        </w:rPr>
        <w:t>0%；</w:t>
      </w:r>
    </w:p>
    <w:p>
      <w:pPr>
        <w:shd w:val="clear" w:color="auto"/>
        <w:adjustRightInd w:val="0"/>
        <w:snapToGrid w:val="0"/>
        <w:spacing w:line="440" w:lineRule="exact"/>
        <w:ind w:firstLine="440" w:firstLineChars="200"/>
        <w:rPr>
          <w:color w:val="auto"/>
          <w:sz w:val="22"/>
          <w:szCs w:val="22"/>
        </w:rPr>
      </w:pPr>
      <w:r>
        <w:rPr>
          <w:rFonts w:hint="eastAsia" w:ascii="仿宋_GB2312" w:hAnsi="仿宋_GB2312" w:eastAsia="仿宋_GB2312" w:cs="仿宋_GB2312"/>
          <w:color w:val="auto"/>
          <w:kern w:val="0"/>
          <w:sz w:val="22"/>
          <w:szCs w:val="22"/>
        </w:rPr>
        <w:t>第3期：</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2"/>
          <w:sz w:val="22"/>
          <w:szCs w:val="22"/>
          <w:lang w:eastAsia="zh-CN"/>
        </w:rPr>
        <w:t>完成提交</w:t>
      </w:r>
      <w:r>
        <w:rPr>
          <w:rFonts w:hint="eastAsia" w:ascii="仿宋_GB2312" w:hAnsi="仿宋_GB2312" w:eastAsia="仿宋_GB2312" w:cs="仿宋_GB2312"/>
          <w:color w:val="auto"/>
          <w:kern w:val="2"/>
          <w:sz w:val="22"/>
          <w:szCs w:val="22"/>
        </w:rPr>
        <w:t>《送审成果</w:t>
      </w:r>
      <w:r>
        <w:rPr>
          <w:rFonts w:hint="eastAsia" w:ascii="仿宋_GB2312" w:hAnsi="仿宋_GB2312" w:eastAsia="仿宋_GB2312" w:cs="仿宋_GB2312"/>
          <w:color w:val="auto"/>
          <w:kern w:val="2"/>
          <w:sz w:val="22"/>
          <w:szCs w:val="22"/>
          <w:lang w:eastAsia="zh-CN"/>
        </w:rPr>
        <w:t>（含</w:t>
      </w:r>
      <w:r>
        <w:rPr>
          <w:rFonts w:hint="eastAsia" w:ascii="仿宋_GB2312" w:hAnsi="仿宋_GB2312" w:eastAsia="仿宋_GB2312" w:cs="仿宋_GB2312"/>
          <w:color w:val="auto"/>
          <w:kern w:val="2"/>
          <w:sz w:val="22"/>
          <w:szCs w:val="22"/>
          <w:lang w:val="en-US" w:eastAsia="zh-CN"/>
        </w:rPr>
        <w:t>2023年度上、下半年市场租金价格评估报告</w:t>
      </w:r>
      <w:r>
        <w:rPr>
          <w:rFonts w:hint="eastAsia" w:ascii="仿宋_GB2312" w:hAnsi="仿宋_GB2312" w:eastAsia="仿宋_GB2312" w:cs="仿宋_GB2312"/>
          <w:color w:val="auto"/>
          <w:kern w:val="2"/>
          <w:sz w:val="22"/>
          <w:szCs w:val="22"/>
          <w:lang w:eastAsia="zh-CN"/>
        </w:rPr>
        <w:t>）</w:t>
      </w:r>
      <w:r>
        <w:rPr>
          <w:rFonts w:hint="eastAsia" w:ascii="仿宋_GB2312" w:hAnsi="仿宋_GB2312" w:eastAsia="仿宋_GB2312" w:cs="仿宋_GB2312"/>
          <w:color w:val="auto"/>
          <w:kern w:val="2"/>
          <w:sz w:val="22"/>
          <w:szCs w:val="22"/>
        </w:rPr>
        <w:t>，且公示无异议后15个工作日内，</w:t>
      </w:r>
      <w:r>
        <w:rPr>
          <w:rFonts w:hint="eastAsia" w:ascii="仿宋_GB2312" w:hAnsi="仿宋_GB2312" w:eastAsia="仿宋_GB2312" w:cs="仿宋_GB2312"/>
          <w:color w:val="auto"/>
          <w:kern w:val="2"/>
          <w:sz w:val="22"/>
          <w:szCs w:val="22"/>
          <w:lang w:eastAsia="zh-CN"/>
        </w:rPr>
        <w:t>中标</w:t>
      </w:r>
      <w:r>
        <w:rPr>
          <w:rFonts w:hint="eastAsia" w:ascii="仿宋_GB2312" w:hAnsi="仿宋_GB2312" w:eastAsia="仿宋_GB2312" w:cs="仿宋_GB2312"/>
          <w:color w:val="auto"/>
          <w:kern w:val="0"/>
          <w:sz w:val="22"/>
          <w:szCs w:val="22"/>
          <w:lang w:eastAsia="zh-CN"/>
        </w:rPr>
        <w:t>方</w:t>
      </w:r>
      <w:r>
        <w:rPr>
          <w:rFonts w:hint="eastAsia" w:ascii="仿宋_GB2312" w:hAnsi="仿宋_GB2312" w:eastAsia="仿宋_GB2312" w:cs="仿宋_GB2312"/>
          <w:color w:val="auto"/>
          <w:kern w:val="0"/>
          <w:sz w:val="22"/>
          <w:szCs w:val="22"/>
        </w:rPr>
        <w:t>向</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color w:val="auto"/>
          <w:kern w:val="0"/>
          <w:sz w:val="22"/>
          <w:szCs w:val="22"/>
        </w:rPr>
        <w:t>提出付款申请，</w:t>
      </w:r>
      <w:r>
        <w:rPr>
          <w:rFonts w:hint="eastAsia" w:ascii="仿宋_GB2312" w:hAnsi="仿宋_GB2312" w:eastAsia="仿宋_GB2312" w:cs="仿宋_GB2312"/>
          <w:color w:val="auto"/>
          <w:kern w:val="0"/>
          <w:sz w:val="22"/>
          <w:szCs w:val="22"/>
          <w:lang w:eastAsia="zh-CN"/>
        </w:rPr>
        <w:t>采购</w:t>
      </w:r>
      <w:r>
        <w:rPr>
          <w:rFonts w:hint="eastAsia" w:ascii="仿宋_GB2312" w:hAnsi="仿宋_GB2312" w:eastAsia="仿宋_GB2312" w:cs="仿宋_GB2312"/>
          <w:color w:val="auto"/>
          <w:kern w:val="0"/>
          <w:sz w:val="22"/>
          <w:szCs w:val="22"/>
        </w:rPr>
        <w:t>方按服务期内</w:t>
      </w:r>
      <w:r>
        <w:rPr>
          <w:rFonts w:hint="eastAsia" w:ascii="仿宋_GB2312" w:hAnsi="仿宋_GB2312" w:eastAsia="仿宋_GB2312" w:cs="仿宋_GB2312"/>
          <w:color w:val="auto"/>
          <w:kern w:val="0"/>
          <w:sz w:val="22"/>
          <w:szCs w:val="22"/>
          <w:lang w:eastAsia="zh-CN"/>
        </w:rPr>
        <w:t>中标</w:t>
      </w:r>
      <w:r>
        <w:rPr>
          <w:rFonts w:hint="eastAsia" w:ascii="仿宋_GB2312" w:hAnsi="仿宋_GB2312" w:eastAsia="仿宋_GB2312" w:cs="仿宋_GB2312"/>
          <w:color w:val="auto"/>
          <w:kern w:val="0"/>
          <w:sz w:val="22"/>
          <w:szCs w:val="22"/>
        </w:rPr>
        <w:t>方实际</w:t>
      </w:r>
      <w:r>
        <w:rPr>
          <w:rFonts w:hint="eastAsia" w:ascii="仿宋_GB2312" w:hAnsi="仿宋_GB2312" w:eastAsia="仿宋_GB2312" w:cs="仿宋_GB2312"/>
          <w:color w:val="auto"/>
          <w:kern w:val="0"/>
          <w:sz w:val="22"/>
          <w:szCs w:val="22"/>
          <w:lang w:eastAsia="zh-CN"/>
        </w:rPr>
        <w:t>评估</w:t>
      </w:r>
      <w:r>
        <w:rPr>
          <w:rFonts w:hint="eastAsia" w:ascii="仿宋_GB2312" w:hAnsi="仿宋_GB2312" w:eastAsia="仿宋_GB2312" w:cs="仿宋_GB2312"/>
          <w:color w:val="auto"/>
          <w:kern w:val="0"/>
          <w:sz w:val="22"/>
          <w:szCs w:val="22"/>
        </w:rPr>
        <w:t>数量结算，向</w:t>
      </w:r>
      <w:r>
        <w:rPr>
          <w:rFonts w:hint="eastAsia" w:ascii="仿宋_GB2312" w:hAnsi="仿宋_GB2312" w:eastAsia="仿宋_GB2312" w:cs="仿宋_GB2312"/>
          <w:color w:val="auto"/>
          <w:kern w:val="0"/>
          <w:sz w:val="22"/>
          <w:szCs w:val="22"/>
          <w:lang w:eastAsia="zh-CN"/>
        </w:rPr>
        <w:t>中标</w:t>
      </w:r>
      <w:r>
        <w:rPr>
          <w:rFonts w:hint="eastAsia" w:ascii="仿宋_GB2312" w:hAnsi="仿宋_GB2312" w:eastAsia="仿宋_GB2312" w:cs="仿宋_GB2312"/>
          <w:color w:val="auto"/>
          <w:kern w:val="0"/>
          <w:sz w:val="22"/>
          <w:szCs w:val="22"/>
        </w:rPr>
        <w:t>方支付剩余款项。实际结算金额累计最高不超过合同金额。</w:t>
      </w:r>
    </w:p>
    <w:p>
      <w:pPr>
        <w:shd w:val="clear" w:color="auto"/>
        <w:adjustRightInd w:val="0"/>
        <w:snapToGrid w:val="0"/>
        <w:spacing w:line="440" w:lineRule="exact"/>
        <w:ind w:firstLine="440" w:firstLineChars="200"/>
        <w:rPr>
          <w:color w:val="auto"/>
          <w:sz w:val="22"/>
          <w:szCs w:val="22"/>
        </w:rPr>
      </w:pPr>
      <w:r>
        <w:rPr>
          <w:rFonts w:hint="eastAsia" w:ascii="仿宋_GB2312" w:hAnsi="仿宋_GB2312" w:eastAsia="仿宋_GB2312" w:cs="仿宋_GB2312"/>
          <w:color w:val="auto"/>
          <w:kern w:val="0"/>
          <w:sz w:val="22"/>
          <w:szCs w:val="22"/>
        </w:rPr>
        <w:t>上述每期款项均在满足付款条件，且</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color w:val="auto"/>
          <w:kern w:val="0"/>
          <w:sz w:val="22"/>
          <w:szCs w:val="22"/>
        </w:rPr>
        <w:t>收到</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0"/>
          <w:sz w:val="22"/>
          <w:szCs w:val="22"/>
        </w:rPr>
        <w:t>开具的载明相应金额的合格发票后15个工作日内付至</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0"/>
          <w:sz w:val="22"/>
          <w:szCs w:val="22"/>
        </w:rPr>
        <w:t>指定银行账户。如未及时收到发票，则</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color w:val="auto"/>
          <w:kern w:val="0"/>
          <w:sz w:val="22"/>
          <w:szCs w:val="22"/>
        </w:rPr>
        <w:t>相应付款时间顺延。若因</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color w:val="auto"/>
          <w:kern w:val="0"/>
          <w:sz w:val="22"/>
          <w:szCs w:val="22"/>
        </w:rPr>
        <w:t>付款审批影响支付进度，请</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color w:val="auto"/>
          <w:kern w:val="0"/>
          <w:sz w:val="22"/>
          <w:szCs w:val="22"/>
        </w:rPr>
        <w:t>予以谅解，并不得就此向</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color w:val="auto"/>
          <w:kern w:val="0"/>
          <w:sz w:val="22"/>
          <w:szCs w:val="22"/>
        </w:rPr>
        <w:t>索赔。</w:t>
      </w:r>
      <w:r>
        <w:rPr>
          <w:rFonts w:hint="eastAsia" w:ascii="仿宋_GB2312" w:hAnsi="仿宋_GB2312" w:eastAsia="仿宋_GB2312" w:cs="仿宋_GB2312"/>
          <w:b w:val="0"/>
          <w:color w:val="auto"/>
          <w:sz w:val="22"/>
          <w:szCs w:val="22"/>
          <w:lang w:val="en-US" w:eastAsia="zh-CN"/>
        </w:rPr>
        <w:t>采购方</w:t>
      </w:r>
      <w:r>
        <w:rPr>
          <w:rFonts w:hint="eastAsia" w:ascii="仿宋_GB2312" w:hAnsi="仿宋_GB2312" w:eastAsia="仿宋_GB2312" w:cs="仿宋_GB2312"/>
          <w:bCs w:val="0"/>
          <w:color w:val="auto"/>
          <w:kern w:val="0"/>
          <w:sz w:val="22"/>
          <w:szCs w:val="22"/>
        </w:rPr>
        <w:t>有权在支付价款时扣除</w:t>
      </w:r>
      <w:r>
        <w:rPr>
          <w:rFonts w:hint="eastAsia" w:ascii="仿宋_GB2312" w:hAnsi="仿宋_GB2312" w:eastAsia="仿宋_GB2312" w:cs="仿宋_GB2312"/>
          <w:color w:val="auto"/>
          <w:kern w:val="0"/>
          <w:sz w:val="22"/>
          <w:szCs w:val="22"/>
          <w:lang w:eastAsia="zh-CN"/>
        </w:rPr>
        <w:t>中标方</w:t>
      </w:r>
      <w:r>
        <w:rPr>
          <w:rFonts w:hint="eastAsia" w:ascii="仿宋_GB2312" w:hAnsi="仿宋_GB2312" w:eastAsia="仿宋_GB2312" w:cs="仿宋_GB2312"/>
          <w:bCs w:val="0"/>
          <w:color w:val="auto"/>
          <w:kern w:val="0"/>
          <w:sz w:val="22"/>
          <w:szCs w:val="22"/>
        </w:rPr>
        <w:t>按照本合同应承担的违约金和赔偿金。</w:t>
      </w:r>
    </w:p>
    <w:p>
      <w:pPr>
        <w:pStyle w:val="6"/>
        <w:tabs>
          <w:tab w:val="left" w:pos="4680"/>
        </w:tabs>
        <w:spacing w:line="360" w:lineRule="auto"/>
        <w:ind w:firstLine="442" w:firstLineChars="200"/>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（四）投标报价要求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r>
        <w:rPr>
          <w:rFonts w:hint="eastAsia" w:ascii="仿宋_GB2312" w:hAnsi="仿宋_GB2312" w:eastAsia="仿宋_GB2312" w:cs="仿宋_GB2312"/>
          <w:color w:val="auto"/>
          <w:sz w:val="22"/>
          <w:szCs w:val="22"/>
          <w:lang w:bidi="ar"/>
        </w:rPr>
        <w:t>总预算金额为</w:t>
      </w:r>
      <w:r>
        <w:rPr>
          <w:rFonts w:hint="eastAsia" w:ascii="仿宋_GB2312" w:hAnsi="仿宋_GB2312" w:eastAsia="仿宋_GB2312" w:cs="仿宋_GB2312"/>
          <w:color w:val="auto"/>
          <w:sz w:val="22"/>
          <w:szCs w:val="22"/>
          <w:rtl w:val="0"/>
          <w:lang w:val="en-US" w:eastAsia="zh-CN" w:bidi="ar"/>
        </w:rPr>
        <w:t>24.56</w:t>
      </w:r>
      <w:r>
        <w:rPr>
          <w:rFonts w:hint="eastAsia" w:ascii="仿宋_GB2312" w:hAnsi="仿宋_GB2312" w:eastAsia="仿宋_GB2312" w:cs="仿宋_GB2312"/>
          <w:color w:val="auto"/>
          <w:sz w:val="22"/>
          <w:szCs w:val="22"/>
          <w:lang w:bidi="ar"/>
        </w:rPr>
        <w:t>万元。共招</w:t>
      </w:r>
      <w:r>
        <w:rPr>
          <w:rFonts w:ascii="仿宋_GB2312" w:hAnsi="仿宋_GB2312" w:eastAsia="仿宋_GB2312" w:cs="仿宋_GB2312"/>
          <w:color w:val="auto"/>
          <w:sz w:val="22"/>
          <w:szCs w:val="22"/>
          <w:lang w:bidi="ar"/>
        </w:rPr>
        <w:t>2</w:t>
      </w:r>
      <w:r>
        <w:rPr>
          <w:rFonts w:hint="eastAsia" w:ascii="仿宋_GB2312" w:hAnsi="仿宋_GB2312" w:eastAsia="仿宋_GB2312" w:cs="仿宋_GB2312"/>
          <w:color w:val="auto"/>
          <w:sz w:val="22"/>
          <w:szCs w:val="22"/>
          <w:lang w:bidi="ar"/>
        </w:rPr>
        <w:t>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每家中标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独立完成本项目全部工作</w:t>
      </w:r>
      <w:r>
        <w:rPr>
          <w:rFonts w:hint="eastAsia" w:ascii="仿宋_GB2312" w:hAnsi="仿宋_GB2312" w:eastAsia="仿宋_GB2312" w:cs="仿宋_GB2312"/>
          <w:color w:val="auto"/>
          <w:sz w:val="22"/>
          <w:szCs w:val="22"/>
          <w:lang w:eastAsia="zh-CN" w:bidi="ar"/>
        </w:rPr>
        <w:t>，</w:t>
      </w:r>
      <w:r>
        <w:rPr>
          <w:rFonts w:hint="eastAsia" w:ascii="仿宋_GB2312" w:hAnsi="仿宋_GB2312" w:eastAsia="仿宋_GB2312" w:cs="仿宋_GB2312"/>
          <w:color w:val="auto"/>
          <w:sz w:val="22"/>
          <w:szCs w:val="22"/>
          <w:lang w:eastAsia="zh-CN"/>
        </w:rPr>
        <w:t>拟评估办公用房项目数量约</w:t>
      </w:r>
      <w:r>
        <w:rPr>
          <w:rFonts w:hint="default" w:ascii="仿宋_GB2312" w:hAnsi="仿宋_GB2312" w:eastAsia="仿宋_GB2312" w:cs="仿宋_GB2312"/>
          <w:color w:val="auto"/>
          <w:sz w:val="22"/>
          <w:szCs w:val="22"/>
          <w:lang w:val="en-US" w:eastAsia="zh-CN"/>
        </w:rPr>
        <w:t>50</w:t>
      </w:r>
      <w:r>
        <w:rPr>
          <w:rFonts w:hint="eastAsia" w:ascii="仿宋_GB2312" w:hAnsi="仿宋_GB2312" w:eastAsia="仿宋_GB2312" w:cs="仿宋_GB2312"/>
          <w:color w:val="auto"/>
          <w:sz w:val="22"/>
          <w:szCs w:val="22"/>
        </w:rPr>
        <w:t>处</w:t>
      </w:r>
      <w:r>
        <w:rPr>
          <w:rFonts w:hint="eastAsia" w:ascii="仿宋_GB2312" w:hAnsi="仿宋_GB2312" w:eastAsia="仿宋_GB2312" w:cs="仿宋_GB2312"/>
          <w:color w:val="auto"/>
          <w:sz w:val="22"/>
          <w:szCs w:val="22"/>
          <w:lang w:eastAsia="zh-CN"/>
        </w:rPr>
        <w:t>，单个项目不超过2455.81元/处，</w:t>
      </w:r>
      <w:r>
        <w:rPr>
          <w:rFonts w:hint="eastAsia" w:ascii="仿宋_GB2312" w:hAnsi="仿宋_GB2312" w:eastAsia="仿宋_GB2312" w:cs="仿宋_GB2312"/>
          <w:color w:val="auto"/>
          <w:sz w:val="22"/>
          <w:szCs w:val="22"/>
          <w:lang w:bidi="ar"/>
        </w:rPr>
        <w:t>每家中标</w:t>
      </w:r>
      <w:r>
        <w:rPr>
          <w:rFonts w:hint="eastAsia" w:ascii="仿宋_GB2312" w:hAnsi="仿宋_GB2312" w:eastAsia="仿宋_GB2312" w:cs="仿宋_GB2312"/>
          <w:color w:val="auto"/>
          <w:sz w:val="22"/>
          <w:szCs w:val="22"/>
          <w:lang w:eastAsia="zh-CN" w:bidi="ar"/>
        </w:rPr>
        <w:t>单位</w:t>
      </w:r>
      <w:r>
        <w:rPr>
          <w:rFonts w:hint="eastAsia" w:ascii="仿宋_GB2312" w:hAnsi="仿宋_GB2312" w:eastAsia="仿宋_GB2312" w:cs="仿宋_GB2312"/>
          <w:color w:val="auto"/>
          <w:sz w:val="22"/>
          <w:szCs w:val="22"/>
          <w:lang w:bidi="ar"/>
        </w:rPr>
        <w:t>预算金额上限为</w:t>
      </w:r>
      <w:r>
        <w:rPr>
          <w:rFonts w:hint="eastAsia" w:ascii="仿宋_GB2312" w:hAnsi="仿宋_GB2312" w:eastAsia="仿宋_GB2312" w:cs="仿宋_GB2312"/>
          <w:color w:val="auto"/>
          <w:sz w:val="22"/>
          <w:szCs w:val="22"/>
          <w:lang w:val="en-US" w:eastAsia="zh-CN" w:bidi="ar"/>
        </w:rPr>
        <w:t>12.28</w:t>
      </w:r>
      <w:r>
        <w:rPr>
          <w:rFonts w:hint="eastAsia" w:ascii="仿宋_GB2312" w:hAnsi="仿宋_GB2312" w:eastAsia="仿宋_GB2312" w:cs="仿宋_GB2312"/>
          <w:color w:val="auto"/>
          <w:sz w:val="22"/>
          <w:szCs w:val="22"/>
          <w:lang w:bidi="ar"/>
        </w:rPr>
        <w:t xml:space="preserve">万元 </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投标报价包括了投标人完成本招标项目而发生的全部费用，</w:t>
      </w:r>
      <w:r>
        <w:rPr>
          <w:rFonts w:hint="eastAsia" w:ascii="仿宋_GB2312" w:hAnsi="仿宋_GB2312" w:eastAsia="仿宋_GB2312" w:cs="仿宋_GB2312"/>
          <w:color w:val="auto"/>
          <w:sz w:val="22"/>
          <w:szCs w:val="22"/>
          <w:lang w:val="zh-CN"/>
        </w:rPr>
        <w:t>投标报价包括但不限于物业查勘费、市场调研费、评估费、交通费、餐费、保险费，税费等与本项目实施有关的一切费用。</w:t>
      </w:r>
      <w:r>
        <w:rPr>
          <w:rFonts w:hint="eastAsia" w:ascii="仿宋_GB2312" w:hAnsi="仿宋_GB2312" w:eastAsia="仿宋_GB2312" w:cs="仿宋_GB2312"/>
          <w:color w:val="auto"/>
          <w:sz w:val="22"/>
          <w:szCs w:val="22"/>
        </w:rPr>
        <w:t>投标报价总价作为中标单位与采购单位签订的合同金额。投标单位</w:t>
      </w:r>
      <w:r>
        <w:rPr>
          <w:rFonts w:hint="eastAsia" w:ascii="仿宋_GB2312" w:hAnsi="仿宋_GB2312" w:eastAsia="仿宋_GB2312" w:cs="仿宋_GB2312"/>
          <w:color w:val="auto"/>
          <w:sz w:val="22"/>
          <w:szCs w:val="22"/>
          <w:lang w:val="zh-CN"/>
        </w:rPr>
        <w:t>的报价不可高于限价，否则</w:t>
      </w:r>
      <w:r>
        <w:rPr>
          <w:rFonts w:hint="eastAsia" w:ascii="仿宋_GB2312" w:hAnsi="仿宋_GB2312" w:eastAsia="仿宋_GB2312" w:cs="仿宋_GB2312"/>
          <w:color w:val="auto"/>
          <w:sz w:val="22"/>
          <w:szCs w:val="22"/>
        </w:rPr>
        <w:t>投标单位</w:t>
      </w:r>
      <w:r>
        <w:rPr>
          <w:rFonts w:hint="eastAsia" w:ascii="仿宋_GB2312" w:hAnsi="仿宋_GB2312" w:eastAsia="仿宋_GB2312" w:cs="仿宋_GB2312"/>
          <w:color w:val="auto"/>
          <w:sz w:val="22"/>
          <w:szCs w:val="22"/>
          <w:lang w:val="zh-CN"/>
        </w:rPr>
        <w:t>的投标文件视同无效。</w:t>
      </w:r>
      <w:r>
        <w:rPr>
          <w:rFonts w:hint="eastAsia" w:ascii="仿宋_GB2312" w:hAnsi="仿宋_GB2312" w:eastAsia="仿宋_GB2312" w:cs="仿宋_GB2312"/>
          <w:color w:val="auto"/>
          <w:sz w:val="22"/>
          <w:szCs w:val="22"/>
        </w:rPr>
        <w:t>投标单位应根据本机构的成本自行决定报价，不得以低于服务成本的报价投标。其报价应包括项目投入成本及其他费用。由企业根据招标文件所提供的资料自行测算投标报价；一经中标，投标报价总价作为中标单位与采购单位签定的合同金额，合同期限内不做调整；</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投标人的报价明显低于其他通过符合性审查投标人的报价，评标委员会认为有可能影响服务质量或者不能诚信履约的，投标人需提供报价合理性说明。投标人补充的书面说明或提供的证明材料仍不能证明其报价合理性的，评标委员会应当做出投标无效认定，不得以扣减得分等方式保留投标人的投标资格。</w:t>
      </w:r>
    </w:p>
    <w:p>
      <w:pPr>
        <w:spacing w:line="360" w:lineRule="auto"/>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（五）项目管理及进度要求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1.组织实施要求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为确保本次项目投标工作管理规范、实施有力，投标方应成立项目组，按采购人要求完成各项工作。</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2.项目服务期限要求</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本项目合同服务期限为自签订合同之日起一年，以合同签订时间为准。</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工作时间：投入项目的团队成员工作时间应与采购方上班时间保持一致，不得无故缺勤，不得违反采购方单位工作纪律</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若有紧急工作需安排加班，由中标方负责安排协调，不另计费用。</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3.项目人员安排要求</w:t>
      </w:r>
    </w:p>
    <w:p>
      <w:pPr>
        <w:spacing w:line="360" w:lineRule="auto"/>
        <w:ind w:firstLine="440" w:firstLineChars="200"/>
        <w:rPr>
          <w:rFonts w:ascii="仿宋_GB2312" w:hAnsi="仿宋_GB2312" w:eastAsia="仿宋_GB2312" w:cs="仿宋_GB2312"/>
          <w:b/>
          <w:color w:val="auto"/>
          <w:sz w:val="22"/>
          <w:szCs w:val="22"/>
        </w:rPr>
      </w:pPr>
      <w:r>
        <w:rPr>
          <w:rFonts w:hint="eastAsia" w:ascii="仿宋_GB2312" w:hAnsi="仿宋_GB2312" w:eastAsia="仿宋_GB2312" w:cs="仿宋_GB2312"/>
          <w:color w:val="auto"/>
          <w:sz w:val="22"/>
          <w:szCs w:val="22"/>
        </w:rPr>
        <w:t>中标方不得随意更换项目负责人和项目组成员，如不经采购单位同意擅自更换，则采购单位有权解除合同或根据情节要求中标方支付5000元/人/次的违约金。</w:t>
      </w:r>
    </w:p>
    <w:p>
      <w:pPr>
        <w:spacing w:line="360" w:lineRule="auto"/>
        <w:ind w:firstLine="442" w:firstLineChars="200"/>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（六）项目成果要求及验收</w:t>
      </w:r>
    </w:p>
    <w:p>
      <w:pPr>
        <w:spacing w:line="360" w:lineRule="auto"/>
        <w:ind w:firstLine="42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1.成果要求：形成《</w:t>
      </w:r>
      <w:r>
        <w:rPr>
          <w:rFonts w:hint="eastAsia" w:ascii="仿宋_GB2312" w:hAnsi="仿宋_GB2312" w:eastAsia="仿宋_GB2312" w:cs="仿宋_GB2312"/>
          <w:color w:val="auto"/>
          <w:sz w:val="22"/>
          <w:szCs w:val="22"/>
          <w:lang w:eastAsia="zh-CN"/>
        </w:rPr>
        <w:t>前海合作区</w:t>
      </w:r>
      <w:r>
        <w:rPr>
          <w:rFonts w:hint="eastAsia" w:ascii="仿宋_GB2312" w:hAnsi="仿宋_GB2312" w:eastAsia="仿宋_GB2312" w:cs="仿宋_GB2312"/>
          <w:color w:val="auto"/>
          <w:sz w:val="22"/>
          <w:szCs w:val="22"/>
        </w:rPr>
        <w:t>202</w:t>
      </w: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年度</w:t>
      </w:r>
      <w:r>
        <w:rPr>
          <w:rFonts w:hint="eastAsia" w:ascii="仿宋_GB2312" w:hAnsi="仿宋_GB2312" w:eastAsia="仿宋_GB2312" w:cs="仿宋_GB2312"/>
          <w:color w:val="auto"/>
          <w:sz w:val="22"/>
          <w:szCs w:val="22"/>
          <w:lang w:eastAsia="zh-CN"/>
        </w:rPr>
        <w:t>上半年</w:t>
      </w:r>
      <w:r>
        <w:rPr>
          <w:rFonts w:hint="eastAsia" w:ascii="仿宋_GB2312" w:hAnsi="仿宋_GB2312" w:eastAsia="仿宋_GB2312" w:cs="仿宋_GB2312"/>
          <w:color w:val="auto"/>
          <w:sz w:val="22"/>
          <w:szCs w:val="22"/>
        </w:rPr>
        <w:t>办公用房</w:t>
      </w:r>
      <w:r>
        <w:rPr>
          <w:rFonts w:hint="eastAsia" w:ascii="仿宋_GB2312" w:hAnsi="仿宋_GB2312" w:eastAsia="仿宋_GB2312" w:cs="仿宋_GB2312"/>
          <w:color w:val="auto"/>
          <w:sz w:val="22"/>
          <w:szCs w:val="22"/>
          <w:lang w:eastAsia="zh-CN"/>
        </w:rPr>
        <w:t>市场</w:t>
      </w:r>
      <w:r>
        <w:rPr>
          <w:rFonts w:hint="eastAsia" w:ascii="仿宋_GB2312" w:hAnsi="仿宋_GB2312" w:eastAsia="仿宋_GB2312" w:cs="仿宋_GB2312"/>
          <w:color w:val="auto"/>
          <w:sz w:val="22"/>
          <w:szCs w:val="22"/>
        </w:rPr>
        <w:t>租金评估报告》</w:t>
      </w:r>
      <w:r>
        <w:rPr>
          <w:rFonts w:hint="eastAsia" w:ascii="仿宋_GB2312" w:hAnsi="仿宋_GB2312" w:eastAsia="仿宋_GB2312" w:cs="仿宋_GB2312"/>
          <w:color w:val="auto"/>
          <w:sz w:val="22"/>
          <w:szCs w:val="22"/>
          <w:lang w:eastAsia="zh-CN"/>
        </w:rPr>
        <w:t>以及</w:t>
      </w: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eastAsia="zh-CN"/>
        </w:rPr>
        <w:t>前海合作区</w:t>
      </w:r>
      <w:r>
        <w:rPr>
          <w:rFonts w:hint="eastAsia" w:ascii="仿宋_GB2312" w:hAnsi="仿宋_GB2312" w:eastAsia="仿宋_GB2312" w:cs="仿宋_GB2312"/>
          <w:color w:val="auto"/>
          <w:sz w:val="22"/>
          <w:szCs w:val="22"/>
        </w:rPr>
        <w:t>202</w:t>
      </w: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年度</w:t>
      </w:r>
      <w:r>
        <w:rPr>
          <w:rFonts w:hint="eastAsia" w:ascii="仿宋_GB2312" w:hAnsi="仿宋_GB2312" w:eastAsia="仿宋_GB2312" w:cs="仿宋_GB2312"/>
          <w:color w:val="auto"/>
          <w:sz w:val="22"/>
          <w:szCs w:val="22"/>
          <w:lang w:eastAsia="zh-CN"/>
        </w:rPr>
        <w:t>下半年</w:t>
      </w:r>
      <w:r>
        <w:rPr>
          <w:rFonts w:hint="eastAsia" w:ascii="仿宋_GB2312" w:hAnsi="仿宋_GB2312" w:eastAsia="仿宋_GB2312" w:cs="仿宋_GB2312"/>
          <w:color w:val="auto"/>
          <w:sz w:val="22"/>
          <w:szCs w:val="22"/>
        </w:rPr>
        <w:t>办公用房</w:t>
      </w:r>
      <w:r>
        <w:rPr>
          <w:rFonts w:hint="eastAsia" w:ascii="仿宋_GB2312" w:hAnsi="仿宋_GB2312" w:eastAsia="仿宋_GB2312" w:cs="仿宋_GB2312"/>
          <w:color w:val="auto"/>
          <w:sz w:val="22"/>
          <w:szCs w:val="22"/>
          <w:lang w:eastAsia="zh-CN"/>
        </w:rPr>
        <w:t>市场</w:t>
      </w:r>
      <w:r>
        <w:rPr>
          <w:rFonts w:hint="eastAsia" w:ascii="仿宋_GB2312" w:hAnsi="仿宋_GB2312" w:eastAsia="仿宋_GB2312" w:cs="仿宋_GB2312"/>
          <w:color w:val="auto"/>
          <w:sz w:val="22"/>
          <w:szCs w:val="22"/>
        </w:rPr>
        <w:t>租金评估报告》；</w:t>
      </w:r>
    </w:p>
    <w:p>
      <w:pPr>
        <w:spacing w:line="360" w:lineRule="auto"/>
        <w:ind w:firstLine="42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2.验收要求：形成《</w:t>
      </w:r>
      <w:r>
        <w:rPr>
          <w:rFonts w:hint="eastAsia" w:ascii="仿宋_GB2312" w:hAnsi="仿宋_GB2312" w:eastAsia="仿宋_GB2312" w:cs="仿宋_GB2312"/>
          <w:color w:val="auto"/>
          <w:sz w:val="22"/>
          <w:szCs w:val="22"/>
          <w:lang w:eastAsia="zh-CN"/>
        </w:rPr>
        <w:t>前海合作区</w:t>
      </w:r>
      <w:r>
        <w:rPr>
          <w:rFonts w:hint="eastAsia" w:ascii="仿宋_GB2312" w:hAnsi="仿宋_GB2312" w:eastAsia="仿宋_GB2312" w:cs="仿宋_GB2312"/>
          <w:color w:val="auto"/>
          <w:sz w:val="22"/>
          <w:szCs w:val="22"/>
        </w:rPr>
        <w:t>202</w:t>
      </w: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年度</w:t>
      </w:r>
      <w:r>
        <w:rPr>
          <w:rFonts w:hint="eastAsia" w:ascii="仿宋_GB2312" w:hAnsi="仿宋_GB2312" w:eastAsia="仿宋_GB2312" w:cs="仿宋_GB2312"/>
          <w:color w:val="auto"/>
          <w:sz w:val="22"/>
          <w:szCs w:val="22"/>
          <w:lang w:eastAsia="zh-CN"/>
        </w:rPr>
        <w:t>上半年</w:t>
      </w:r>
      <w:r>
        <w:rPr>
          <w:rFonts w:hint="eastAsia" w:ascii="仿宋_GB2312" w:hAnsi="仿宋_GB2312" w:eastAsia="仿宋_GB2312" w:cs="仿宋_GB2312"/>
          <w:color w:val="auto"/>
          <w:sz w:val="22"/>
          <w:szCs w:val="22"/>
        </w:rPr>
        <w:t>办公用房</w:t>
      </w:r>
      <w:r>
        <w:rPr>
          <w:rFonts w:hint="eastAsia" w:ascii="仿宋_GB2312" w:hAnsi="仿宋_GB2312" w:eastAsia="仿宋_GB2312" w:cs="仿宋_GB2312"/>
          <w:color w:val="auto"/>
          <w:sz w:val="22"/>
          <w:szCs w:val="22"/>
          <w:lang w:eastAsia="zh-CN"/>
        </w:rPr>
        <w:t>市场</w:t>
      </w:r>
      <w:r>
        <w:rPr>
          <w:rFonts w:hint="eastAsia" w:ascii="仿宋_GB2312" w:hAnsi="仿宋_GB2312" w:eastAsia="仿宋_GB2312" w:cs="仿宋_GB2312"/>
          <w:color w:val="auto"/>
          <w:sz w:val="22"/>
          <w:szCs w:val="22"/>
        </w:rPr>
        <w:t>租金评估报告》</w:t>
      </w:r>
      <w:r>
        <w:rPr>
          <w:rFonts w:hint="eastAsia" w:ascii="仿宋_GB2312" w:hAnsi="仿宋_GB2312" w:eastAsia="仿宋_GB2312" w:cs="仿宋_GB2312"/>
          <w:color w:val="auto"/>
          <w:sz w:val="22"/>
          <w:szCs w:val="22"/>
          <w:lang w:eastAsia="zh-CN"/>
        </w:rPr>
        <w:t>以及</w:t>
      </w: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eastAsia="zh-CN"/>
        </w:rPr>
        <w:t>前海合作区</w:t>
      </w:r>
      <w:r>
        <w:rPr>
          <w:rFonts w:hint="eastAsia" w:ascii="仿宋_GB2312" w:hAnsi="仿宋_GB2312" w:eastAsia="仿宋_GB2312" w:cs="仿宋_GB2312"/>
          <w:color w:val="auto"/>
          <w:sz w:val="22"/>
          <w:szCs w:val="22"/>
        </w:rPr>
        <w:t>202</w:t>
      </w: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年度</w:t>
      </w:r>
      <w:r>
        <w:rPr>
          <w:rFonts w:hint="eastAsia" w:ascii="仿宋_GB2312" w:hAnsi="仿宋_GB2312" w:eastAsia="仿宋_GB2312" w:cs="仿宋_GB2312"/>
          <w:color w:val="auto"/>
          <w:sz w:val="22"/>
          <w:szCs w:val="22"/>
          <w:lang w:eastAsia="zh-CN"/>
        </w:rPr>
        <w:t>下半年</w:t>
      </w:r>
      <w:r>
        <w:rPr>
          <w:rFonts w:hint="eastAsia" w:ascii="仿宋_GB2312" w:hAnsi="仿宋_GB2312" w:eastAsia="仿宋_GB2312" w:cs="仿宋_GB2312"/>
          <w:color w:val="auto"/>
          <w:sz w:val="22"/>
          <w:szCs w:val="22"/>
        </w:rPr>
        <w:t>办公用房</w:t>
      </w:r>
      <w:r>
        <w:rPr>
          <w:rFonts w:hint="eastAsia" w:ascii="仿宋_GB2312" w:hAnsi="仿宋_GB2312" w:eastAsia="仿宋_GB2312" w:cs="仿宋_GB2312"/>
          <w:color w:val="auto"/>
          <w:sz w:val="22"/>
          <w:szCs w:val="22"/>
          <w:lang w:eastAsia="zh-CN"/>
        </w:rPr>
        <w:t>市场</w:t>
      </w:r>
      <w:r>
        <w:rPr>
          <w:rFonts w:hint="eastAsia" w:ascii="仿宋_GB2312" w:hAnsi="仿宋_GB2312" w:eastAsia="仿宋_GB2312" w:cs="仿宋_GB2312"/>
          <w:color w:val="auto"/>
          <w:sz w:val="22"/>
          <w:szCs w:val="22"/>
        </w:rPr>
        <w:t>租金评估报告》</w:t>
      </w:r>
      <w:r>
        <w:rPr>
          <w:rFonts w:hint="eastAsia" w:ascii="仿宋_GB2312" w:hAnsi="仿宋_GB2312" w:eastAsia="仿宋_GB2312" w:cs="仿宋_GB2312"/>
          <w:color w:val="auto"/>
          <w:sz w:val="22"/>
          <w:szCs w:val="22"/>
          <w:lang w:eastAsia="zh-CN"/>
        </w:rPr>
        <w:t>，且</w:t>
      </w:r>
      <w:r>
        <w:rPr>
          <w:rFonts w:hint="eastAsia" w:ascii="仿宋_GB2312" w:hAnsi="仿宋_GB2312" w:eastAsia="仿宋_GB2312" w:cs="仿宋_GB2312"/>
          <w:color w:val="auto"/>
          <w:sz w:val="22"/>
          <w:szCs w:val="22"/>
        </w:rPr>
        <w:t>完成</w:t>
      </w:r>
      <w:r>
        <w:rPr>
          <w:rFonts w:hint="eastAsia" w:ascii="仿宋_GB2312" w:hAnsi="仿宋_GB2312" w:eastAsia="仿宋_GB2312" w:cs="仿宋_GB2312"/>
          <w:color w:val="auto"/>
          <w:sz w:val="22"/>
          <w:szCs w:val="22"/>
          <w:lang w:val="en-US" w:eastAsia="zh-CN"/>
        </w:rPr>
        <w:t>2023年度上、下半年市场租金评估价格</w:t>
      </w:r>
      <w:r>
        <w:rPr>
          <w:rFonts w:hint="eastAsia" w:ascii="仿宋_GB2312" w:hAnsi="仿宋_GB2312" w:eastAsia="仿宋_GB2312" w:cs="仿宋_GB2312"/>
          <w:color w:val="auto"/>
          <w:sz w:val="22"/>
          <w:szCs w:val="22"/>
        </w:rPr>
        <w:t>公示</w:t>
      </w:r>
      <w:r>
        <w:rPr>
          <w:rFonts w:hint="eastAsia" w:ascii="仿宋_GB2312" w:hAnsi="仿宋_GB2312" w:eastAsia="仿宋_GB2312" w:cs="仿宋_GB2312"/>
          <w:color w:val="auto"/>
          <w:sz w:val="22"/>
          <w:szCs w:val="22"/>
          <w:lang w:eastAsia="zh-CN"/>
        </w:rPr>
        <w:t>无异议</w:t>
      </w:r>
      <w:r>
        <w:rPr>
          <w:rFonts w:hint="eastAsia" w:ascii="仿宋_GB2312" w:hAnsi="仿宋_GB2312" w:eastAsia="仿宋_GB2312" w:cs="仿宋_GB2312"/>
          <w:color w:val="auto"/>
          <w:sz w:val="22"/>
          <w:szCs w:val="22"/>
        </w:rPr>
        <w:t>。</w:t>
      </w:r>
    </w:p>
    <w:p>
      <w:pPr>
        <w:pStyle w:val="17"/>
        <w:spacing w:before="0" w:beforeAutospacing="0" w:after="0" w:afterAutospacing="0" w:line="360" w:lineRule="auto"/>
        <w:ind w:firstLine="442" w:firstLineChars="200"/>
        <w:jc w:val="both"/>
        <w:outlineLvl w:val="1"/>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四、成果归属与知识产权</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（一）本项目全部阶段性成果和最终成果的所有权、知识产权以及与之相关的所有权利归采购人所有；本合同签署前双方已经拥有的知识产权权利，仍归各自所有。</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（二）双方确定，采购人有权对中标人按照本合同约定提供的成果进行后续改进。由此产生的具有实质性或创造性技术进步特征的新的技术成果及其权利全部由采购人享有。</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（五）中标人完成本项目的研究人员享有在有关技术成果文件上署名的权利和与采购人共同获得有关荣誉证书、奖励的权利。</w:t>
      </w:r>
    </w:p>
    <w:p>
      <w:pPr>
        <w:pStyle w:val="17"/>
        <w:shd w:val="clear"/>
        <w:spacing w:before="0" w:beforeAutospacing="0" w:after="0" w:afterAutospacing="0" w:line="360" w:lineRule="auto"/>
        <w:ind w:firstLine="442" w:firstLineChars="200"/>
        <w:jc w:val="both"/>
        <w:outlineLvl w:val="1"/>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五、保密条款</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（三）中标人实施项目的程序应符合国家安全、保密的有关规定和标准。</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（四）上述保密义务不适用以下情况：</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1.获取的信息已被合法公开；</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2.获得信息拥有方书面许可并在该许可范围内披露；</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3.国家法律、法规规定的情形。</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五）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（六）无论本合同或本合同其他条款是否有效，本保密条款始终约束双方。国家秘密的保密期限由国家有关部门确定，工作秘密的保密期限由采购人确定。</w:t>
      </w:r>
    </w:p>
    <w:p>
      <w:pPr>
        <w:pStyle w:val="17"/>
        <w:shd w:val="clear"/>
        <w:spacing w:before="0" w:beforeAutospacing="0" w:after="0" w:afterAutospacing="0" w:line="360" w:lineRule="auto"/>
        <w:ind w:firstLine="442" w:firstLineChars="200"/>
        <w:jc w:val="both"/>
        <w:outlineLvl w:val="1"/>
        <w:rPr>
          <w:rFonts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六、违约责任</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（一）如中标人未按照本合同约定的时间完成本项目各阶段工作，且未经采购人书面同意延长服务成果完成期限的，每迟延一日，采购人有权要求中标人支付本合同服务费总金额的1‰的逾期违约金。</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（二）本合同履行期间，发生下述情形时，采购人有权解除本合同，中标人除应退还采购人已支付的全部款项外,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（1）中标人未能按合同约定的日期(含协商延缓的日期)提交各阶段成果或最终成果，延误时间超过15个工作日；</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（2）因中标人工作的错误或遗漏造成成果质量损失，</w:t>
      </w:r>
      <w:r>
        <w:rPr>
          <w:rFonts w:hint="eastAsia" w:ascii="仿宋_GB2312" w:hAnsi="仿宋_GB2312" w:eastAsia="仿宋_GB2312" w:cs="仿宋_GB2312"/>
          <w:color w:val="auto"/>
          <w:sz w:val="22"/>
          <w:szCs w:val="22"/>
          <w:lang w:val="zh-CN"/>
        </w:rPr>
        <w:t>工作成果质量低劣，不能满足采购人工作需要和要求</w:t>
      </w:r>
      <w:r>
        <w:rPr>
          <w:rFonts w:hint="eastAsia" w:ascii="仿宋_GB2312" w:hAnsi="仿宋_GB2312" w:eastAsia="仿宋_GB2312" w:cs="仿宋_GB2312"/>
          <w:color w:val="auto"/>
          <w:sz w:val="22"/>
          <w:szCs w:val="22"/>
        </w:rPr>
        <w:t>；</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（3）中标人虽如期提交最终成果，但连续二次未能通过采购人验收的；</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（4）未经采购人书面在先同意，中标人擅自将本合同项目与任何第三方合作，或将本合同标的全部或部分擅自转包或分包给任何第三方，且未按采购人的要求终止与第三方的合同的；</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（5）项目负责人未承担本合同项目实质性工作，或未经采购人书面在先同意，中标人擅自更换项目负责人的；</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（6）发现中标人或中标人工作人员出现全部或部分丧失履行委托服务能力的情况，采购人有权通知中标人限期整改或更换工作人员，期限届满中标人并未进行改善的；</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（7）中标人明确表示或者以自己的行为表明不履行本合同的。</w:t>
      </w:r>
    </w:p>
    <w:p>
      <w:pPr>
        <w:widowControl/>
        <w:shd w:val="clear"/>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（三） 除因</w:t>
      </w:r>
      <w:r>
        <w:rPr>
          <w:rFonts w:hint="eastAsia" w:ascii="仿宋_GB2312" w:hAnsi="仿宋_GB2312" w:eastAsia="仿宋_GB2312" w:cs="仿宋_GB2312"/>
          <w:color w:val="auto"/>
          <w:kern w:val="0"/>
          <w:sz w:val="22"/>
          <w:szCs w:val="22"/>
        </w:rPr>
        <w:t>采购人付款审批影响支付进度的情况外，</w:t>
      </w:r>
      <w:r>
        <w:rPr>
          <w:rFonts w:hint="eastAsia" w:ascii="仿宋_GB2312" w:hAnsi="仿宋_GB2312" w:eastAsia="仿宋_GB2312" w:cs="仿宋_GB2312"/>
          <w:color w:val="auto"/>
          <w:sz w:val="22"/>
          <w:szCs w:val="22"/>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shd w:val="clear" w:color="auto"/>
        <w:adjustRightInd w:val="0"/>
        <w:snapToGrid w:val="0"/>
        <w:spacing w:line="360" w:lineRule="auto"/>
        <w:ind w:firstLine="440" w:firstLineChars="200"/>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（四）上述违约责任各自独立且可累加。如本合同所约定的违约金无法弥补因违约行为所造成的损失，违约方应补偿上述不足部分的损失。</w:t>
      </w:r>
    </w:p>
    <w:p>
      <w:pPr>
        <w:spacing w:line="400" w:lineRule="exact"/>
        <w:jc w:val="both"/>
        <w:outlineLvl w:val="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8"/>
          <w:szCs w:val="28"/>
        </w:rPr>
        <w:br w:type="page"/>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rPr>
        <w:t>第六章 投标文件初审及招标项目评分表</w:t>
      </w:r>
    </w:p>
    <w:p>
      <w:pPr>
        <w:spacing w:line="400" w:lineRule="exact"/>
        <w:jc w:val="center"/>
        <w:rPr>
          <w:rFonts w:ascii="仿宋_GB2312" w:hAnsi="仿宋_GB2312" w:eastAsia="仿宋_GB2312" w:cs="仿宋_GB2312"/>
          <w:b/>
          <w:color w:val="auto"/>
          <w:sz w:val="24"/>
        </w:rPr>
      </w:pPr>
    </w:p>
    <w:p>
      <w:pPr>
        <w:spacing w:line="40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投标文件初审表（不可偏离条款）</w:t>
      </w:r>
    </w:p>
    <w:p>
      <w:pPr>
        <w:spacing w:line="40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（凡有下列情形之一的，投标文件无效，投标作废标处理）</w:t>
      </w:r>
    </w:p>
    <w:tbl>
      <w:tblPr>
        <w:tblStyle w:val="21"/>
        <w:tblW w:w="852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7881"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投标人不具备招标文件所列的资格要求，或未提交相应的资格证明资料（详见招标公告 投标</w:t>
            </w:r>
            <w:r>
              <w:rPr>
                <w:rFonts w:hint="eastAsia" w:ascii="仿宋_GB2312" w:hAnsi="仿宋_GB2312" w:eastAsia="仿宋_GB2312" w:cs="仿宋_GB2312"/>
                <w:color w:val="auto"/>
                <w:sz w:val="24"/>
                <w:lang w:eastAsia="zh-CN"/>
              </w:rPr>
              <w:t>单位</w:t>
            </w:r>
            <w:r>
              <w:rPr>
                <w:rFonts w:hint="eastAsia" w:ascii="仿宋_GB2312" w:hAnsi="仿宋_GB2312" w:eastAsia="仿宋_GB2312" w:cs="仿宋_GB2312"/>
                <w:color w:val="auto"/>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9</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40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7881" w:type="dxa"/>
            <w:vAlign w:val="center"/>
          </w:tcPr>
          <w:p>
            <w:pPr>
              <w:spacing w:line="40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法律、法规规定的其他情形</w:t>
            </w:r>
          </w:p>
        </w:tc>
      </w:tr>
    </w:tbl>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spacing w:line="400" w:lineRule="exact"/>
        <w:jc w:val="center"/>
        <w:outlineLvl w:val="1"/>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4"/>
        </w:rPr>
        <w:br w:type="page"/>
      </w:r>
      <w:r>
        <w:rPr>
          <w:rFonts w:hint="eastAsia" w:ascii="仿宋_GB2312" w:hAnsi="仿宋_GB2312" w:eastAsia="仿宋_GB2312" w:cs="仿宋_GB2312"/>
          <w:b/>
          <w:bCs/>
          <w:color w:val="auto"/>
          <w:sz w:val="24"/>
        </w:rPr>
        <w:t>招标项目评分表</w:t>
      </w:r>
    </w:p>
    <w:tbl>
      <w:tblPr>
        <w:tblStyle w:val="21"/>
        <w:tblW w:w="94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600"/>
        <w:gridCol w:w="800"/>
        <w:gridCol w:w="5301"/>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349" w:type="dxa"/>
            <w:gridSpan w:val="4"/>
            <w:vAlign w:val="center"/>
          </w:tcPr>
          <w:p>
            <w:pPr>
              <w:autoSpaceDE w:val="0"/>
              <w:autoSpaceDN w:val="0"/>
              <w:adjustRightInd w:val="0"/>
              <w:jc w:val="center"/>
              <w:rPr>
                <w:rFonts w:ascii="仿宋_GB2312" w:hAnsi="仿宋_GB2312" w:eastAsia="仿宋_GB2312" w:cs="仿宋_GB2312"/>
                <w:b/>
                <w:color w:val="auto"/>
                <w:szCs w:val="21"/>
                <w:lang w:val="zh-CN"/>
              </w:rPr>
            </w:pPr>
            <w:r>
              <w:rPr>
                <w:rFonts w:hint="eastAsia" w:ascii="仿宋_GB2312" w:hAnsi="仿宋_GB2312" w:eastAsia="仿宋_GB2312" w:cs="仿宋_GB2312"/>
                <w:b/>
                <w:color w:val="auto"/>
                <w:szCs w:val="21"/>
                <w:lang w:val="zh-CN"/>
              </w:rPr>
              <w:t>评分项及评分规则</w:t>
            </w:r>
          </w:p>
        </w:tc>
        <w:tc>
          <w:tcPr>
            <w:tcW w:w="1134" w:type="dxa"/>
            <w:vAlign w:val="center"/>
          </w:tcPr>
          <w:p>
            <w:pPr>
              <w:autoSpaceDE w:val="0"/>
              <w:autoSpaceDN w:val="0"/>
              <w:adjustRightInd w:val="0"/>
              <w:jc w:val="center"/>
              <w:rPr>
                <w:rFonts w:ascii="仿宋_GB2312" w:hAnsi="仿宋_GB2312" w:eastAsia="仿宋_GB2312" w:cs="仿宋_GB2312"/>
                <w:b/>
                <w:color w:val="auto"/>
                <w:szCs w:val="21"/>
                <w:lang w:val="zh-CN"/>
              </w:rPr>
            </w:pPr>
            <w:r>
              <w:rPr>
                <w:rFonts w:hint="eastAsia" w:ascii="仿宋_GB2312" w:hAnsi="仿宋_GB2312" w:eastAsia="仿宋_GB2312" w:cs="仿宋_GB2312"/>
                <w:b/>
                <w:color w:val="auto"/>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349" w:type="dxa"/>
            <w:gridSpan w:val="4"/>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b/>
                <w:color w:val="auto"/>
                <w:szCs w:val="21"/>
                <w:lang w:val="zh-CN"/>
              </w:rPr>
              <w:t>一、价格部分</w:t>
            </w:r>
          </w:p>
        </w:tc>
        <w:tc>
          <w:tcPr>
            <w:tcW w:w="1134"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8349" w:type="dxa"/>
            <w:gridSpan w:val="4"/>
            <w:vAlign w:val="center"/>
          </w:tcPr>
          <w:p>
            <w:pPr>
              <w:autoSpaceDE w:val="0"/>
              <w:autoSpaceDN w:val="0"/>
              <w:adjustRightInd w:val="0"/>
              <w:rPr>
                <w:rFonts w:ascii="仿宋_GB2312" w:hAnsi="仿宋_GB2312" w:eastAsia="仿宋_GB2312" w:cs="仿宋_GB2312"/>
                <w:b w:val="0"/>
                <w:bCs w:val="0"/>
                <w:color w:val="auto"/>
                <w:szCs w:val="21"/>
                <w:lang w:val="zh-CN"/>
              </w:rPr>
            </w:pPr>
            <w:r>
              <w:rPr>
                <w:rFonts w:hint="eastAsia" w:ascii="仿宋_GB2312" w:hAnsi="仿宋_GB2312" w:eastAsia="仿宋_GB2312" w:cs="仿宋_GB2312"/>
                <w:b w:val="0"/>
                <w:bCs w:val="0"/>
                <w:color w:val="auto"/>
                <w:szCs w:val="21"/>
                <w:lang w:val="zh-CN"/>
              </w:rPr>
              <w:t>价格分计算方法：满足招标文件要求且投标价格最低的投标报价为评标基准价，其价格分为满分。其他投标人的价格分统一按照下列公式计算：</w:t>
            </w:r>
          </w:p>
          <w:p>
            <w:pPr>
              <w:autoSpaceDE w:val="0"/>
              <w:autoSpaceDN w:val="0"/>
              <w:adjustRightInd w:val="0"/>
              <w:rPr>
                <w:rFonts w:ascii="仿宋_GB2312" w:hAnsi="仿宋_GB2312" w:eastAsia="仿宋_GB2312" w:cs="仿宋_GB2312"/>
                <w:b w:val="0"/>
                <w:bCs w:val="0"/>
                <w:color w:val="auto"/>
                <w:szCs w:val="21"/>
                <w:lang w:val="zh-CN"/>
              </w:rPr>
            </w:pPr>
            <w:r>
              <w:rPr>
                <w:rFonts w:hint="eastAsia" w:ascii="仿宋_GB2312" w:hAnsi="仿宋_GB2312" w:eastAsia="仿宋_GB2312" w:cs="仿宋_GB2312"/>
                <w:b w:val="0"/>
                <w:bCs w:val="0"/>
                <w:color w:val="auto"/>
                <w:szCs w:val="21"/>
                <w:lang w:val="zh-CN"/>
              </w:rPr>
              <w:t>投标报价得分=(评标基准价／投标报价)×权重</w:t>
            </w:r>
          </w:p>
          <w:p>
            <w:pPr>
              <w:autoSpaceDE w:val="0"/>
              <w:autoSpaceDN w:val="0"/>
              <w:adjustRightInd w:val="0"/>
              <w:rPr>
                <w:rFonts w:ascii="仿宋_GB2312" w:hAnsi="仿宋_GB2312" w:eastAsia="仿宋_GB2312" w:cs="仿宋_GB2312"/>
                <w:b w:val="0"/>
                <w:bCs w:val="0"/>
                <w:color w:val="auto"/>
                <w:szCs w:val="21"/>
                <w:lang w:val="zh-CN"/>
              </w:rPr>
            </w:pPr>
            <w:r>
              <w:rPr>
                <w:rFonts w:hint="eastAsia" w:ascii="仿宋_GB2312" w:hAnsi="仿宋_GB2312" w:eastAsia="仿宋_GB2312" w:cs="仿宋_GB2312"/>
                <w:b w:val="0"/>
                <w:bCs w:val="0"/>
                <w:color w:val="auto"/>
                <w:szCs w:val="21"/>
                <w:lang w:val="zh-CN"/>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autoSpaceDE w:val="0"/>
              <w:autoSpaceDN w:val="0"/>
              <w:adjustRightInd w:val="0"/>
              <w:rPr>
                <w:rFonts w:ascii="仿宋_GB2312" w:hAnsi="仿宋_GB2312" w:eastAsia="仿宋_GB2312" w:cs="仿宋_GB2312"/>
                <w:b w:val="0"/>
                <w:bCs w:val="0"/>
                <w:color w:val="auto"/>
                <w:szCs w:val="21"/>
                <w:lang w:val="zh-CN"/>
              </w:rPr>
            </w:pPr>
            <w:r>
              <w:rPr>
                <w:rFonts w:ascii="仿宋_GB2312" w:hAnsi="仿宋_GB2312" w:eastAsia="仿宋_GB2312" w:cs="仿宋_GB2312"/>
                <w:b w:val="0"/>
                <w:bCs w:val="0"/>
                <w:color w:val="auto"/>
                <w:szCs w:val="21"/>
                <w:lang w:val="zh-CN"/>
              </w:rPr>
              <w:t>2、</w:t>
            </w:r>
            <w:r>
              <w:rPr>
                <w:rFonts w:hint="eastAsia" w:ascii="仿宋_GB2312" w:hAnsi="仿宋_GB2312" w:eastAsia="仿宋_GB2312" w:cs="仿宋_GB2312"/>
                <w:b w:val="0"/>
                <w:bCs w:val="0"/>
                <w:color w:val="auto"/>
                <w:szCs w:val="21"/>
                <w:lang w:val="zh-CN"/>
              </w:rPr>
              <w:t>投标报价得分四舍五入后，小数点后保留两位有效数。</w:t>
            </w:r>
          </w:p>
          <w:p>
            <w:pPr>
              <w:autoSpaceDE w:val="0"/>
              <w:autoSpaceDN w:val="0"/>
              <w:adjustRightInd w:val="0"/>
              <w:rPr>
                <w:rFonts w:ascii="仿宋_GB2312" w:hAnsi="仿宋_GB2312" w:eastAsia="仿宋_GB2312" w:cs="仿宋_GB2312"/>
                <w:color w:val="auto"/>
                <w:szCs w:val="21"/>
                <w:lang w:val="zh-CN"/>
              </w:rPr>
            </w:pPr>
            <w:r>
              <w:rPr>
                <w:rFonts w:ascii="仿宋_GB2312" w:hAnsi="仿宋_GB2312" w:eastAsia="仿宋_GB2312" w:cs="仿宋_GB2312"/>
                <w:b w:val="0"/>
                <w:bCs w:val="0"/>
                <w:color w:val="auto"/>
                <w:szCs w:val="21"/>
                <w:lang w:val="zh-CN" w:eastAsia="zh-Hans"/>
              </w:rPr>
              <w:t>3、</w:t>
            </w:r>
            <w:r>
              <w:rPr>
                <w:rFonts w:hint="eastAsia" w:ascii="仿宋_GB2312" w:hAnsi="仿宋_GB2312" w:eastAsia="仿宋_GB2312" w:cs="仿宋_GB2312"/>
                <w:b w:val="0"/>
                <w:bCs w:val="0"/>
                <w:color w:val="auto"/>
                <w:szCs w:val="21"/>
                <w:lang w:val="zh-CN"/>
              </w:rPr>
              <w:t>本项目所属行业：其他未列明行业</w:t>
            </w:r>
          </w:p>
        </w:tc>
        <w:tc>
          <w:tcPr>
            <w:tcW w:w="1134"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49" w:type="dxa"/>
            <w:gridSpan w:val="4"/>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b/>
                <w:color w:val="auto"/>
                <w:szCs w:val="21"/>
                <w:lang w:val="zh-CN"/>
              </w:rPr>
              <w:t>二、技术部分</w:t>
            </w:r>
          </w:p>
        </w:tc>
        <w:tc>
          <w:tcPr>
            <w:tcW w:w="1134"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48"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序号</w:t>
            </w:r>
          </w:p>
        </w:tc>
        <w:tc>
          <w:tcPr>
            <w:tcW w:w="1600"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内容</w:t>
            </w:r>
          </w:p>
        </w:tc>
        <w:tc>
          <w:tcPr>
            <w:tcW w:w="800"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权重</w:t>
            </w:r>
          </w:p>
        </w:tc>
        <w:tc>
          <w:tcPr>
            <w:tcW w:w="5301" w:type="dxa"/>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评分规则</w:t>
            </w:r>
          </w:p>
        </w:tc>
        <w:tc>
          <w:tcPr>
            <w:tcW w:w="1134" w:type="dxa"/>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48" w:type="dxa"/>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1</w:t>
            </w:r>
          </w:p>
        </w:tc>
        <w:tc>
          <w:tcPr>
            <w:tcW w:w="1600" w:type="dxa"/>
            <w:vAlign w:val="center"/>
          </w:tcPr>
          <w:p>
            <w:pPr>
              <w:jc w:val="center"/>
              <w:rPr>
                <w:rFonts w:ascii="仿宋_GB2312" w:hAnsi="仿宋_GB2312" w:eastAsia="仿宋_GB2312" w:cs="仿宋_GB2312"/>
                <w:bCs/>
                <w:color w:val="auto"/>
                <w:szCs w:val="21"/>
                <w:lang w:val="zh-CN"/>
              </w:rPr>
            </w:pPr>
            <w:r>
              <w:rPr>
                <w:rFonts w:hint="eastAsia" w:ascii="仿宋_GB2312" w:hAnsi="仿宋_GB2312" w:eastAsia="仿宋_GB2312" w:cs="仿宋_GB2312"/>
                <w:color w:val="auto"/>
                <w:szCs w:val="21"/>
              </w:rPr>
              <w:t>实施方案</w:t>
            </w:r>
          </w:p>
        </w:tc>
        <w:tc>
          <w:tcPr>
            <w:tcW w:w="800"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w:t>
            </w:r>
          </w:p>
        </w:tc>
        <w:tc>
          <w:tcPr>
            <w:tcW w:w="5301" w:type="dxa"/>
          </w:tcPr>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rPr>
              <w:t>按照投标文件相应情况进行横向比较，分档评分：</w:t>
            </w:r>
            <w:r>
              <w:rPr>
                <w:rFonts w:hint="eastAsia" w:ascii="仿宋_GB2312" w:hAnsi="仿宋_GB2312" w:eastAsia="仿宋_GB2312" w:cs="仿宋_GB2312"/>
                <w:color w:val="auto"/>
                <w:kern w:val="0"/>
                <w:szCs w:val="21"/>
                <w:lang w:bidi="ar"/>
              </w:rPr>
              <w:t xml:space="preserve">考察投标人对本项目需求的理解程度。投标人提供具体实施方案得分，不提供不得分：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1.针对本项目的需求制定工作措施；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2.有具体的工作方法及工作手段；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3.明确了具体的工作流程；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满足以上3点得9分，满足任意2点得 6分，满足任意1点得3分，未满足不得分。在此基础上，专家根据各供应商的具体响应内容按照量化的评审因素指标进一步评审：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1.实施方案分析准确、符合项目要求，具体实施措施科学有效的评审为优得6分，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2.实施方案分析较准确、较符合项目要求，具体实施措施较科学有效评审为良的得3分，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3.实施方案分析基本准确、基本符合项目要求，具体实施措施基本科学有效评审为中的得1分； </w:t>
            </w:r>
          </w:p>
          <w:p>
            <w:pPr>
              <w:pStyle w:val="8"/>
              <w:jc w:val="both"/>
              <w:rPr>
                <w:rFonts w:ascii="仿宋_GB2312" w:hAnsi="仿宋_GB2312" w:eastAsia="仿宋_GB2312" w:cs="仿宋_GB2312"/>
                <w:color w:val="auto"/>
              </w:rPr>
            </w:pPr>
            <w:r>
              <w:rPr>
                <w:rFonts w:hint="eastAsia" w:ascii="仿宋_GB2312" w:hAnsi="仿宋_GB2312" w:eastAsia="仿宋_GB2312" w:cs="仿宋_GB2312"/>
                <w:color w:val="auto"/>
                <w:kern w:val="0"/>
                <w:szCs w:val="21"/>
                <w:lang w:bidi="ar"/>
              </w:rPr>
              <w:t>4.实施方案分析不准确、不符合项目要求，具体实施措施不科学有效评审为差的得 0 分。</w:t>
            </w:r>
          </w:p>
          <w:p>
            <w:pPr>
              <w:pStyle w:val="13"/>
              <w:rPr>
                <w:rFonts w:ascii="仿宋_GB2312" w:hAnsi="仿宋_GB2312" w:eastAsia="仿宋_GB2312" w:cs="仿宋_GB2312"/>
                <w:color w:val="auto"/>
              </w:rPr>
            </w:pPr>
            <w:r>
              <w:rPr>
                <w:rFonts w:hint="eastAsia" w:ascii="仿宋_GB2312" w:hAnsi="仿宋_GB2312" w:eastAsia="仿宋_GB2312" w:cs="仿宋_GB2312"/>
                <w:color w:val="auto"/>
                <w:sz w:val="21"/>
                <w:szCs w:val="21"/>
              </w:rPr>
              <w:t>如果评审为差，要求专家书面说明理由，并记录在档。</w:t>
            </w:r>
          </w:p>
        </w:tc>
        <w:tc>
          <w:tcPr>
            <w:tcW w:w="1134" w:type="dxa"/>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48"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600" w:type="dxa"/>
            <w:vAlign w:val="center"/>
          </w:tcPr>
          <w:p>
            <w:pPr>
              <w:jc w:val="center"/>
              <w:rPr>
                <w:rFonts w:ascii="仿宋_GB2312" w:hAnsi="仿宋_GB2312" w:eastAsia="仿宋_GB2312" w:cs="仿宋_GB2312"/>
                <w:bCs/>
                <w:color w:val="auto"/>
                <w:szCs w:val="21"/>
                <w:lang w:val="zh-CN"/>
              </w:rPr>
            </w:pPr>
            <w:r>
              <w:rPr>
                <w:rFonts w:hint="eastAsia" w:ascii="仿宋_GB2312" w:hAnsi="仿宋_GB2312" w:eastAsia="仿宋_GB2312" w:cs="仿宋_GB2312"/>
                <w:color w:val="auto"/>
                <w:szCs w:val="21"/>
              </w:rPr>
              <w:t>项目重点难点分析、应对措施及相关的合理化建议</w:t>
            </w:r>
          </w:p>
        </w:tc>
        <w:tc>
          <w:tcPr>
            <w:tcW w:w="800"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w:t>
            </w:r>
          </w:p>
        </w:tc>
        <w:tc>
          <w:tcPr>
            <w:tcW w:w="5301" w:type="dxa"/>
          </w:tcPr>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rPr>
              <w:t>按照投标文件相应情况进行横向比较，</w:t>
            </w:r>
            <w:r>
              <w:rPr>
                <w:rFonts w:hint="eastAsia" w:ascii="仿宋_GB2312" w:hAnsi="仿宋_GB2312" w:eastAsia="仿宋_GB2312" w:cs="仿宋_GB2312"/>
                <w:color w:val="auto"/>
                <w:kern w:val="0"/>
                <w:szCs w:val="21"/>
                <w:lang w:bidi="ar"/>
              </w:rPr>
              <w:t xml:space="preserve">考察投标人对本项目需求的理解程度。投标人提供具体实施方案得分，不提供不得分：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1.准确分析项目的重点难点；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2.有具体的工作方法及工作手段；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3.明确了具体的工作流程，并提出合理化建议；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满足以上3点得9分，满足任意2点得 6分，满足任意1点得3分，未满足不得分。在此基础上，专家根据各供应商的具体响应内容按照量化的评审因素指标进一步评审：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1.实施方案分析准确、符合项目要求，具体实施措施科学有效的评审为优得6分，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2.实施方案分析较准确、较符合项目要求，具体实施措施较科学有效评审为良的得3分， </w:t>
            </w:r>
          </w:p>
          <w:p>
            <w:pPr>
              <w:widowControl/>
              <w:wordWrap w:val="0"/>
              <w:jc w:val="both"/>
              <w:textAlignment w:val="top"/>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3.实施方案分析基本准确、基本符合项目要求，具体实施措施基本科学有效评审为中的得1分； </w:t>
            </w:r>
          </w:p>
          <w:p>
            <w:pPr>
              <w:pStyle w:val="8"/>
              <w:jc w:val="both"/>
              <w:rPr>
                <w:rFonts w:ascii="仿宋_GB2312" w:hAnsi="仿宋_GB2312" w:eastAsia="仿宋_GB2312" w:cs="仿宋_GB2312"/>
                <w:color w:val="auto"/>
              </w:rPr>
            </w:pPr>
            <w:r>
              <w:rPr>
                <w:rFonts w:hint="eastAsia" w:ascii="仿宋_GB2312" w:hAnsi="仿宋_GB2312" w:eastAsia="仿宋_GB2312" w:cs="仿宋_GB2312"/>
                <w:color w:val="auto"/>
                <w:kern w:val="0"/>
                <w:szCs w:val="21"/>
                <w:lang w:bidi="ar"/>
              </w:rPr>
              <w:t>4.实施方案分析不准确、不符合项目要求，具体实施措施不科学有效评审为差的得 0 分。</w:t>
            </w:r>
          </w:p>
          <w:p>
            <w:pPr>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如果评审为差，要求专家书面说明理由，并记录在档。</w:t>
            </w:r>
          </w:p>
        </w:tc>
        <w:tc>
          <w:tcPr>
            <w:tcW w:w="1134" w:type="dxa"/>
            <w:vAlign w:val="center"/>
          </w:tcPr>
          <w:p>
            <w:pP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48"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1600" w:type="dxa"/>
            <w:vAlign w:val="center"/>
          </w:tcPr>
          <w:p>
            <w:pPr>
              <w:jc w:val="center"/>
              <w:rPr>
                <w:rFonts w:ascii="仿宋_GB2312" w:hAnsi="仿宋_GB2312" w:eastAsia="仿宋_GB2312" w:cs="仿宋_GB2312"/>
                <w:bCs/>
                <w:color w:val="auto"/>
                <w:szCs w:val="21"/>
                <w:lang w:val="zh-CN"/>
              </w:rPr>
            </w:pPr>
            <w:r>
              <w:rPr>
                <w:rFonts w:hint="eastAsia" w:ascii="仿宋_GB2312" w:hAnsi="仿宋_GB2312" w:eastAsia="仿宋_GB2312" w:cs="仿宋_GB2312"/>
                <w:color w:val="auto"/>
                <w:szCs w:val="21"/>
              </w:rPr>
              <w:t>数据和报告质量保障措施及方案</w:t>
            </w:r>
          </w:p>
        </w:tc>
        <w:tc>
          <w:tcPr>
            <w:tcW w:w="800"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w:t>
            </w:r>
          </w:p>
        </w:tc>
        <w:tc>
          <w:tcPr>
            <w:tcW w:w="5301" w:type="dxa"/>
          </w:tcPr>
          <w:p>
            <w:pPr>
              <w:pStyle w:val="8"/>
              <w:jc w:val="both"/>
              <w:rPr>
                <w:rFonts w:ascii="仿宋_GB2312" w:hAnsi="仿宋_GB2312" w:eastAsia="仿宋_GB2312" w:cs="仿宋_GB2312"/>
                <w:color w:val="auto"/>
              </w:rPr>
            </w:pPr>
            <w:r>
              <w:rPr>
                <w:rFonts w:hint="eastAsia" w:ascii="仿宋_GB2312" w:hAnsi="仿宋_GB2312" w:eastAsia="仿宋_GB2312" w:cs="仿宋_GB2312"/>
                <w:color w:val="auto"/>
              </w:rPr>
              <w:t>按照投标文件响应情况进行横向比较，考察投标人对本项目统计数据质量把控的理解程度。投标人提供具体方案得分，不提供不得分：</w:t>
            </w:r>
          </w:p>
          <w:p>
            <w:pPr>
              <w:pStyle w:val="8"/>
              <w:jc w:val="both"/>
              <w:rPr>
                <w:rFonts w:ascii="仿宋_GB2312" w:hAnsi="仿宋_GB2312" w:eastAsia="仿宋_GB2312" w:cs="仿宋_GB2312"/>
                <w:color w:val="auto"/>
              </w:rPr>
            </w:pPr>
            <w:r>
              <w:rPr>
                <w:rFonts w:hint="eastAsia" w:ascii="仿宋_GB2312" w:hAnsi="仿宋_GB2312" w:eastAsia="仿宋_GB2312" w:cs="仿宋_GB2312"/>
                <w:color w:val="auto"/>
              </w:rPr>
              <w:t>1.列明数据和报告质量保障环节；</w:t>
            </w:r>
          </w:p>
          <w:p>
            <w:pPr>
              <w:pStyle w:val="8"/>
              <w:jc w:val="both"/>
              <w:rPr>
                <w:rFonts w:ascii="仿宋_GB2312" w:hAnsi="仿宋_GB2312" w:eastAsia="仿宋_GB2312" w:cs="仿宋_GB2312"/>
                <w:color w:val="auto"/>
              </w:rPr>
            </w:pPr>
            <w:r>
              <w:rPr>
                <w:rFonts w:hint="eastAsia" w:ascii="仿宋_GB2312" w:hAnsi="仿宋_GB2312" w:eastAsia="仿宋_GB2312" w:cs="仿宋_GB2312"/>
                <w:color w:val="auto"/>
              </w:rPr>
              <w:t>2.明确了具体质量把控流程。</w:t>
            </w:r>
          </w:p>
          <w:p>
            <w:pPr>
              <w:pStyle w:val="8"/>
              <w:jc w:val="both"/>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rPr>
              <w:t>满足以上2点得8分，</w:t>
            </w:r>
            <w:r>
              <w:rPr>
                <w:rFonts w:hint="eastAsia" w:ascii="仿宋_GB2312" w:hAnsi="仿宋_GB2312" w:eastAsia="仿宋_GB2312" w:cs="仿宋_GB2312"/>
                <w:color w:val="auto"/>
                <w:kern w:val="0"/>
                <w:szCs w:val="21"/>
                <w:lang w:bidi="ar"/>
              </w:rPr>
              <w:t>满足任意1点得4分，未满足不得分。在此基础上，专家根据各供应商的具体响应内容按照量化的评审因素指标进一步评审：</w:t>
            </w:r>
          </w:p>
          <w:p>
            <w:pPr>
              <w:pStyle w:val="8"/>
              <w:jc w:val="both"/>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w:t>
            </w:r>
            <w:r>
              <w:rPr>
                <w:rFonts w:hint="eastAsia" w:ascii="仿宋_GB2312" w:hAnsi="仿宋_GB2312" w:eastAsia="仿宋_GB2312" w:cs="仿宋_GB2312"/>
                <w:color w:val="auto"/>
              </w:rPr>
              <w:t>数据和报告质量</w:t>
            </w:r>
            <w:r>
              <w:rPr>
                <w:rFonts w:hint="eastAsia" w:ascii="仿宋_GB2312" w:hAnsi="仿宋_GB2312" w:eastAsia="仿宋_GB2312" w:cs="仿宋_GB2312"/>
                <w:color w:val="auto"/>
                <w:kern w:val="0"/>
                <w:szCs w:val="21"/>
                <w:lang w:bidi="ar"/>
              </w:rPr>
              <w:t xml:space="preserve">把控方案准确、符合项目要求，具体实施措施科学有效的评审为优得7分， </w:t>
            </w:r>
          </w:p>
          <w:p>
            <w:pPr>
              <w:pStyle w:val="8"/>
              <w:jc w:val="both"/>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w:t>
            </w:r>
            <w:r>
              <w:rPr>
                <w:rFonts w:hint="eastAsia" w:ascii="仿宋_GB2312" w:hAnsi="仿宋_GB2312" w:eastAsia="仿宋_GB2312" w:cs="仿宋_GB2312"/>
                <w:color w:val="auto"/>
              </w:rPr>
              <w:t>数据和报告质量</w:t>
            </w:r>
            <w:r>
              <w:rPr>
                <w:rFonts w:hint="eastAsia" w:ascii="仿宋_GB2312" w:hAnsi="仿宋_GB2312" w:eastAsia="仿宋_GB2312" w:cs="仿宋_GB2312"/>
                <w:color w:val="auto"/>
                <w:kern w:val="0"/>
                <w:szCs w:val="21"/>
                <w:lang w:bidi="ar"/>
              </w:rPr>
              <w:t xml:space="preserve">量把控方案较准确、较符合项目要求，具体实施措施较科学有效评审为良的得4分， </w:t>
            </w:r>
          </w:p>
          <w:p>
            <w:pPr>
              <w:pStyle w:val="8"/>
              <w:jc w:val="both"/>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3.</w:t>
            </w:r>
            <w:r>
              <w:rPr>
                <w:rFonts w:hint="eastAsia" w:ascii="仿宋_GB2312" w:hAnsi="仿宋_GB2312" w:eastAsia="仿宋_GB2312" w:cs="仿宋_GB2312"/>
                <w:color w:val="auto"/>
              </w:rPr>
              <w:t>数据和报告质量</w:t>
            </w:r>
            <w:r>
              <w:rPr>
                <w:rFonts w:hint="eastAsia" w:ascii="仿宋_GB2312" w:hAnsi="仿宋_GB2312" w:eastAsia="仿宋_GB2312" w:cs="仿宋_GB2312"/>
                <w:color w:val="auto"/>
                <w:kern w:val="0"/>
                <w:szCs w:val="21"/>
                <w:lang w:bidi="ar"/>
              </w:rPr>
              <w:t xml:space="preserve">把控方案基本准确、基本符合项目要求，具体实施措施基本科学有效评审为中的得2分； </w:t>
            </w:r>
          </w:p>
          <w:p>
            <w:pPr>
              <w:jc w:val="both"/>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bidi="ar"/>
              </w:rPr>
              <w:t>4.</w:t>
            </w:r>
            <w:r>
              <w:rPr>
                <w:rFonts w:hint="eastAsia" w:ascii="仿宋_GB2312" w:hAnsi="仿宋_GB2312" w:eastAsia="仿宋_GB2312" w:cs="仿宋_GB2312"/>
                <w:color w:val="auto"/>
              </w:rPr>
              <w:t>数据和报告质量</w:t>
            </w:r>
            <w:r>
              <w:rPr>
                <w:rFonts w:hint="eastAsia" w:ascii="仿宋_GB2312" w:hAnsi="仿宋_GB2312" w:eastAsia="仿宋_GB2312" w:cs="仿宋_GB2312"/>
                <w:color w:val="auto"/>
                <w:kern w:val="0"/>
                <w:szCs w:val="21"/>
                <w:lang w:bidi="ar"/>
              </w:rPr>
              <w:t>把控方案不准确、不符合项目要求，具体实施措施不科学有效评审为差的得 0 分。</w:t>
            </w:r>
            <w:r>
              <w:rPr>
                <w:rFonts w:hint="eastAsia" w:ascii="仿宋_GB2312" w:hAnsi="仿宋_GB2312" w:eastAsia="仿宋_GB2312" w:cs="仿宋_GB2312"/>
                <w:color w:val="auto"/>
                <w:szCs w:val="21"/>
              </w:rPr>
              <w:t>如果评审为差，要求专家书面说明理由，并记录在档。</w:t>
            </w:r>
          </w:p>
        </w:tc>
        <w:tc>
          <w:tcPr>
            <w:tcW w:w="1134" w:type="dxa"/>
            <w:vAlign w:val="center"/>
          </w:tcPr>
          <w:p>
            <w:pP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349" w:type="dxa"/>
            <w:gridSpan w:val="4"/>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b/>
                <w:bCs/>
                <w:color w:val="auto"/>
                <w:kern w:val="0"/>
                <w:szCs w:val="21"/>
                <w:lang w:val="zh-CN"/>
              </w:rPr>
              <w:t>三、商务部分</w:t>
            </w:r>
          </w:p>
        </w:tc>
        <w:tc>
          <w:tcPr>
            <w:tcW w:w="1134" w:type="dxa"/>
            <w:vAlign w:val="center"/>
          </w:tcPr>
          <w:p>
            <w:pPr>
              <w:autoSpaceDE w:val="0"/>
              <w:autoSpaceDN w:val="0"/>
              <w:adjustRightInd w:val="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48"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序号</w:t>
            </w:r>
          </w:p>
        </w:tc>
        <w:tc>
          <w:tcPr>
            <w:tcW w:w="1600"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内容</w:t>
            </w:r>
          </w:p>
        </w:tc>
        <w:tc>
          <w:tcPr>
            <w:tcW w:w="800" w:type="dxa"/>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权重</w:t>
            </w:r>
          </w:p>
        </w:tc>
        <w:tc>
          <w:tcPr>
            <w:tcW w:w="5301" w:type="dxa"/>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评分规则</w:t>
            </w:r>
          </w:p>
        </w:tc>
        <w:tc>
          <w:tcPr>
            <w:tcW w:w="1134" w:type="dxa"/>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648" w:type="dxa"/>
            <w:tcBorders>
              <w:top w:val="single" w:color="auto" w:sz="4" w:space="0"/>
              <w:bottom w:val="single" w:color="auto" w:sz="4" w:space="0"/>
            </w:tcBorders>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600" w:type="dxa"/>
            <w:tcBorders>
              <w:top w:val="single" w:color="auto" w:sz="4" w:space="0"/>
              <w:bottom w:val="single" w:color="auto" w:sz="4" w:space="0"/>
            </w:tcBorders>
            <w:vAlign w:val="center"/>
          </w:tcPr>
          <w:p>
            <w:pPr>
              <w:jc w:val="center"/>
              <w:rPr>
                <w:rFonts w:ascii="仿宋_GB2312" w:hAnsi="仿宋_GB2312" w:eastAsia="仿宋_GB2312" w:cs="仿宋_GB2312"/>
                <w:bCs/>
                <w:color w:val="auto"/>
                <w:szCs w:val="21"/>
                <w:lang w:val="zh-CN"/>
              </w:rPr>
            </w:pPr>
            <w:r>
              <w:rPr>
                <w:rFonts w:hint="eastAsia" w:ascii="仿宋_GB2312" w:hAnsi="仿宋_GB2312" w:eastAsia="仿宋_GB2312" w:cs="仿宋_GB2312"/>
                <w:color w:val="auto"/>
                <w:szCs w:val="21"/>
              </w:rPr>
              <w:t>投标人同类项目业绩情况</w:t>
            </w:r>
          </w:p>
        </w:tc>
        <w:tc>
          <w:tcPr>
            <w:tcW w:w="800" w:type="dxa"/>
            <w:tcBorders>
              <w:top w:val="single" w:color="auto" w:sz="4" w:space="0"/>
              <w:bottom w:val="single" w:color="auto" w:sz="4" w:space="0"/>
            </w:tcBorders>
          </w:tcPr>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5301" w:type="dxa"/>
            <w:tcBorders>
              <w:top w:val="single" w:color="auto" w:sz="4" w:space="0"/>
              <w:bottom w:val="single" w:color="auto" w:sz="4" w:space="0"/>
            </w:tcBorders>
          </w:tcPr>
          <w:p>
            <w:pPr>
              <w:spacing w:line="240" w:lineRule="auto"/>
              <w:jc w:val="both"/>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评审内容：</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投标人（2018年1月-投标截止日，以合同签订时间为准）协助区级或以上政府部门开展租金项目评估</w:t>
            </w:r>
            <w:r>
              <w:rPr>
                <w:rFonts w:hint="eastAsia" w:ascii="仿宋_GB2312" w:hAnsi="仿宋_GB2312" w:eastAsia="仿宋_GB2312" w:cs="仿宋_GB2312"/>
                <w:color w:val="auto"/>
                <w:szCs w:val="21"/>
                <w:lang w:val="en-US" w:eastAsia="zh-CN"/>
              </w:rPr>
              <w:t>相关</w:t>
            </w:r>
            <w:r>
              <w:rPr>
                <w:rFonts w:hint="eastAsia" w:ascii="仿宋_GB2312" w:hAnsi="仿宋_GB2312" w:eastAsia="仿宋_GB2312" w:cs="仿宋_GB2312"/>
                <w:color w:val="auto"/>
                <w:szCs w:val="21"/>
              </w:rPr>
              <w:t>实施经验的，每提供一个有效业绩得5分，本项最高得分20分。</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须提供</w:t>
            </w:r>
            <w:r>
              <w:rPr>
                <w:rFonts w:hint="eastAsia" w:ascii="仿宋_GB2312" w:hAnsi="仿宋_GB2312" w:eastAsia="仿宋_GB2312" w:cs="仿宋_GB2312"/>
                <w:color w:val="auto"/>
                <w:szCs w:val="21"/>
              </w:rPr>
              <w:t>：</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1.承担的类似项目业绩一览表（包含合作单位、合作时间、项目名称、项目简介等信息）；</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2.服务项目的合同关键页（包括但不限于合同封面、合作内容、合作时间、双方盖章页等）作为得分依据。</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3.同一项目不重复得分。通过合同关键信息无法判断是否得分的，须提供能证明得分的其它证明资料，如项目报告或合同甲方出具的证明文件等。未按要求提供或提供不清晰导致专家无法判断的不得分。</w:t>
            </w:r>
          </w:p>
          <w:p>
            <w:pPr>
              <w:spacing w:line="240" w:lineRule="auto"/>
              <w:jc w:val="both"/>
              <w:rPr>
                <w:rFonts w:ascii="仿宋_GB2312" w:hAnsi="仿宋_GB2312" w:eastAsia="仿宋_GB2312" w:cs="仿宋_GB2312"/>
                <w:color w:val="auto"/>
                <w:lang w:bidi="ar"/>
              </w:rPr>
            </w:pPr>
            <w:r>
              <w:rPr>
                <w:rFonts w:hint="eastAsia" w:ascii="仿宋_GB2312" w:hAnsi="仿宋_GB2312" w:eastAsia="仿宋_GB2312" w:cs="仿宋_GB2312"/>
                <w:color w:val="auto"/>
                <w:szCs w:val="21"/>
              </w:rPr>
              <w:t>4.以上资料均要求提供复印件加盖投标人公章，原件备查。</w:t>
            </w:r>
          </w:p>
        </w:tc>
        <w:tc>
          <w:tcPr>
            <w:tcW w:w="1134" w:type="dxa"/>
            <w:tcBorders>
              <w:top w:val="single" w:color="auto" w:sz="4" w:space="0"/>
              <w:bottom w:val="single" w:color="auto" w:sz="4" w:space="0"/>
            </w:tcBorders>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0" w:hRule="atLeast"/>
          <w:jc w:val="center"/>
        </w:trPr>
        <w:tc>
          <w:tcPr>
            <w:tcW w:w="648" w:type="dxa"/>
            <w:tcBorders>
              <w:top w:val="single" w:color="auto" w:sz="4" w:space="0"/>
            </w:tcBorders>
            <w:vAlign w:val="center"/>
          </w:tcPr>
          <w:p>
            <w:pPr>
              <w:autoSpaceDE w:val="0"/>
              <w:autoSpaceDN w:val="0"/>
              <w:adjustRightInd w:val="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600" w:type="dxa"/>
            <w:tcBorders>
              <w:top w:val="single" w:color="auto" w:sz="4" w:space="0"/>
            </w:tcBorders>
            <w:vAlign w:val="center"/>
          </w:tcPr>
          <w:p>
            <w:pPr>
              <w:jc w:val="center"/>
              <w:rPr>
                <w:rFonts w:ascii="仿宋_GB2312" w:hAnsi="仿宋_GB2312" w:eastAsia="仿宋_GB2312" w:cs="仿宋_GB2312"/>
                <w:bCs/>
                <w:color w:val="auto"/>
                <w:szCs w:val="21"/>
                <w:lang w:val="zh-CN"/>
              </w:rPr>
            </w:pPr>
            <w:r>
              <w:rPr>
                <w:rFonts w:hint="eastAsia" w:ascii="仿宋_GB2312" w:hAnsi="仿宋_GB2312" w:eastAsia="仿宋_GB2312" w:cs="仿宋_GB2312"/>
                <w:color w:val="auto"/>
                <w:szCs w:val="21"/>
              </w:rPr>
              <w:t>拟安排的项目负责人情况（仅限一人）</w:t>
            </w:r>
          </w:p>
        </w:tc>
        <w:tc>
          <w:tcPr>
            <w:tcW w:w="800" w:type="dxa"/>
            <w:tcBorders>
              <w:top w:val="single" w:color="auto" w:sz="4" w:space="0"/>
            </w:tcBorders>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w:t>
            </w:r>
          </w:p>
        </w:tc>
        <w:tc>
          <w:tcPr>
            <w:tcW w:w="5301" w:type="dxa"/>
            <w:tcBorders>
              <w:top w:val="single" w:color="auto" w:sz="4" w:space="0"/>
            </w:tcBorders>
          </w:tcPr>
          <w:p>
            <w:pPr>
              <w:spacing w:line="240" w:lineRule="auto"/>
              <w:jc w:val="both"/>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评审内容：</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1.项目负责人具有房地产估价师资格证书的得5分；</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2.项目负责人具有硕士研究生或以上学历的得5分；</w:t>
            </w:r>
          </w:p>
          <w:p>
            <w:pPr>
              <w:spacing w:line="240" w:lineRule="auto"/>
              <w:jc w:val="both"/>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须提供：</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1.提供项目负责人</w:t>
            </w:r>
            <w:r>
              <w:rPr>
                <w:rFonts w:hint="eastAsia" w:ascii="仿宋_GB2312" w:hAnsi="仿宋_GB2312" w:eastAsia="仿宋_GB2312" w:cs="仿宋_GB2312"/>
                <w:color w:val="auto"/>
                <w:szCs w:val="21"/>
                <w:lang w:val="en-US" w:eastAsia="zh-CN"/>
              </w:rPr>
              <w:t>有效的</w:t>
            </w:r>
            <w:r>
              <w:rPr>
                <w:rFonts w:hint="eastAsia" w:ascii="仿宋_GB2312" w:hAnsi="仿宋_GB2312" w:eastAsia="仿宋_GB2312" w:cs="仿宋_GB2312"/>
                <w:color w:val="auto"/>
                <w:szCs w:val="21"/>
              </w:rPr>
              <w:t>资格证书、学历证书（毕业证书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同时提供学信网查询记录，学信网无法查询的，提供毕业院校或者人社部门等颁发机构或者监管机构等单位出具的证明）复印件。</w:t>
            </w:r>
          </w:p>
          <w:p>
            <w:pPr>
              <w:spacing w:line="240" w:lineRule="auto"/>
              <w:jc w:val="both"/>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2.</w:t>
            </w:r>
            <w:r>
              <w:rPr>
                <w:rFonts w:ascii="仿宋_GB2312" w:hAnsi="仿宋_GB2312" w:eastAsia="仿宋_GB2312" w:cs="仿宋_GB2312"/>
                <w:color w:val="auto"/>
                <w:szCs w:val="21"/>
              </w:rPr>
              <w:t>项目负责人应为投标人自有员工，</w:t>
            </w:r>
            <w:r>
              <w:rPr>
                <w:rFonts w:hint="eastAsia" w:ascii="仿宋_GB2312" w:hAnsi="仿宋_GB2312" w:eastAsia="仿宋_GB2312" w:cs="仿宋_GB2312"/>
                <w:color w:val="auto"/>
                <w:szCs w:val="21"/>
              </w:rPr>
              <w:t>要求提供项目负责人</w:t>
            </w:r>
            <w:r>
              <w:rPr>
                <w:rFonts w:hint="default" w:ascii="仿宋_GB2312" w:hAnsi="仿宋_GB2312" w:eastAsia="仿宋_GB2312" w:cs="仿宋_GB2312"/>
                <w:color w:val="auto"/>
                <w:sz w:val="21"/>
                <w:szCs w:val="21"/>
                <w:lang w:val="zh-CN"/>
              </w:rPr>
              <w:t>近6个月内任意1个月社保证明（网页或窗口打印资料均可）或提供社保承诺书</w:t>
            </w:r>
            <w:r>
              <w:rPr>
                <w:rFonts w:hint="default" w:ascii="仿宋_GB2312" w:hAnsi="仿宋_GB2312" w:eastAsia="仿宋_GB2312" w:cs="仿宋_GB2312"/>
                <w:color w:val="auto"/>
                <w:szCs w:val="21"/>
                <w:lang w:eastAsia="zh-CN"/>
              </w:rPr>
              <w:t>。</w:t>
            </w:r>
          </w:p>
          <w:p>
            <w:pPr>
              <w:spacing w:line="240" w:lineRule="auto"/>
              <w:jc w:val="both"/>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3.以上资料均要求提供复印件加盖投标人公章，原件备查。未按要求提供或提供不清晰导致专家无法判断的不得分。</w:t>
            </w:r>
          </w:p>
        </w:tc>
        <w:tc>
          <w:tcPr>
            <w:tcW w:w="1134" w:type="dxa"/>
            <w:tcBorders>
              <w:top w:val="single" w:color="auto" w:sz="4" w:space="0"/>
            </w:tcBorders>
            <w:vAlign w:val="center"/>
          </w:tcPr>
          <w:p>
            <w:pPr>
              <w:autoSpaceDE w:val="0"/>
              <w:autoSpaceDN w:val="0"/>
              <w:adjustRightInd w:val="0"/>
              <w:jc w:val="center"/>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pPr>
              <w:autoSpaceDE w:val="0"/>
              <w:autoSpaceDN w:val="0"/>
              <w:adjustRightInd w:val="0"/>
              <w:jc w:val="center"/>
              <w:rPr>
                <w:rFonts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rPr>
              <w:t>3</w:t>
            </w:r>
          </w:p>
        </w:tc>
        <w:tc>
          <w:tcPr>
            <w:tcW w:w="1600" w:type="dxa"/>
            <w:vAlign w:val="center"/>
          </w:tcPr>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p>
          <w:p>
            <w:pPr>
              <w:jc w:val="center"/>
              <w:rPr>
                <w:rFonts w:ascii="仿宋_GB2312" w:hAnsi="仿宋_GB2312" w:eastAsia="仿宋_GB2312" w:cs="仿宋_GB2312"/>
                <w:bCs/>
                <w:color w:val="auto"/>
                <w:kern w:val="0"/>
                <w:szCs w:val="21"/>
                <w:lang w:val="zh-CN"/>
              </w:rPr>
            </w:pPr>
            <w:r>
              <w:rPr>
                <w:rFonts w:hint="eastAsia" w:ascii="仿宋_GB2312" w:hAnsi="仿宋_GB2312" w:eastAsia="仿宋_GB2312" w:cs="仿宋_GB2312"/>
                <w:color w:val="auto"/>
                <w:szCs w:val="21"/>
              </w:rPr>
              <w:t>拟安排的项目主要团队成员（主要技术人员）情况（项目负责人除外）</w:t>
            </w:r>
          </w:p>
        </w:tc>
        <w:tc>
          <w:tcPr>
            <w:tcW w:w="800" w:type="dxa"/>
            <w:vAlign w:val="center"/>
          </w:tcPr>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10</w:t>
            </w:r>
          </w:p>
        </w:tc>
        <w:tc>
          <w:tcPr>
            <w:tcW w:w="5301" w:type="dxa"/>
          </w:tcPr>
          <w:p>
            <w:pPr>
              <w:wordWrap w:val="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项目团队成员</w:t>
            </w:r>
            <w:r>
              <w:rPr>
                <w:rFonts w:hint="eastAsia" w:ascii="仿宋_GB2312" w:hAnsi="仿宋_GB2312" w:eastAsia="仿宋_GB2312" w:cs="仿宋_GB2312"/>
                <w:color w:val="auto"/>
                <w:szCs w:val="21"/>
              </w:rPr>
              <w:t>每有一个房地产估价师资格证书的得5分，最高为1</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rPr>
              <w:t>分。</w:t>
            </w:r>
          </w:p>
          <w:p>
            <w:pPr>
              <w:wordWrap w:val="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须提供：</w:t>
            </w:r>
          </w:p>
          <w:p>
            <w:pPr>
              <w:wordWrap w:val="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1.提供</w:t>
            </w:r>
            <w:r>
              <w:rPr>
                <w:rFonts w:hint="eastAsia" w:ascii="仿宋_GB2312" w:hAnsi="仿宋_GB2312" w:eastAsia="仿宋_GB2312" w:cs="仿宋_GB2312"/>
                <w:color w:val="auto"/>
                <w:szCs w:val="21"/>
                <w:lang w:val="en-US" w:eastAsia="zh-CN"/>
              </w:rPr>
              <w:t>有效的</w:t>
            </w:r>
            <w:r>
              <w:rPr>
                <w:rFonts w:hint="eastAsia" w:ascii="仿宋_GB2312" w:hAnsi="仿宋_GB2312" w:eastAsia="仿宋_GB2312" w:cs="仿宋_GB2312"/>
                <w:color w:val="auto"/>
                <w:szCs w:val="21"/>
              </w:rPr>
              <w:t>执业资格证</w:t>
            </w:r>
            <w:r>
              <w:rPr>
                <w:rFonts w:hint="eastAsia" w:ascii="仿宋_GB2312" w:hAnsi="仿宋_GB2312" w:eastAsia="仿宋_GB2312" w:cs="仿宋_GB2312"/>
                <w:color w:val="auto"/>
                <w:szCs w:val="21"/>
                <w:lang w:val="en-US" w:eastAsia="zh-CN"/>
              </w:rPr>
              <w:t>书</w:t>
            </w:r>
            <w:r>
              <w:rPr>
                <w:rFonts w:hint="eastAsia" w:ascii="仿宋_GB2312" w:hAnsi="仿宋_GB2312" w:eastAsia="仿宋_GB2312" w:cs="仿宋_GB2312"/>
                <w:color w:val="auto"/>
                <w:szCs w:val="21"/>
              </w:rPr>
              <w:t>复印件。</w:t>
            </w:r>
          </w:p>
          <w:p>
            <w:pPr>
              <w:wordWrap w:val="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2.团队成员应为投标人自有员工，要求提供</w:t>
            </w:r>
            <w:r>
              <w:rPr>
                <w:rFonts w:hint="default" w:ascii="仿宋_GB2312" w:hAnsi="仿宋_GB2312" w:eastAsia="仿宋_GB2312" w:cs="仿宋_GB2312"/>
                <w:color w:val="auto"/>
                <w:sz w:val="21"/>
                <w:szCs w:val="21"/>
                <w:lang w:val="zh-CN"/>
              </w:rPr>
              <w:t>近6个月内任意1个月社保证明（网页或窗口打印资料均可）或提供社保承诺书</w:t>
            </w:r>
            <w:r>
              <w:rPr>
                <w:rFonts w:hint="eastAsia" w:ascii="仿宋_GB2312" w:hAnsi="仿宋_GB2312" w:eastAsia="仿宋_GB2312" w:cs="仿宋_GB2312"/>
                <w:color w:val="auto"/>
                <w:szCs w:val="21"/>
                <w:lang w:eastAsia="zh-CN"/>
              </w:rPr>
              <w:t>。</w:t>
            </w:r>
          </w:p>
          <w:p>
            <w:pPr>
              <w:wordWrap w:val="0"/>
              <w:jc w:val="left"/>
              <w:rPr>
                <w:rFonts w:ascii="仿宋_GB2312" w:hAnsi="仿宋_GB2312" w:eastAsia="仿宋_GB2312" w:cs="仿宋_GB2312"/>
                <w:color w:val="auto"/>
                <w:kern w:val="0"/>
                <w:szCs w:val="21"/>
                <w:lang w:val="zh-CN"/>
              </w:rPr>
            </w:pPr>
            <w:r>
              <w:rPr>
                <w:rFonts w:hint="eastAsia" w:ascii="仿宋_GB2312" w:hAnsi="仿宋_GB2312" w:eastAsia="仿宋_GB2312" w:cs="仿宋_GB2312"/>
                <w:color w:val="auto"/>
                <w:szCs w:val="21"/>
              </w:rPr>
              <w:t>3.以上资料均要求提供复印件加盖投标人公章，原件备查。未按要求提供或提供不清晰导致专家无法判断的不得分。</w:t>
            </w:r>
          </w:p>
        </w:tc>
        <w:tc>
          <w:tcPr>
            <w:tcW w:w="1134" w:type="dxa"/>
            <w:vAlign w:val="center"/>
          </w:tcPr>
          <w:p>
            <w:pPr>
              <w:autoSpaceDE w:val="0"/>
              <w:autoSpaceDN w:val="0"/>
              <w:adjustRightInd w:val="0"/>
              <w:jc w:val="left"/>
              <w:rPr>
                <w:rFonts w:ascii="仿宋_GB2312" w:hAnsi="仿宋_GB2312" w:eastAsia="仿宋_GB2312" w:cs="仿宋_GB2312"/>
                <w:color w:val="auto"/>
                <w:kern w:val="0"/>
                <w:szCs w:val="21"/>
                <w:lang w:val="zh-CN"/>
              </w:rPr>
            </w:pPr>
            <w:r>
              <w:rPr>
                <w:rFonts w:hint="eastAsia" w:ascii="仿宋_GB2312" w:hAnsi="仿宋_GB2312" w:eastAsia="仿宋_GB2312" w:cs="仿宋_GB2312"/>
                <w:color w:val="auto"/>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9483" w:type="dxa"/>
            <w:gridSpan w:val="5"/>
            <w:vAlign w:val="center"/>
          </w:tcPr>
          <w:p>
            <w:pPr>
              <w:autoSpaceDE w:val="0"/>
              <w:autoSpaceDN w:val="0"/>
              <w:adjustRightInd w:val="0"/>
              <w:jc w:val="center"/>
              <w:rPr>
                <w:rFonts w:hint="eastAsia" w:ascii="仿宋_GB2312" w:hAnsi="仿宋_GB2312" w:eastAsia="仿宋_GB2312" w:cs="仿宋_GB2312"/>
                <w:color w:val="auto"/>
                <w:szCs w:val="21"/>
                <w:lang w:val="zh-CN"/>
              </w:rPr>
            </w:pPr>
            <w:r>
              <w:rPr>
                <w:rFonts w:hint="eastAsia" w:ascii="仿宋_GB2312" w:hAnsi="仿宋_GB2312" w:eastAsia="仿宋_GB2312" w:cs="仿宋_GB2312"/>
                <w:b/>
                <w:bCs/>
                <w:color w:val="auto"/>
                <w:kern w:val="0"/>
                <w:szCs w:val="21"/>
                <w:lang w:val="zh-CN"/>
              </w:rPr>
              <w:t>四、诚信部分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8" w:hRule="atLeast"/>
          <w:jc w:val="center"/>
        </w:trPr>
        <w:tc>
          <w:tcPr>
            <w:tcW w:w="648" w:type="dxa"/>
            <w:vAlign w:val="center"/>
          </w:tcPr>
          <w:p>
            <w:pPr>
              <w:autoSpaceDE w:val="0"/>
              <w:autoSpaceDN w:val="0"/>
              <w:adjustRightInd w:val="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c>
          <w:tcPr>
            <w:tcW w:w="1600" w:type="dxa"/>
            <w:vAlign w:val="center"/>
          </w:tcPr>
          <w:p>
            <w:pPr>
              <w:wordWrap w:val="0"/>
              <w:jc w:val="center"/>
              <w:rPr>
                <w:rFonts w:ascii="仿宋_GB2312" w:hAnsi="仿宋_GB2312" w:eastAsia="仿宋_GB2312" w:cs="仿宋_GB2312"/>
                <w:bCs/>
                <w:color w:val="auto"/>
                <w:kern w:val="0"/>
                <w:szCs w:val="21"/>
                <w:lang w:val="zh-CN"/>
              </w:rPr>
            </w:pPr>
            <w:r>
              <w:rPr>
                <w:rFonts w:hint="eastAsia" w:ascii="仿宋_GB2312" w:hAnsi="仿宋_GB2312" w:eastAsia="仿宋_GB2312" w:cs="仿宋_GB2312"/>
                <w:color w:val="auto"/>
                <w:szCs w:val="21"/>
              </w:rPr>
              <w:t>诚信情况</w:t>
            </w:r>
          </w:p>
        </w:tc>
        <w:tc>
          <w:tcPr>
            <w:tcW w:w="800" w:type="dxa"/>
            <w:vAlign w:val="center"/>
          </w:tcPr>
          <w:p>
            <w:pPr>
              <w:wordWrap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5</w:t>
            </w:r>
          </w:p>
        </w:tc>
        <w:tc>
          <w:tcPr>
            <w:tcW w:w="5301" w:type="dxa"/>
          </w:tcPr>
          <w:p>
            <w:pPr>
              <w:wordWrap w:val="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r>
              <w:rPr>
                <w:rFonts w:hint="eastAsia" w:ascii="仿宋_GB2312" w:hAnsi="仿宋_GB2312" w:eastAsia="仿宋_GB2312" w:cs="仿宋_GB2312"/>
                <w:color w:val="auto"/>
                <w:szCs w:val="21"/>
                <w:lang w:eastAsia="zh-CN"/>
              </w:rPr>
              <w:t>。</w:t>
            </w:r>
          </w:p>
        </w:tc>
        <w:tc>
          <w:tcPr>
            <w:tcW w:w="1134" w:type="dxa"/>
            <w:vAlign w:val="center"/>
          </w:tcPr>
          <w:p>
            <w:pPr>
              <w:autoSpaceDE w:val="0"/>
              <w:autoSpaceDN w:val="0"/>
              <w:adjustRightInd w:val="0"/>
              <w:jc w:val="left"/>
              <w:rPr>
                <w:rFonts w:ascii="仿宋_GB2312" w:hAnsi="仿宋_GB2312" w:eastAsia="仿宋_GB2312" w:cs="仿宋_GB2312"/>
                <w:color w:val="auto"/>
                <w:kern w:val="0"/>
                <w:szCs w:val="21"/>
                <w:lang w:val="zh-CN"/>
              </w:rPr>
            </w:pPr>
            <w:r>
              <w:rPr>
                <w:rFonts w:hint="eastAsia" w:ascii="仿宋_GB2312" w:hAnsi="仿宋_GB2312" w:eastAsia="仿宋_GB2312" w:cs="仿宋_GB2312"/>
                <w:color w:val="auto"/>
                <w:szCs w:val="21"/>
                <w:lang w:val="zh-CN"/>
              </w:rPr>
              <w:t>评委打分</w:t>
            </w:r>
          </w:p>
        </w:tc>
      </w:tr>
    </w:tbl>
    <w:p>
      <w:pPr>
        <w:spacing w:line="400" w:lineRule="exact"/>
        <w:jc w:val="center"/>
        <w:outlineLvl w:val="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br w:type="page"/>
      </w:r>
      <w:r>
        <w:rPr>
          <w:rFonts w:hint="eastAsia" w:ascii="仿宋_GB2312" w:hAnsi="仿宋_GB2312" w:eastAsia="仿宋_GB2312" w:cs="仿宋_GB2312"/>
          <w:b/>
          <w:bCs/>
          <w:color w:val="auto"/>
          <w:sz w:val="28"/>
          <w:szCs w:val="28"/>
        </w:rPr>
        <w:t>第七章 附件（投标文件格式）</w:t>
      </w:r>
    </w:p>
    <w:p>
      <w:pPr>
        <w:keepNext/>
        <w:keepLines/>
        <w:spacing w:before="260" w:after="260" w:line="400" w:lineRule="exact"/>
        <w:jc w:val="center"/>
        <w:outlineLvl w:val="1"/>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1.投标文件密封袋/封面参考</w:t>
      </w:r>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760" w:lineRule="exact"/>
              <w:rPr>
                <w:rFonts w:ascii="仿宋_GB2312" w:hAnsi="仿宋_GB2312" w:eastAsia="仿宋_GB2312" w:cs="仿宋_GB2312"/>
                <w:b/>
                <w:color w:val="auto"/>
                <w:sz w:val="32"/>
              </w:rPr>
            </w:pPr>
          </w:p>
          <w:p>
            <w:pPr>
              <w:pStyle w:val="2"/>
              <w:tabs>
                <w:tab w:val="left" w:pos="562"/>
                <w:tab w:val="left" w:pos="3372"/>
                <w:tab w:val="left" w:pos="3653"/>
              </w:tabs>
              <w:spacing w:line="760" w:lineRule="exact"/>
              <w:jc w:val="center"/>
              <w:rPr>
                <w:rFonts w:ascii="仿宋_GB2312" w:hAnsi="仿宋_GB2312" w:eastAsia="仿宋_GB2312" w:cs="仿宋_GB2312"/>
                <w:b/>
                <w:color w:val="auto"/>
                <w:sz w:val="72"/>
                <w:szCs w:val="72"/>
              </w:rPr>
            </w:pPr>
          </w:p>
          <w:p>
            <w:pPr>
              <w:pStyle w:val="2"/>
              <w:tabs>
                <w:tab w:val="left" w:pos="562"/>
                <w:tab w:val="left" w:pos="3372"/>
                <w:tab w:val="left" w:pos="3653"/>
              </w:tabs>
              <w:spacing w:line="760" w:lineRule="exact"/>
              <w:jc w:val="center"/>
              <w:rPr>
                <w:rFonts w:ascii="仿宋_GB2312" w:hAnsi="仿宋_GB2312" w:eastAsia="仿宋_GB2312" w:cs="仿宋_GB2312"/>
                <w:b/>
                <w:color w:val="auto"/>
                <w:sz w:val="72"/>
                <w:szCs w:val="72"/>
              </w:rPr>
            </w:pPr>
            <w:r>
              <w:rPr>
                <w:rFonts w:hint="eastAsia" w:ascii="仿宋_GB2312" w:hAnsi="仿宋_GB2312" w:eastAsia="仿宋_GB2312" w:cs="仿宋_GB2312"/>
                <w:b/>
                <w:color w:val="auto"/>
                <w:sz w:val="72"/>
                <w:szCs w:val="72"/>
              </w:rPr>
              <w:t>投 标 文 件</w:t>
            </w:r>
          </w:p>
          <w:p>
            <w:pPr>
              <w:pStyle w:val="2"/>
              <w:tabs>
                <w:tab w:val="left" w:pos="562"/>
                <w:tab w:val="left" w:pos="3372"/>
                <w:tab w:val="left" w:pos="3653"/>
              </w:tabs>
              <w:spacing w:line="640" w:lineRule="exact"/>
              <w:jc w:val="center"/>
              <w:rPr>
                <w:rFonts w:ascii="仿宋_GB2312" w:hAnsi="仿宋_GB2312" w:eastAsia="仿宋_GB2312" w:cs="仿宋_GB2312"/>
                <w:b/>
                <w:strike/>
                <w:color w:val="auto"/>
                <w:sz w:val="32"/>
              </w:rPr>
            </w:pPr>
          </w:p>
          <w:p>
            <w:pPr>
              <w:spacing w:after="120" w:line="640" w:lineRule="exact"/>
              <w:ind w:firstLine="3385" w:firstLineChars="651"/>
              <w:textAlignment w:val="baseline"/>
              <w:rPr>
                <w:rFonts w:ascii="仿宋_GB2312" w:hAnsi="仿宋_GB2312" w:eastAsia="仿宋_GB2312" w:cs="仿宋_GB2312"/>
                <w:color w:val="auto"/>
                <w:sz w:val="32"/>
              </w:rPr>
            </w:pPr>
            <w:r>
              <w:rPr>
                <w:rFonts w:hint="eastAsia" w:ascii="仿宋_GB2312" w:hAnsi="仿宋_GB2312" w:eastAsia="仿宋_GB2312" w:cs="仿宋_GB2312"/>
                <w:color w:val="auto"/>
                <w:sz w:val="52"/>
                <w:szCs w:val="52"/>
              </w:rPr>
              <w:t xml:space="preserve">口 </w:t>
            </w:r>
            <w:r>
              <w:rPr>
                <w:rFonts w:hint="eastAsia" w:ascii="仿宋_GB2312" w:hAnsi="仿宋_GB2312" w:eastAsia="仿宋_GB2312" w:cs="仿宋_GB2312"/>
                <w:color w:val="auto"/>
                <w:sz w:val="32"/>
              </w:rPr>
              <w:t>正本</w:t>
            </w:r>
          </w:p>
          <w:p>
            <w:pPr>
              <w:spacing w:after="120" w:line="640" w:lineRule="exact"/>
              <w:ind w:firstLine="3385" w:firstLineChars="651"/>
              <w:textAlignment w:val="baseline"/>
              <w:rPr>
                <w:rFonts w:ascii="仿宋_GB2312" w:hAnsi="仿宋_GB2312" w:eastAsia="仿宋_GB2312" w:cs="仿宋_GB2312"/>
                <w:color w:val="auto"/>
                <w:sz w:val="32"/>
              </w:rPr>
            </w:pPr>
            <w:r>
              <w:rPr>
                <w:rFonts w:hint="eastAsia" w:ascii="仿宋_GB2312" w:hAnsi="仿宋_GB2312" w:eastAsia="仿宋_GB2312" w:cs="仿宋_GB2312"/>
                <w:color w:val="auto"/>
                <w:sz w:val="52"/>
                <w:szCs w:val="52"/>
              </w:rPr>
              <w:t xml:space="preserve">口 </w:t>
            </w:r>
            <w:r>
              <w:rPr>
                <w:rFonts w:hint="eastAsia" w:ascii="仿宋_GB2312" w:hAnsi="仿宋_GB2312" w:eastAsia="仿宋_GB2312" w:cs="仿宋_GB2312"/>
                <w:color w:val="auto"/>
                <w:sz w:val="32"/>
              </w:rPr>
              <w:t>副本</w:t>
            </w:r>
          </w:p>
          <w:p>
            <w:pPr>
              <w:pStyle w:val="2"/>
              <w:tabs>
                <w:tab w:val="left" w:pos="562"/>
                <w:tab w:val="left" w:pos="3372"/>
                <w:tab w:val="left" w:pos="3653"/>
              </w:tabs>
              <w:spacing w:line="640" w:lineRule="exact"/>
              <w:rPr>
                <w:rFonts w:ascii="仿宋_GB2312" w:hAnsi="仿宋_GB2312" w:eastAsia="仿宋_GB2312" w:cs="仿宋_GB2312"/>
                <w:b/>
                <w:color w:val="auto"/>
                <w:sz w:val="32"/>
              </w:rPr>
            </w:pPr>
          </w:p>
          <w:p>
            <w:pPr>
              <w:spacing w:line="640" w:lineRule="exact"/>
              <w:rPr>
                <w:rFonts w:ascii="仿宋_GB2312" w:hAnsi="仿宋_GB2312" w:eastAsia="仿宋_GB2312" w:cs="仿宋_GB2312"/>
                <w:color w:val="auto"/>
              </w:rPr>
            </w:pPr>
          </w:p>
          <w:p>
            <w:pPr>
              <w:pStyle w:val="2"/>
              <w:tabs>
                <w:tab w:val="left" w:pos="562"/>
                <w:tab w:val="left" w:pos="3372"/>
                <w:tab w:val="left" w:pos="3653"/>
              </w:tabs>
              <w:spacing w:line="640" w:lineRule="exact"/>
              <w:ind w:firstLine="900" w:firstLineChars="320"/>
              <w:rPr>
                <w:rFonts w:ascii="仿宋_GB2312" w:hAnsi="仿宋_GB2312" w:eastAsia="仿宋_GB2312" w:cs="仿宋_GB2312"/>
                <w:b/>
                <w:color w:val="auto"/>
                <w:sz w:val="28"/>
                <w:szCs w:val="28"/>
              </w:rPr>
            </w:pPr>
          </w:p>
          <w:p>
            <w:pPr>
              <w:pStyle w:val="2"/>
              <w:tabs>
                <w:tab w:val="left" w:pos="562"/>
                <w:tab w:val="left" w:pos="3372"/>
                <w:tab w:val="left" w:pos="3653"/>
              </w:tabs>
              <w:spacing w:line="400" w:lineRule="exact"/>
              <w:ind w:firstLine="900" w:firstLineChars="32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项目编号：</w:t>
            </w:r>
            <w:r>
              <w:rPr>
                <w:rFonts w:hint="eastAsia" w:ascii="仿宋_GB2312" w:hAnsi="仿宋_GB2312" w:eastAsia="仿宋_GB2312" w:cs="仿宋_GB2312"/>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项目名称：</w:t>
            </w:r>
            <w:r>
              <w:rPr>
                <w:rFonts w:hint="eastAsia" w:ascii="仿宋_GB2312" w:hAnsi="仿宋_GB2312" w:eastAsia="仿宋_GB2312" w:cs="仿宋_GB2312"/>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投标人名称：</w:t>
            </w:r>
            <w:r>
              <w:rPr>
                <w:rFonts w:hint="eastAsia" w:ascii="仿宋_GB2312" w:hAnsi="仿宋_GB2312" w:eastAsia="仿宋_GB2312" w:cs="仿宋_GB2312"/>
                <w:b/>
                <w:bCs/>
                <w:color w:val="auto"/>
                <w:sz w:val="28"/>
                <w:szCs w:val="28"/>
                <w:u w:val="single"/>
              </w:rPr>
              <w:t xml:space="preserve">                     （加盖公章）</w:t>
            </w:r>
          </w:p>
          <w:p>
            <w:pPr>
              <w:pStyle w:val="2"/>
              <w:tabs>
                <w:tab w:val="left" w:pos="562"/>
                <w:tab w:val="left" w:pos="3372"/>
                <w:tab w:val="left" w:pos="3653"/>
              </w:tabs>
              <w:spacing w:line="400" w:lineRule="exact"/>
              <w:ind w:firstLine="900" w:firstLineChars="320"/>
              <w:rPr>
                <w:rFonts w:ascii="仿宋_GB2312" w:hAnsi="仿宋_GB2312" w:eastAsia="仿宋_GB2312" w:cs="仿宋_GB2312"/>
                <w:b/>
                <w:bCs/>
                <w:color w:val="auto"/>
                <w:sz w:val="28"/>
                <w:szCs w:val="28"/>
                <w:u w:val="single"/>
              </w:rPr>
            </w:pPr>
            <w:r>
              <w:rPr>
                <w:rFonts w:hint="eastAsia" w:ascii="仿宋_GB2312" w:hAnsi="仿宋_GB2312" w:eastAsia="仿宋_GB2312" w:cs="仿宋_GB2312"/>
                <w:b/>
                <w:color w:val="auto"/>
                <w:sz w:val="28"/>
                <w:szCs w:val="28"/>
              </w:rPr>
              <w:t>投标人地址：</w:t>
            </w:r>
            <w:r>
              <w:rPr>
                <w:rFonts w:hint="eastAsia" w:ascii="仿宋_GB2312" w:hAnsi="仿宋_GB2312" w:eastAsia="仿宋_GB2312" w:cs="仿宋_GB2312"/>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联系电话：</w:t>
            </w:r>
            <w:r>
              <w:rPr>
                <w:rFonts w:hint="eastAsia" w:ascii="仿宋_GB2312" w:hAnsi="仿宋_GB2312" w:eastAsia="仿宋_GB2312" w:cs="仿宋_GB2312"/>
                <w:b/>
                <w:bCs/>
                <w:color w:val="auto"/>
                <w:sz w:val="28"/>
                <w:szCs w:val="28"/>
                <w:u w:val="single"/>
              </w:rPr>
              <w:t xml:space="preserve">                                   </w:t>
            </w:r>
          </w:p>
          <w:p>
            <w:pPr>
              <w:spacing w:line="400" w:lineRule="exact"/>
              <w:jc w:val="center"/>
              <w:rPr>
                <w:rFonts w:ascii="仿宋_GB2312" w:hAnsi="仿宋_GB2312" w:eastAsia="仿宋_GB2312" w:cs="仿宋_GB2312"/>
                <w:b/>
                <w:bCs/>
                <w:color w:val="auto"/>
                <w:sz w:val="28"/>
                <w:szCs w:val="28"/>
              </w:rPr>
            </w:pPr>
          </w:p>
          <w:p>
            <w:pPr>
              <w:spacing w:line="400" w:lineRule="exact"/>
              <w:jc w:val="center"/>
              <w:rPr>
                <w:rFonts w:ascii="仿宋_GB2312" w:hAnsi="仿宋_GB2312" w:eastAsia="仿宋_GB2312" w:cs="仿宋_GB2312"/>
                <w:b/>
                <w:bCs/>
                <w:color w:val="auto"/>
                <w:sz w:val="28"/>
                <w:szCs w:val="28"/>
              </w:rPr>
            </w:pPr>
          </w:p>
          <w:p>
            <w:pPr>
              <w:spacing w:line="400" w:lineRule="exact"/>
              <w:jc w:val="center"/>
              <w:rPr>
                <w:rFonts w:ascii="仿宋_GB2312" w:hAnsi="仿宋_GB2312" w:eastAsia="仿宋_GB2312" w:cs="仿宋_GB2312"/>
                <w:b/>
                <w:color w:val="auto"/>
                <w:sz w:val="32"/>
              </w:rPr>
            </w:pPr>
          </w:p>
        </w:tc>
      </w:tr>
    </w:tbl>
    <w:p>
      <w:pPr>
        <w:spacing w:line="400" w:lineRule="exact"/>
        <w:jc w:val="center"/>
        <w:rPr>
          <w:rFonts w:ascii="仿宋_GB2312" w:hAnsi="仿宋_GB2312" w:eastAsia="仿宋_GB2312" w:cs="仿宋_GB2312"/>
          <w:b/>
          <w:bCs/>
          <w:color w:val="auto"/>
          <w:sz w:val="24"/>
        </w:rPr>
      </w:pPr>
    </w:p>
    <w:p>
      <w:pPr>
        <w:jc w:val="left"/>
        <w:rPr>
          <w:rFonts w:ascii="仿宋_GB2312" w:hAnsi="仿宋_GB2312" w:eastAsia="仿宋_GB2312" w:cs="仿宋_GB2312"/>
          <w:color w:val="auto"/>
        </w:rPr>
      </w:pPr>
    </w:p>
    <w:p>
      <w:pPr>
        <w:jc w:val="left"/>
        <w:rPr>
          <w:rFonts w:ascii="仿宋_GB2312" w:hAnsi="仿宋_GB2312" w:eastAsia="仿宋_GB2312" w:cs="仿宋_GB2312"/>
          <w:color w:val="auto"/>
        </w:rPr>
      </w:pPr>
    </w:p>
    <w:p>
      <w:pPr>
        <w:spacing w:before="100" w:beforeAutospacing="1" w:after="100" w:afterAutospacing="1" w:line="40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br w:type="page"/>
      </w:r>
      <w:r>
        <w:rPr>
          <w:rFonts w:hint="eastAsia" w:ascii="仿宋_GB2312" w:hAnsi="仿宋_GB2312" w:eastAsia="仿宋_GB2312" w:cs="仿宋_GB2312"/>
          <w:b/>
          <w:color w:val="auto"/>
          <w:sz w:val="24"/>
        </w:rPr>
        <w:t>2.投标文件—目录</w:t>
      </w:r>
    </w:p>
    <w:p>
      <w:pPr>
        <w:spacing w:line="400" w:lineRule="exact"/>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（一）</w:t>
      </w:r>
      <w:r>
        <w:rPr>
          <w:rFonts w:hint="eastAsia" w:ascii="仿宋_GB2312" w:hAnsi="仿宋_GB2312" w:eastAsia="仿宋_GB2312" w:cs="仿宋_GB2312"/>
          <w:b/>
          <w:bCs/>
          <w:color w:val="auto"/>
          <w:sz w:val="24"/>
          <w:lang w:val="zh-CN"/>
        </w:rPr>
        <w:t>价格部分</w:t>
      </w:r>
    </w:p>
    <w:p>
      <w:pPr>
        <w:numPr>
          <w:ilvl w:val="-1"/>
          <w:numId w:val="0"/>
        </w:numPr>
        <w:tabs>
          <w:tab w:val="left" w:pos="640"/>
        </w:tabs>
        <w:spacing w:line="400" w:lineRule="exact"/>
        <w:ind w:left="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投标一览表；</w:t>
      </w:r>
    </w:p>
    <w:p>
      <w:pPr>
        <w:numPr>
          <w:ilvl w:val="-1"/>
          <w:numId w:val="0"/>
        </w:numPr>
        <w:tabs>
          <w:tab w:val="left" w:pos="640"/>
        </w:tabs>
        <w:spacing w:line="400" w:lineRule="exact"/>
        <w:ind w:left="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分类报价明细表；</w:t>
      </w:r>
    </w:p>
    <w:p>
      <w:pPr>
        <w:numPr>
          <w:ilvl w:val="0"/>
          <w:numId w:val="0"/>
        </w:numPr>
        <w:tabs>
          <w:tab w:val="left" w:pos="640"/>
        </w:tabs>
        <w:spacing w:line="400" w:lineRule="exact"/>
        <w:ind w:leftChars="0" w:firstLine="480" w:firstLineChars="200"/>
        <w:rPr>
          <w:color w:val="auto"/>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《中小企业声明函》或《残疾人福利性单位声明函》或《监狱企业声明函》（参与价格扣减的投标人应提供）；</w:t>
      </w:r>
    </w:p>
    <w:p>
      <w:pPr>
        <w:spacing w:line="400" w:lineRule="exact"/>
        <w:ind w:firstLine="482" w:firstLineChars="200"/>
        <w:rPr>
          <w:rFonts w:ascii="仿宋_GB2312" w:hAnsi="仿宋_GB2312" w:eastAsia="仿宋_GB2312" w:cs="仿宋_GB2312"/>
          <w:b/>
          <w:bCs/>
          <w:color w:val="auto"/>
          <w:sz w:val="24"/>
          <w:u w:val="wave"/>
        </w:rPr>
      </w:pPr>
      <w:r>
        <w:rPr>
          <w:rFonts w:hint="eastAsia" w:ascii="仿宋_GB2312" w:hAnsi="仿宋_GB2312" w:eastAsia="仿宋_GB2312" w:cs="仿宋_GB2312"/>
          <w:b/>
          <w:bCs/>
          <w:color w:val="auto"/>
          <w:sz w:val="24"/>
        </w:rPr>
        <w:t>（二）商务部分</w:t>
      </w:r>
    </w:p>
    <w:p>
      <w:pPr>
        <w:numPr>
          <w:ilvl w:val="-1"/>
          <w:numId w:val="0"/>
        </w:numPr>
        <w:tabs>
          <w:tab w:val="left" w:pos="640"/>
          <w:tab w:val="left" w:pos="1260"/>
          <w:tab w:val="left" w:pos="1418"/>
        </w:tabs>
        <w:spacing w:line="400" w:lineRule="exact"/>
        <w:ind w:left="0"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投标</w:t>
      </w:r>
      <w:r>
        <w:rPr>
          <w:rFonts w:hint="eastAsia" w:ascii="仿宋_GB2312" w:hAnsi="仿宋_GB2312" w:eastAsia="仿宋_GB2312" w:cs="仿宋_GB2312"/>
          <w:color w:val="auto"/>
          <w:sz w:val="24"/>
          <w:lang w:eastAsia="zh-CN"/>
        </w:rPr>
        <w:t>响应书</w:t>
      </w:r>
      <w:r>
        <w:rPr>
          <w:rFonts w:hint="eastAsia" w:ascii="仿宋_GB2312" w:hAnsi="仿宋_GB2312" w:eastAsia="仿宋_GB2312" w:cs="仿宋_GB2312"/>
          <w:color w:val="auto"/>
          <w:sz w:val="24"/>
        </w:rPr>
        <w:t>；</w:t>
      </w:r>
    </w:p>
    <w:p>
      <w:pPr>
        <w:numPr>
          <w:ilvl w:val="-1"/>
          <w:numId w:val="0"/>
        </w:numPr>
        <w:tabs>
          <w:tab w:val="left" w:pos="640"/>
          <w:tab w:val="left" w:pos="1260"/>
          <w:tab w:val="left" w:pos="1418"/>
        </w:tabs>
        <w:spacing w:line="400" w:lineRule="exact"/>
        <w:ind w:left="0" w:firstLine="480" w:firstLineChars="200"/>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1"/>
          <w:numId w:val="0"/>
        </w:numPr>
        <w:tabs>
          <w:tab w:val="left" w:pos="640"/>
          <w:tab w:val="left" w:pos="1260"/>
          <w:tab w:val="left" w:pos="1418"/>
        </w:tabs>
        <w:spacing w:line="400" w:lineRule="exact"/>
        <w:ind w:left="0" w:firstLine="480" w:firstLine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lang w:val="fr-CH"/>
        </w:rPr>
        <w:t>政府采购投标及履约承诺函；</w:t>
      </w:r>
    </w:p>
    <w:p>
      <w:pPr>
        <w:numPr>
          <w:ilvl w:val="-1"/>
          <w:numId w:val="0"/>
        </w:numPr>
        <w:tabs>
          <w:tab w:val="left" w:pos="640"/>
          <w:tab w:val="left" w:pos="1260"/>
          <w:tab w:val="left" w:pos="1418"/>
        </w:tabs>
        <w:spacing w:line="400" w:lineRule="exact"/>
        <w:ind w:left="0" w:firstLine="480" w:firstLine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val="fr-CH"/>
        </w:rPr>
        <w:t>政府采购违法行为风险知悉确认书；</w:t>
      </w:r>
    </w:p>
    <w:p>
      <w:pPr>
        <w:numPr>
          <w:ilvl w:val="-1"/>
          <w:numId w:val="0"/>
        </w:numPr>
        <w:tabs>
          <w:tab w:val="left" w:pos="640"/>
          <w:tab w:val="left" w:pos="1260"/>
          <w:tab w:val="left" w:pos="1418"/>
        </w:tabs>
        <w:spacing w:line="400" w:lineRule="exact"/>
        <w:ind w:left="0" w:firstLine="480" w:firstLineChars="200"/>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val="fr-CH"/>
        </w:rPr>
        <w:t>关于资格的声明函；</w:t>
      </w:r>
    </w:p>
    <w:p>
      <w:pPr>
        <w:numPr>
          <w:ilvl w:val="-1"/>
          <w:numId w:val="0"/>
        </w:numPr>
        <w:tabs>
          <w:tab w:val="left" w:pos="640"/>
          <w:tab w:val="left" w:pos="1260"/>
          <w:tab w:val="left" w:pos="1418"/>
        </w:tabs>
        <w:spacing w:line="400" w:lineRule="exact"/>
        <w:ind w:left="0" w:firstLine="480" w:firstLineChars="200"/>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lang w:val="fr-CH"/>
        </w:rPr>
        <w:t>法人代表证明书及身份证明；</w:t>
      </w:r>
    </w:p>
    <w:p>
      <w:pPr>
        <w:numPr>
          <w:ilvl w:val="-1"/>
          <w:numId w:val="0"/>
        </w:numPr>
        <w:tabs>
          <w:tab w:val="left" w:pos="640"/>
          <w:tab w:val="left" w:pos="1260"/>
          <w:tab w:val="left" w:pos="1418"/>
        </w:tabs>
        <w:spacing w:line="400" w:lineRule="exact"/>
        <w:ind w:left="0" w:firstLine="480" w:firstLineChars="200"/>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lang w:val="fr-CH"/>
        </w:rPr>
        <w:t>法定代表人授权书及身份证明；</w:t>
      </w:r>
    </w:p>
    <w:p>
      <w:pPr>
        <w:numPr>
          <w:ilvl w:val="-1"/>
          <w:numId w:val="0"/>
        </w:numPr>
        <w:tabs>
          <w:tab w:val="left" w:pos="640"/>
          <w:tab w:val="left" w:pos="1260"/>
          <w:tab w:val="left" w:pos="1418"/>
        </w:tabs>
        <w:spacing w:line="400" w:lineRule="exact"/>
        <w:ind w:left="0" w:firstLine="480" w:firstLineChars="200"/>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lang w:val="fr-CH"/>
        </w:rPr>
        <w:t>招标代理服务费承诺书；</w:t>
      </w:r>
    </w:p>
    <w:p>
      <w:pPr>
        <w:numPr>
          <w:ilvl w:val="-1"/>
          <w:numId w:val="0"/>
        </w:numPr>
        <w:tabs>
          <w:tab w:val="left" w:pos="640"/>
          <w:tab w:val="left" w:pos="1260"/>
          <w:tab w:val="left" w:pos="1418"/>
        </w:tabs>
        <w:spacing w:line="400" w:lineRule="exact"/>
        <w:ind w:left="0" w:firstLine="480" w:firstLineChars="200"/>
        <w:rPr>
          <w:rFonts w:ascii="仿宋_GB2312" w:hAnsi="仿宋_GB2312" w:eastAsia="仿宋_GB2312" w:cs="仿宋_GB2312"/>
          <w:color w:val="auto"/>
          <w:sz w:val="24"/>
          <w:highlight w:val="none"/>
          <w:lang w:val="fr-CH"/>
        </w:rPr>
      </w:pPr>
      <w:r>
        <w:rPr>
          <w:rFonts w:hint="eastAsia" w:ascii="仿宋_GB2312" w:hAnsi="仿宋_GB2312" w:eastAsia="仿宋_GB2312" w:cs="仿宋_GB2312"/>
          <w:color w:val="auto"/>
          <w:sz w:val="24"/>
          <w:highlight w:val="none"/>
          <w:lang w:val="en-US" w:eastAsia="zh-CN"/>
        </w:rPr>
        <w:t>9.投标人同类项目业绩情况</w:t>
      </w:r>
      <w:r>
        <w:rPr>
          <w:rFonts w:hint="eastAsia" w:ascii="仿宋_GB2312" w:hAnsi="仿宋_GB2312" w:eastAsia="仿宋_GB2312" w:cs="仿宋_GB2312"/>
          <w:color w:val="auto"/>
          <w:sz w:val="24"/>
          <w:highlight w:val="none"/>
          <w:lang w:val="fr-CH"/>
        </w:rPr>
        <w:t>；</w:t>
      </w:r>
    </w:p>
    <w:p>
      <w:pPr>
        <w:numPr>
          <w:ilvl w:val="-1"/>
          <w:numId w:val="0"/>
        </w:numPr>
        <w:tabs>
          <w:tab w:val="left" w:pos="640"/>
          <w:tab w:val="left" w:pos="1260"/>
          <w:tab w:val="left" w:pos="1418"/>
        </w:tabs>
        <w:spacing w:line="400" w:lineRule="exact"/>
        <w:ind w:left="0" w:firstLine="480" w:firstLineChars="200"/>
        <w:rPr>
          <w:rFonts w:ascii="仿宋_GB2312" w:hAnsi="仿宋_GB2312" w:eastAsia="仿宋_GB2312" w:cs="仿宋_GB2312"/>
          <w:color w:val="auto"/>
          <w:sz w:val="24"/>
          <w:highlight w:val="none"/>
          <w:lang w:val="fr-CH"/>
        </w:rPr>
      </w:pPr>
      <w:r>
        <w:rPr>
          <w:rFonts w:hint="eastAsia" w:ascii="仿宋_GB2312" w:hAnsi="仿宋_GB2312" w:eastAsia="仿宋_GB2312" w:cs="仿宋_GB2312"/>
          <w:color w:val="auto"/>
          <w:sz w:val="24"/>
          <w:highlight w:val="none"/>
          <w:lang w:val="en-US" w:eastAsia="zh-CN"/>
        </w:rPr>
        <w:t>10.拟安排的项目负责人情况（仅限一人）</w:t>
      </w:r>
      <w:r>
        <w:rPr>
          <w:rFonts w:hint="eastAsia" w:ascii="仿宋_GB2312" w:hAnsi="仿宋_GB2312" w:eastAsia="仿宋_GB2312" w:cs="仿宋_GB2312"/>
          <w:color w:val="auto"/>
          <w:sz w:val="24"/>
          <w:highlight w:val="none"/>
          <w:lang w:val="fr-CH"/>
        </w:rPr>
        <w:t>；</w:t>
      </w:r>
    </w:p>
    <w:p>
      <w:pPr>
        <w:numPr>
          <w:ilvl w:val="-1"/>
          <w:numId w:val="0"/>
        </w:numPr>
        <w:tabs>
          <w:tab w:val="left" w:pos="640"/>
          <w:tab w:val="left" w:pos="840"/>
          <w:tab w:val="left" w:pos="1260"/>
          <w:tab w:val="left" w:pos="1418"/>
        </w:tabs>
        <w:spacing w:line="400" w:lineRule="exact"/>
        <w:ind w:left="0" w:firstLine="480" w:firstLineChars="200"/>
        <w:rPr>
          <w:rFonts w:ascii="仿宋_GB2312" w:hAnsi="仿宋_GB2312" w:eastAsia="仿宋_GB2312" w:cs="仿宋_GB2312"/>
          <w:color w:val="auto"/>
          <w:sz w:val="24"/>
          <w:highlight w:val="none"/>
          <w:lang w:val="fr-CH"/>
        </w:rPr>
      </w:pPr>
      <w:r>
        <w:rPr>
          <w:rFonts w:hint="eastAsia" w:ascii="仿宋_GB2312" w:hAnsi="仿宋_GB2312" w:eastAsia="仿宋_GB2312" w:cs="仿宋_GB2312"/>
          <w:color w:val="auto"/>
          <w:sz w:val="24"/>
          <w:highlight w:val="none"/>
          <w:lang w:val="en-US" w:eastAsia="zh-CN"/>
        </w:rPr>
        <w:t>11.拟安排的项目主要团队成员（主要技术人员）情况（项目负责人除外）</w:t>
      </w:r>
      <w:r>
        <w:rPr>
          <w:rFonts w:hint="eastAsia" w:ascii="仿宋_GB2312" w:hAnsi="仿宋_GB2312" w:eastAsia="仿宋_GB2312" w:cs="仿宋_GB2312"/>
          <w:color w:val="auto"/>
          <w:sz w:val="24"/>
          <w:highlight w:val="none"/>
          <w:lang w:val="fr-CH"/>
        </w:rPr>
        <w:t>；</w:t>
      </w:r>
    </w:p>
    <w:p>
      <w:pPr>
        <w:pStyle w:val="2"/>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rPr>
        <w:t>投标人认为有必要提供的其他材料</w:t>
      </w:r>
      <w:r>
        <w:rPr>
          <w:rFonts w:hint="eastAsia" w:ascii="仿宋_GB2312" w:hAnsi="仿宋_GB2312" w:eastAsia="仿宋_GB2312" w:cs="仿宋_GB2312"/>
          <w:color w:val="auto"/>
          <w:sz w:val="24"/>
        </w:rPr>
        <w:t>。</w:t>
      </w:r>
    </w:p>
    <w:p>
      <w:pPr>
        <w:spacing w:line="400" w:lineRule="exact"/>
        <w:ind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（三）技术部分</w:t>
      </w:r>
    </w:p>
    <w:p>
      <w:pPr>
        <w:numPr>
          <w:ilvl w:val="-1"/>
          <w:numId w:val="0"/>
        </w:numPr>
        <w:spacing w:line="400" w:lineRule="exact"/>
        <w:ind w:left="0" w:right="0" w:rightChars="0" w:firstLine="482" w:firstLineChars="200"/>
        <w:rPr>
          <w:rFonts w:hint="eastAsia" w:ascii="仿宋_GB2312" w:hAnsi="仿宋_GB2312" w:eastAsia="仿宋_GB2312" w:cs="仿宋_GB2312"/>
          <w:color w:val="auto"/>
          <w:sz w:val="24"/>
          <w:lang w:val="fr-CH"/>
        </w:rPr>
      </w:pPr>
      <w:r>
        <w:rPr>
          <w:rFonts w:hint="eastAsia" w:ascii="仿宋_GB2312" w:hAnsi="仿宋_GB2312" w:eastAsia="仿宋_GB2312" w:cs="仿宋_GB2312"/>
          <w:b/>
          <w:bCs/>
          <w:color w:val="auto"/>
          <w:sz w:val="24"/>
          <w:lang w:val="en-US" w:eastAsia="zh-CN"/>
        </w:rPr>
        <w:t>1.</w:t>
      </w:r>
      <w:r>
        <w:rPr>
          <w:rFonts w:hint="eastAsia" w:ascii="仿宋_GB2312" w:hAnsi="仿宋_GB2312" w:eastAsia="仿宋_GB2312" w:cs="仿宋_GB2312"/>
          <w:color w:val="auto"/>
          <w:sz w:val="24"/>
          <w:lang w:val="fr-CH"/>
        </w:rPr>
        <w:t>用户需求响应表；</w:t>
      </w:r>
    </w:p>
    <w:p>
      <w:pPr>
        <w:numPr>
          <w:ilvl w:val="-1"/>
          <w:numId w:val="0"/>
        </w:numPr>
        <w:spacing w:line="400" w:lineRule="exact"/>
        <w:ind w:left="0" w:right="0" w:rightChars="0" w:firstLine="480" w:firstLine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val="fr-CH"/>
        </w:rPr>
        <w:t>【</w:t>
      </w:r>
      <w:r>
        <w:rPr>
          <w:rFonts w:hint="eastAsia" w:ascii="仿宋_GB2312" w:hAnsi="仿宋_GB2312" w:eastAsia="仿宋_GB2312" w:cs="仿宋_GB2312"/>
          <w:color w:val="auto"/>
          <w:sz w:val="24"/>
        </w:rPr>
        <w:t>技术部分评审项的其他内容，根据项目情况自行添加</w:t>
      </w:r>
      <w:r>
        <w:rPr>
          <w:rFonts w:hint="eastAsia" w:ascii="仿宋_GB2312" w:hAnsi="仿宋_GB2312" w:eastAsia="仿宋_GB2312" w:cs="仿宋_GB2312"/>
          <w:color w:val="auto"/>
          <w:sz w:val="24"/>
          <w:lang w:val="fr-CH"/>
        </w:rPr>
        <w:t>】；</w:t>
      </w:r>
    </w:p>
    <w:p>
      <w:pPr>
        <w:numPr>
          <w:ilvl w:val="-1"/>
          <w:numId w:val="0"/>
        </w:numPr>
        <w:spacing w:line="400" w:lineRule="exact"/>
        <w:ind w:left="0" w:right="0" w:rightChars="0" w:firstLine="480" w:firstLineChars="200"/>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lang w:val="fr-CH"/>
        </w:rPr>
        <w:t>投标人认为有必要提供的其他材料。</w:t>
      </w:r>
    </w:p>
    <w:p>
      <w:pPr>
        <w:spacing w:line="400" w:lineRule="exact"/>
        <w:outlineLvl w:val="2"/>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br w:type="page"/>
      </w:r>
      <w:r>
        <w:rPr>
          <w:rFonts w:hint="eastAsia" w:ascii="仿宋_GB2312" w:hAnsi="仿宋_GB2312" w:eastAsia="仿宋_GB2312" w:cs="仿宋_GB2312"/>
          <w:b/>
          <w:bCs/>
          <w:color w:val="auto"/>
          <w:sz w:val="24"/>
        </w:rPr>
        <w:t>（一）</w:t>
      </w:r>
      <w:r>
        <w:rPr>
          <w:rFonts w:hint="eastAsia" w:ascii="仿宋_GB2312" w:hAnsi="仿宋_GB2312" w:eastAsia="仿宋_GB2312" w:cs="仿宋_GB2312"/>
          <w:b/>
          <w:bCs/>
          <w:color w:val="auto"/>
          <w:sz w:val="24"/>
          <w:lang w:val="zh-CN"/>
        </w:rPr>
        <w:t>价格部分</w:t>
      </w:r>
    </w:p>
    <w:p>
      <w:pPr>
        <w:numPr>
          <w:ilvl w:val="0"/>
          <w:numId w:val="2"/>
        </w:numPr>
        <w:tabs>
          <w:tab w:val="left" w:pos="640"/>
          <w:tab w:val="clear" w:pos="425"/>
        </w:tabs>
        <w:spacing w:line="400" w:lineRule="exact"/>
        <w:ind w:left="625" w:hanging="625"/>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w:t>
      </w:r>
      <w:r>
        <w:rPr>
          <w:rFonts w:hint="eastAsia" w:ascii="仿宋_GB2312" w:hAnsi="仿宋_GB2312" w:eastAsia="仿宋_GB2312" w:cs="仿宋_GB2312"/>
          <w:color w:val="auto"/>
          <w:sz w:val="24"/>
          <w:lang w:eastAsia="zh-CN"/>
        </w:rPr>
        <w:t>报价</w:t>
      </w:r>
      <w:r>
        <w:rPr>
          <w:rFonts w:hint="eastAsia" w:ascii="仿宋_GB2312" w:hAnsi="仿宋_GB2312" w:eastAsia="仿宋_GB2312" w:cs="仿宋_GB2312"/>
          <w:color w:val="auto"/>
          <w:sz w:val="24"/>
        </w:rPr>
        <w:t>一览表；</w:t>
      </w:r>
    </w:p>
    <w:p>
      <w:pPr>
        <w:spacing w:line="400" w:lineRule="exact"/>
        <w:rPr>
          <w:rFonts w:ascii="仿宋_GB2312" w:hAnsi="仿宋_GB2312" w:eastAsia="仿宋_GB2312" w:cs="仿宋_GB2312"/>
          <w:color w:val="auto"/>
          <w:sz w:val="24"/>
        </w:rPr>
      </w:pPr>
    </w:p>
    <w:p>
      <w:pPr>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w:t>
      </w:r>
      <w:r>
        <w:rPr>
          <w:rFonts w:hint="eastAsia" w:ascii="仿宋_GB2312" w:hAnsi="仿宋_GB2312" w:eastAsia="仿宋_GB2312" w:cs="仿宋_GB2312"/>
          <w:color w:val="auto"/>
          <w:sz w:val="28"/>
          <w:szCs w:val="28"/>
          <w:lang w:eastAsia="zh-CN"/>
        </w:rPr>
        <w:t>报价</w:t>
      </w:r>
      <w:r>
        <w:rPr>
          <w:rFonts w:hint="eastAsia" w:ascii="仿宋_GB2312" w:hAnsi="仿宋_GB2312" w:eastAsia="仿宋_GB2312" w:cs="仿宋_GB2312"/>
          <w:color w:val="auto"/>
          <w:sz w:val="28"/>
          <w:szCs w:val="28"/>
        </w:rPr>
        <w:t>一览表</w:t>
      </w: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投标供应商名称：（公章）</w:t>
      </w:r>
      <w:r>
        <w:rPr>
          <w:rFonts w:hint="eastAsia" w:ascii="仿宋_GB2312" w:hAnsi="仿宋_GB2312" w:eastAsia="仿宋_GB2312" w:cs="仿宋_GB2312"/>
          <w:color w:val="auto"/>
          <w:sz w:val="24"/>
          <w:u w:val="single"/>
        </w:rPr>
        <w:t xml:space="preserve">                             </w:t>
      </w:r>
    </w:p>
    <w:p>
      <w:pPr>
        <w:spacing w:line="400" w:lineRule="exact"/>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招标编号：</w:t>
      </w:r>
      <w:r>
        <w:rPr>
          <w:rFonts w:hint="eastAsia" w:ascii="仿宋_GB2312" w:hAnsi="仿宋_GB2312" w:eastAsia="仿宋_GB2312" w:cs="仿宋_GB2312"/>
          <w:color w:val="auto"/>
          <w:sz w:val="24"/>
          <w:u w:val="single"/>
        </w:rPr>
        <w:t xml:space="preserve">                                      </w:t>
      </w:r>
    </w:p>
    <w:tbl>
      <w:tblPr>
        <w:tblStyle w:val="21"/>
        <w:tblW w:w="0" w:type="auto"/>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774" w:type="dxa"/>
            <w:vAlign w:val="center"/>
          </w:tcPr>
          <w:p>
            <w:pPr>
              <w:spacing w:after="60"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2606" w:type="dxa"/>
            <w:vAlign w:val="center"/>
          </w:tcPr>
          <w:p>
            <w:pPr>
              <w:spacing w:after="60"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w:t>
            </w:r>
            <w:r>
              <w:rPr>
                <w:rFonts w:hint="eastAsia" w:ascii="仿宋_GB2312" w:hAnsi="仿宋_GB2312" w:eastAsia="仿宋_GB2312" w:cs="仿宋_GB2312"/>
                <w:color w:val="auto"/>
                <w:sz w:val="24"/>
                <w:lang w:eastAsia="zh-CN"/>
              </w:rPr>
              <w:t>总</w:t>
            </w:r>
            <w:r>
              <w:rPr>
                <w:rFonts w:hint="eastAsia" w:ascii="仿宋_GB2312" w:hAnsi="仿宋_GB2312" w:eastAsia="仿宋_GB2312" w:cs="仿宋_GB2312"/>
                <w:color w:val="auto"/>
                <w:sz w:val="24"/>
              </w:rPr>
              <w:t>价</w:t>
            </w:r>
          </w:p>
          <w:p>
            <w:pPr>
              <w:spacing w:after="60"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（人民币）</w:t>
            </w:r>
          </w:p>
        </w:tc>
        <w:tc>
          <w:tcPr>
            <w:tcW w:w="1318" w:type="dxa"/>
            <w:vAlign w:val="center"/>
          </w:tcPr>
          <w:p>
            <w:pPr>
              <w:spacing w:after="60"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774" w:type="dxa"/>
            <w:vAlign w:val="center"/>
          </w:tcPr>
          <w:p>
            <w:pPr>
              <w:spacing w:line="400" w:lineRule="exact"/>
              <w:jc w:val="center"/>
              <w:rPr>
                <w:rFonts w:ascii="仿宋_GB2312" w:hAnsi="仿宋_GB2312" w:eastAsia="仿宋_GB2312" w:cs="仿宋_GB2312"/>
                <w:color w:val="auto"/>
                <w:sz w:val="24"/>
                <w:u w:val="single"/>
              </w:rPr>
            </w:pPr>
          </w:p>
        </w:tc>
        <w:tc>
          <w:tcPr>
            <w:tcW w:w="2606" w:type="dxa"/>
            <w:vAlign w:val="center"/>
          </w:tcPr>
          <w:p>
            <w:pPr>
              <w:spacing w:line="400" w:lineRule="exact"/>
              <w:jc w:val="center"/>
              <w:rPr>
                <w:rFonts w:ascii="仿宋_GB2312" w:hAnsi="仿宋_GB2312" w:eastAsia="仿宋_GB2312" w:cs="仿宋_GB2312"/>
                <w:color w:val="auto"/>
                <w:sz w:val="24"/>
                <w:u w:val="single"/>
              </w:rPr>
            </w:pPr>
          </w:p>
        </w:tc>
        <w:tc>
          <w:tcPr>
            <w:tcW w:w="1318" w:type="dxa"/>
            <w:vAlign w:val="center"/>
          </w:tcPr>
          <w:p>
            <w:pPr>
              <w:spacing w:line="400" w:lineRule="exact"/>
              <w:jc w:val="center"/>
              <w:rPr>
                <w:rFonts w:ascii="仿宋_GB2312" w:hAnsi="仿宋_GB2312" w:eastAsia="仿宋_GB2312" w:cs="仿宋_GB2312"/>
                <w:color w:val="auto"/>
                <w:sz w:val="24"/>
                <w:u w:val="single"/>
              </w:rPr>
            </w:pPr>
          </w:p>
        </w:tc>
      </w:tr>
    </w:tbl>
    <w:p>
      <w:pPr>
        <w:pStyle w:val="2"/>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rPr>
      </w:pP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投标供应商授权代表：</w:t>
      </w:r>
      <w:r>
        <w:rPr>
          <w:rFonts w:hint="eastAsia" w:ascii="仿宋_GB2312" w:hAnsi="仿宋_GB2312" w:eastAsia="仿宋_GB2312" w:cs="仿宋_GB2312"/>
          <w:color w:val="auto"/>
          <w:sz w:val="24"/>
          <w:u w:val="single"/>
        </w:rPr>
        <w:t xml:space="preserve">                   </w:t>
      </w: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职              务：</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pacing w:line="400" w:lineRule="exact"/>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日              期：</w:t>
      </w:r>
      <w:r>
        <w:rPr>
          <w:rFonts w:hint="eastAsia" w:ascii="仿宋_GB2312" w:hAnsi="仿宋_GB2312" w:eastAsia="仿宋_GB2312" w:cs="仿宋_GB2312"/>
          <w:color w:val="auto"/>
          <w:sz w:val="24"/>
          <w:u w:val="single"/>
        </w:rPr>
        <w:t xml:space="preserve">                   </w:t>
      </w:r>
    </w:p>
    <w:p>
      <w:pPr>
        <w:pStyle w:val="2"/>
        <w:spacing w:line="400" w:lineRule="exact"/>
        <w:rPr>
          <w:rFonts w:ascii="仿宋_GB2312" w:hAnsi="仿宋_GB2312" w:eastAsia="仿宋_GB2312" w:cs="仿宋_GB2312"/>
          <w:color w:val="auto"/>
        </w:rPr>
      </w:pPr>
    </w:p>
    <w:p>
      <w:pPr>
        <w:numPr>
          <w:ilvl w:val="0"/>
          <w:numId w:val="2"/>
        </w:numPr>
        <w:tabs>
          <w:tab w:val="left" w:pos="640"/>
          <w:tab w:val="clear" w:pos="425"/>
        </w:tabs>
        <w:spacing w:line="400" w:lineRule="exact"/>
        <w:ind w:left="625" w:hanging="625"/>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r>
        <w:rPr>
          <w:rFonts w:hint="eastAsia" w:ascii="仿宋_GB2312" w:hAnsi="仿宋_GB2312" w:eastAsia="仿宋_GB2312" w:cs="仿宋_GB2312"/>
          <w:color w:val="auto"/>
          <w:sz w:val="24"/>
        </w:rPr>
        <w:t>分项报价清单；</w:t>
      </w:r>
    </w:p>
    <w:p>
      <w:pPr>
        <w:spacing w:after="60" w:line="360" w:lineRule="auto"/>
        <w:ind w:firstLine="440" w:firstLineChars="200"/>
        <w:rPr>
          <w:rFonts w:hint="eastAsia" w:ascii="仿宋_GB2312" w:hAnsi="仿宋_GB2312" w:eastAsia="仿宋_GB2312" w:cs="仿宋_GB2312"/>
          <w:color w:val="auto"/>
          <w:sz w:val="22"/>
          <w:szCs w:val="22"/>
        </w:rPr>
      </w:pPr>
    </w:p>
    <w:p>
      <w:pPr>
        <w:spacing w:after="60" w:line="360" w:lineRule="auto"/>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投标供应商名称：（公章）</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2"/>
          <w:szCs w:val="22"/>
        </w:rPr>
        <w:t xml:space="preserve">                             </w:t>
      </w:r>
    </w:p>
    <w:p>
      <w:pPr>
        <w:spacing w:after="60" w:line="360" w:lineRule="auto"/>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招标编号：</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2"/>
          <w:szCs w:val="22"/>
        </w:rPr>
        <w:t xml:space="preserve">                                      </w:t>
      </w:r>
    </w:p>
    <w:p>
      <w:pPr>
        <w:spacing w:after="60" w:line="360" w:lineRule="auto"/>
        <w:ind w:firstLine="440" w:firstLineChars="200"/>
        <w:rPr>
          <w:color w:val="auto"/>
        </w:rPr>
      </w:pPr>
      <w:r>
        <w:rPr>
          <w:rFonts w:hint="eastAsia" w:ascii="仿宋_GB2312" w:hAnsi="仿宋_GB2312" w:eastAsia="仿宋_GB2312" w:cs="仿宋_GB2312"/>
          <w:color w:val="auto"/>
          <w:sz w:val="22"/>
          <w:szCs w:val="22"/>
        </w:rPr>
        <w:t>分项内容应列明服务内容、数量、单价及总价。具体格式如下表：</w:t>
      </w:r>
    </w:p>
    <w:tbl>
      <w:tblPr>
        <w:tblStyle w:val="21"/>
        <w:tblW w:w="84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046"/>
        <w:gridCol w:w="1662"/>
        <w:gridCol w:w="2015"/>
        <w:gridCol w:w="1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27" w:type="dxa"/>
            <w:vAlign w:val="center"/>
          </w:tcPr>
          <w:p>
            <w:pPr>
              <w:spacing w:after="60" w:line="24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 号</w:t>
            </w:r>
          </w:p>
        </w:tc>
        <w:tc>
          <w:tcPr>
            <w:tcW w:w="2046" w:type="dxa"/>
            <w:vAlign w:val="center"/>
          </w:tcPr>
          <w:p>
            <w:pPr>
              <w:spacing w:after="60" w:line="24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服务内容</w:t>
            </w:r>
          </w:p>
        </w:tc>
        <w:tc>
          <w:tcPr>
            <w:tcW w:w="1662" w:type="dxa"/>
            <w:vAlign w:val="center"/>
          </w:tcPr>
          <w:p>
            <w:pPr>
              <w:spacing w:after="60" w:line="24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数量</w:t>
            </w:r>
          </w:p>
          <w:p>
            <w:pPr>
              <w:spacing w:after="60" w:line="24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（单位：处）</w:t>
            </w:r>
          </w:p>
        </w:tc>
        <w:tc>
          <w:tcPr>
            <w:tcW w:w="2015" w:type="dxa"/>
            <w:vAlign w:val="center"/>
          </w:tcPr>
          <w:p>
            <w:pPr>
              <w:spacing w:after="60" w:line="24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投标单</w:t>
            </w:r>
            <w:r>
              <w:rPr>
                <w:rFonts w:hint="eastAsia" w:ascii="仿宋_GB2312" w:hAnsi="仿宋_GB2312" w:eastAsia="仿宋_GB2312" w:cs="仿宋_GB2312"/>
                <w:color w:val="auto"/>
                <w:sz w:val="22"/>
                <w:szCs w:val="22"/>
              </w:rPr>
              <w:t>价（元</w:t>
            </w:r>
            <w:r>
              <w:rPr>
                <w:rFonts w:hint="eastAsia" w:ascii="仿宋_GB2312" w:hAnsi="仿宋_GB2312" w:eastAsia="仿宋_GB2312" w:cs="仿宋_GB2312"/>
                <w:color w:val="auto"/>
                <w:sz w:val="22"/>
                <w:szCs w:val="22"/>
                <w:lang w:val="en-US" w:eastAsia="zh-CN"/>
              </w:rPr>
              <w:t>/处</w:t>
            </w:r>
            <w:r>
              <w:rPr>
                <w:rFonts w:hint="eastAsia" w:ascii="仿宋_GB2312" w:hAnsi="仿宋_GB2312" w:eastAsia="仿宋_GB2312" w:cs="仿宋_GB2312"/>
                <w:color w:val="auto"/>
                <w:sz w:val="22"/>
                <w:szCs w:val="22"/>
              </w:rPr>
              <w:t>）</w:t>
            </w:r>
          </w:p>
        </w:tc>
        <w:tc>
          <w:tcPr>
            <w:tcW w:w="1857" w:type="dxa"/>
            <w:vAlign w:val="center"/>
          </w:tcPr>
          <w:p>
            <w:pPr>
              <w:spacing w:after="60" w:line="24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27" w:type="dxa"/>
            <w:vAlign w:val="center"/>
          </w:tcPr>
          <w:p>
            <w:pPr>
              <w:adjustRightInd w:val="0"/>
              <w:snapToGrid w:val="0"/>
              <w:spacing w:line="40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046" w:type="dxa"/>
          </w:tcPr>
          <w:p>
            <w:pPr>
              <w:adjustRightInd w:val="0"/>
              <w:snapToGrid w:val="0"/>
              <w:spacing w:line="400" w:lineRule="exact"/>
              <w:rPr>
                <w:rFonts w:ascii="仿宋_GB2312" w:hAnsi="仿宋_GB2312" w:eastAsia="仿宋_GB2312" w:cs="仿宋_GB2312"/>
                <w:color w:val="auto"/>
                <w:sz w:val="22"/>
                <w:szCs w:val="22"/>
              </w:rPr>
            </w:pPr>
          </w:p>
        </w:tc>
        <w:tc>
          <w:tcPr>
            <w:tcW w:w="1662" w:type="dxa"/>
            <w:vAlign w:val="center"/>
          </w:tcPr>
          <w:p>
            <w:pPr>
              <w:spacing w:line="440" w:lineRule="exact"/>
              <w:jc w:val="center"/>
              <w:rPr>
                <w:rFonts w:ascii="仿宋_GB2312" w:hAnsi="仿宋_GB2312" w:eastAsia="仿宋_GB2312" w:cs="仿宋_GB2312"/>
                <w:color w:val="auto"/>
                <w:sz w:val="22"/>
                <w:szCs w:val="22"/>
              </w:rPr>
            </w:pPr>
          </w:p>
        </w:tc>
        <w:tc>
          <w:tcPr>
            <w:tcW w:w="2015" w:type="dxa"/>
          </w:tcPr>
          <w:p>
            <w:pPr>
              <w:spacing w:line="440" w:lineRule="exact"/>
              <w:jc w:val="center"/>
              <w:rPr>
                <w:rFonts w:ascii="仿宋_GB2312" w:hAnsi="仿宋_GB2312" w:eastAsia="仿宋_GB2312" w:cs="仿宋_GB2312"/>
                <w:color w:val="auto"/>
                <w:sz w:val="22"/>
                <w:szCs w:val="22"/>
              </w:rPr>
            </w:pPr>
          </w:p>
        </w:tc>
        <w:tc>
          <w:tcPr>
            <w:tcW w:w="1857" w:type="dxa"/>
            <w:vAlign w:val="center"/>
          </w:tcPr>
          <w:p>
            <w:pPr>
              <w:spacing w:after="60"/>
              <w:jc w:val="center"/>
              <w:rPr>
                <w:rFonts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27" w:type="dxa"/>
            <w:vAlign w:val="center"/>
          </w:tcPr>
          <w:p>
            <w:pPr>
              <w:adjustRightInd w:val="0"/>
              <w:snapToGrid w:val="0"/>
              <w:spacing w:line="40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046" w:type="dxa"/>
          </w:tcPr>
          <w:p>
            <w:pPr>
              <w:adjustRightInd w:val="0"/>
              <w:snapToGrid w:val="0"/>
              <w:spacing w:line="400" w:lineRule="exact"/>
              <w:rPr>
                <w:rFonts w:ascii="仿宋_GB2312" w:hAnsi="仿宋_GB2312" w:eastAsia="仿宋_GB2312" w:cs="仿宋_GB2312"/>
                <w:color w:val="auto"/>
                <w:sz w:val="22"/>
                <w:szCs w:val="22"/>
              </w:rPr>
            </w:pPr>
          </w:p>
        </w:tc>
        <w:tc>
          <w:tcPr>
            <w:tcW w:w="1662" w:type="dxa"/>
            <w:vAlign w:val="center"/>
          </w:tcPr>
          <w:p>
            <w:pPr>
              <w:spacing w:line="440" w:lineRule="exact"/>
              <w:jc w:val="center"/>
              <w:rPr>
                <w:rFonts w:ascii="仿宋_GB2312" w:hAnsi="仿宋_GB2312" w:eastAsia="仿宋_GB2312" w:cs="仿宋_GB2312"/>
                <w:color w:val="auto"/>
                <w:sz w:val="22"/>
                <w:szCs w:val="22"/>
              </w:rPr>
            </w:pPr>
          </w:p>
        </w:tc>
        <w:tc>
          <w:tcPr>
            <w:tcW w:w="2015" w:type="dxa"/>
          </w:tcPr>
          <w:p>
            <w:pPr>
              <w:spacing w:line="440" w:lineRule="exact"/>
              <w:jc w:val="center"/>
              <w:rPr>
                <w:rFonts w:ascii="仿宋_GB2312" w:hAnsi="仿宋_GB2312" w:eastAsia="仿宋_GB2312" w:cs="仿宋_GB2312"/>
                <w:color w:val="auto"/>
                <w:sz w:val="22"/>
                <w:szCs w:val="22"/>
              </w:rPr>
            </w:pPr>
          </w:p>
        </w:tc>
        <w:tc>
          <w:tcPr>
            <w:tcW w:w="1857" w:type="dxa"/>
            <w:vAlign w:val="center"/>
          </w:tcPr>
          <w:p>
            <w:pPr>
              <w:spacing w:after="60"/>
              <w:jc w:val="center"/>
              <w:rPr>
                <w:rFonts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27" w:type="dxa"/>
            <w:vAlign w:val="center"/>
          </w:tcPr>
          <w:p>
            <w:pPr>
              <w:adjustRightInd w:val="0"/>
              <w:snapToGrid w:val="0"/>
              <w:spacing w:line="40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2046" w:type="dxa"/>
          </w:tcPr>
          <w:p>
            <w:pPr>
              <w:adjustRightInd w:val="0"/>
              <w:snapToGrid w:val="0"/>
              <w:spacing w:line="400" w:lineRule="exact"/>
              <w:rPr>
                <w:rFonts w:ascii="仿宋_GB2312" w:hAnsi="仿宋_GB2312" w:eastAsia="仿宋_GB2312" w:cs="仿宋_GB2312"/>
                <w:color w:val="auto"/>
                <w:sz w:val="22"/>
                <w:szCs w:val="22"/>
              </w:rPr>
            </w:pPr>
          </w:p>
        </w:tc>
        <w:tc>
          <w:tcPr>
            <w:tcW w:w="1662" w:type="dxa"/>
            <w:vAlign w:val="center"/>
          </w:tcPr>
          <w:p>
            <w:pPr>
              <w:spacing w:line="440" w:lineRule="exact"/>
              <w:jc w:val="center"/>
              <w:rPr>
                <w:rFonts w:ascii="仿宋_GB2312" w:hAnsi="仿宋_GB2312" w:eastAsia="仿宋_GB2312" w:cs="仿宋_GB2312"/>
                <w:color w:val="auto"/>
                <w:sz w:val="22"/>
                <w:szCs w:val="22"/>
              </w:rPr>
            </w:pPr>
          </w:p>
        </w:tc>
        <w:tc>
          <w:tcPr>
            <w:tcW w:w="2015" w:type="dxa"/>
          </w:tcPr>
          <w:p>
            <w:pPr>
              <w:spacing w:line="440" w:lineRule="exact"/>
              <w:jc w:val="center"/>
              <w:rPr>
                <w:rFonts w:ascii="仿宋_GB2312" w:hAnsi="仿宋_GB2312" w:eastAsia="仿宋_GB2312" w:cs="仿宋_GB2312"/>
                <w:color w:val="auto"/>
                <w:sz w:val="22"/>
                <w:szCs w:val="22"/>
              </w:rPr>
            </w:pPr>
          </w:p>
        </w:tc>
        <w:tc>
          <w:tcPr>
            <w:tcW w:w="1857" w:type="dxa"/>
            <w:vAlign w:val="center"/>
          </w:tcPr>
          <w:p>
            <w:pPr>
              <w:spacing w:after="60"/>
              <w:jc w:val="center"/>
              <w:rPr>
                <w:rFonts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27" w:type="dxa"/>
            <w:vAlign w:val="center"/>
          </w:tcPr>
          <w:p>
            <w:pPr>
              <w:adjustRightInd w:val="0"/>
              <w:snapToGrid w:val="0"/>
              <w:spacing w:line="40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2046" w:type="dxa"/>
          </w:tcPr>
          <w:p>
            <w:pPr>
              <w:adjustRightInd w:val="0"/>
              <w:snapToGrid w:val="0"/>
              <w:spacing w:line="400" w:lineRule="exact"/>
              <w:rPr>
                <w:rFonts w:ascii="仿宋_GB2312" w:hAnsi="仿宋_GB2312" w:eastAsia="仿宋_GB2312" w:cs="仿宋_GB2312"/>
                <w:color w:val="auto"/>
                <w:sz w:val="22"/>
                <w:szCs w:val="22"/>
              </w:rPr>
            </w:pPr>
          </w:p>
        </w:tc>
        <w:tc>
          <w:tcPr>
            <w:tcW w:w="1662" w:type="dxa"/>
            <w:vAlign w:val="top"/>
          </w:tcPr>
          <w:p>
            <w:pPr>
              <w:spacing w:line="440" w:lineRule="exact"/>
              <w:jc w:val="center"/>
              <w:rPr>
                <w:rFonts w:ascii="仿宋_GB2312" w:hAnsi="仿宋_GB2312" w:eastAsia="仿宋_GB2312" w:cs="仿宋_GB2312"/>
                <w:color w:val="auto"/>
                <w:sz w:val="22"/>
                <w:szCs w:val="22"/>
              </w:rPr>
            </w:pPr>
          </w:p>
        </w:tc>
        <w:tc>
          <w:tcPr>
            <w:tcW w:w="2015" w:type="dxa"/>
          </w:tcPr>
          <w:p>
            <w:pPr>
              <w:spacing w:line="440" w:lineRule="exact"/>
              <w:jc w:val="center"/>
              <w:rPr>
                <w:rFonts w:ascii="仿宋_GB2312" w:hAnsi="仿宋_GB2312" w:eastAsia="仿宋_GB2312" w:cs="仿宋_GB2312"/>
                <w:color w:val="auto"/>
                <w:sz w:val="22"/>
                <w:szCs w:val="22"/>
              </w:rPr>
            </w:pPr>
          </w:p>
        </w:tc>
        <w:tc>
          <w:tcPr>
            <w:tcW w:w="1857" w:type="dxa"/>
            <w:vAlign w:val="center"/>
          </w:tcPr>
          <w:p>
            <w:pPr>
              <w:spacing w:after="60"/>
              <w:jc w:val="center"/>
              <w:rPr>
                <w:rFonts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27" w:type="dxa"/>
            <w:vAlign w:val="center"/>
          </w:tcPr>
          <w:p>
            <w:pPr>
              <w:adjustRightInd w:val="0"/>
              <w:snapToGrid w:val="0"/>
              <w:spacing w:line="400" w:lineRule="exact"/>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2046" w:type="dxa"/>
          </w:tcPr>
          <w:p>
            <w:pPr>
              <w:adjustRightInd w:val="0"/>
              <w:snapToGrid w:val="0"/>
              <w:spacing w:line="400" w:lineRule="exact"/>
              <w:rPr>
                <w:rFonts w:ascii="仿宋_GB2312" w:hAnsi="仿宋_GB2312" w:eastAsia="仿宋_GB2312" w:cs="仿宋_GB2312"/>
                <w:color w:val="auto"/>
                <w:sz w:val="22"/>
                <w:szCs w:val="22"/>
              </w:rPr>
            </w:pPr>
          </w:p>
        </w:tc>
        <w:tc>
          <w:tcPr>
            <w:tcW w:w="1662" w:type="dxa"/>
            <w:vAlign w:val="center"/>
          </w:tcPr>
          <w:p>
            <w:pPr>
              <w:spacing w:line="440" w:lineRule="exact"/>
              <w:jc w:val="center"/>
              <w:rPr>
                <w:rFonts w:ascii="仿宋_GB2312" w:hAnsi="仿宋_GB2312" w:eastAsia="仿宋_GB2312" w:cs="仿宋_GB2312"/>
                <w:color w:val="auto"/>
                <w:sz w:val="22"/>
                <w:szCs w:val="22"/>
              </w:rPr>
            </w:pPr>
          </w:p>
        </w:tc>
        <w:tc>
          <w:tcPr>
            <w:tcW w:w="2015" w:type="dxa"/>
          </w:tcPr>
          <w:p>
            <w:pPr>
              <w:spacing w:line="440" w:lineRule="exact"/>
              <w:jc w:val="center"/>
              <w:rPr>
                <w:rFonts w:ascii="仿宋_GB2312" w:hAnsi="仿宋_GB2312" w:eastAsia="仿宋_GB2312" w:cs="仿宋_GB2312"/>
                <w:color w:val="auto"/>
                <w:sz w:val="22"/>
                <w:szCs w:val="22"/>
              </w:rPr>
            </w:pPr>
          </w:p>
        </w:tc>
        <w:tc>
          <w:tcPr>
            <w:tcW w:w="1857" w:type="dxa"/>
            <w:vAlign w:val="center"/>
          </w:tcPr>
          <w:p>
            <w:pPr>
              <w:spacing w:after="60"/>
              <w:jc w:val="center"/>
              <w:rPr>
                <w:rFonts w:ascii="仿宋_GB2312" w:hAnsi="仿宋_GB2312" w:eastAsia="仿宋_GB2312" w:cs="仿宋_GB2312"/>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2873" w:type="dxa"/>
            <w:gridSpan w:val="2"/>
            <w:vAlign w:val="center"/>
          </w:tcPr>
          <w:p>
            <w:pPr>
              <w:spacing w:after="60"/>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总计</w:t>
            </w:r>
          </w:p>
        </w:tc>
        <w:tc>
          <w:tcPr>
            <w:tcW w:w="3677" w:type="dxa"/>
            <w:gridSpan w:val="2"/>
            <w:tcBorders>
              <w:right w:val="single" w:color="auto" w:sz="4" w:space="0"/>
            </w:tcBorders>
            <w:vAlign w:val="center"/>
          </w:tcPr>
          <w:p>
            <w:pPr>
              <w:spacing w:after="60"/>
              <w:jc w:val="center"/>
              <w:rPr>
                <w:rFonts w:ascii="仿宋_GB2312" w:hAnsi="仿宋_GB2312" w:eastAsia="仿宋_GB2312" w:cs="仿宋_GB2312"/>
                <w:color w:val="auto"/>
                <w:sz w:val="22"/>
                <w:szCs w:val="22"/>
              </w:rPr>
            </w:pPr>
          </w:p>
        </w:tc>
        <w:tc>
          <w:tcPr>
            <w:tcW w:w="1857" w:type="dxa"/>
            <w:tcBorders>
              <w:left w:val="single" w:color="auto" w:sz="4" w:space="0"/>
            </w:tcBorders>
            <w:vAlign w:val="center"/>
          </w:tcPr>
          <w:p>
            <w:pPr>
              <w:spacing w:after="60"/>
              <w:jc w:val="cente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投标报价</w:t>
            </w:r>
            <w:r>
              <w:rPr>
                <w:rFonts w:hint="eastAsia" w:ascii="仿宋_GB2312" w:hAnsi="仿宋_GB2312" w:eastAsia="仿宋_GB2312" w:cs="仿宋_GB2312"/>
                <w:color w:val="auto"/>
                <w:sz w:val="22"/>
                <w:szCs w:val="22"/>
              </w:rPr>
              <w:t>不得超过</w:t>
            </w:r>
            <w:r>
              <w:rPr>
                <w:rFonts w:hint="eastAsia" w:ascii="仿宋_GB2312" w:hAnsi="仿宋_GB2312" w:eastAsia="仿宋_GB2312" w:cs="仿宋_GB2312"/>
                <w:color w:val="auto"/>
                <w:sz w:val="22"/>
                <w:szCs w:val="22"/>
                <w:lang w:val="en-US" w:eastAsia="zh-CN" w:bidi="ar"/>
              </w:rPr>
              <w:t>12.28</w:t>
            </w:r>
            <w:r>
              <w:rPr>
                <w:rFonts w:hint="eastAsia" w:ascii="仿宋_GB2312" w:hAnsi="仿宋_GB2312" w:eastAsia="仿宋_GB2312" w:cs="仿宋_GB2312"/>
                <w:color w:val="auto"/>
                <w:sz w:val="22"/>
                <w:szCs w:val="22"/>
              </w:rPr>
              <w:t>万元</w:t>
            </w:r>
          </w:p>
        </w:tc>
      </w:tr>
    </w:tbl>
    <w:p>
      <w:pPr>
        <w:spacing w:line="240" w:lineRule="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备注</w:t>
      </w: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lang w:eastAsia="zh-CN"/>
        </w:rPr>
        <w:t>：实际评估办公用房项目数量以采购单位</w:t>
      </w:r>
      <w:r>
        <w:rPr>
          <w:rFonts w:hint="eastAsia" w:ascii="仿宋_GB2312" w:hAnsi="仿宋_GB2312" w:eastAsia="仿宋_GB2312" w:cs="仿宋_GB2312"/>
          <w:color w:val="auto"/>
          <w:sz w:val="22"/>
          <w:szCs w:val="22"/>
        </w:rPr>
        <w:t>提出的工作需求为准，</w:t>
      </w:r>
      <w:r>
        <w:rPr>
          <w:rFonts w:hint="eastAsia" w:ascii="仿宋_GB2312" w:hAnsi="仿宋_GB2312" w:eastAsia="仿宋_GB2312" w:cs="仿宋_GB2312"/>
          <w:color w:val="auto"/>
          <w:sz w:val="22"/>
          <w:szCs w:val="22"/>
          <w:lang w:eastAsia="zh-CN"/>
        </w:rPr>
        <w:t>拟评估楼宇项目数量按</w:t>
      </w:r>
      <w:r>
        <w:rPr>
          <w:rFonts w:hint="eastAsia" w:ascii="仿宋_GB2312" w:hAnsi="仿宋_GB2312" w:eastAsia="仿宋_GB2312" w:cs="仿宋_GB2312"/>
          <w:color w:val="auto"/>
          <w:sz w:val="22"/>
          <w:szCs w:val="22"/>
          <w:lang w:val="en-US" w:eastAsia="zh-CN"/>
        </w:rPr>
        <w:t>50处为标准进行报价</w:t>
      </w:r>
      <w:r>
        <w:rPr>
          <w:rFonts w:hint="eastAsia" w:ascii="仿宋_GB2312" w:hAnsi="仿宋_GB2312" w:eastAsia="仿宋_GB2312" w:cs="仿宋_GB2312"/>
          <w:color w:val="auto"/>
          <w:sz w:val="22"/>
          <w:szCs w:val="22"/>
          <w:lang w:eastAsia="zh-CN"/>
        </w:rPr>
        <w:t>，按照</w:t>
      </w:r>
      <w:r>
        <w:rPr>
          <w:rFonts w:hint="eastAsia" w:ascii="仿宋_GB2312" w:hAnsi="仿宋_GB2312" w:eastAsia="仿宋_GB2312" w:cs="仿宋_GB2312"/>
          <w:color w:val="auto"/>
          <w:sz w:val="22"/>
          <w:szCs w:val="22"/>
        </w:rPr>
        <w:t>实际发生数量</w:t>
      </w:r>
      <w:r>
        <w:rPr>
          <w:rFonts w:hint="eastAsia" w:ascii="仿宋_GB2312" w:hAnsi="仿宋_GB2312" w:eastAsia="仿宋_GB2312" w:cs="仿宋_GB2312"/>
          <w:color w:val="auto"/>
          <w:sz w:val="22"/>
          <w:szCs w:val="22"/>
          <w:lang w:eastAsia="zh-CN"/>
        </w:rPr>
        <w:t>以及中标单价结算，但最高总价不变。</w:t>
      </w:r>
    </w:p>
    <w:p>
      <w:pPr>
        <w:spacing w:line="240" w:lineRule="auto"/>
        <w:rPr>
          <w:rFonts w:hint="eastAsia" w:ascii="仿宋_GB2312" w:hAnsi="仿宋_GB2312" w:eastAsia="仿宋_GB2312" w:cs="仿宋_GB2312"/>
          <w:color w:val="auto"/>
          <w:sz w:val="22"/>
          <w:szCs w:val="22"/>
        </w:rPr>
      </w:pPr>
    </w:p>
    <w:p>
      <w:pPr>
        <w:spacing w:line="24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备</w:t>
      </w:r>
      <w:r>
        <w:rPr>
          <w:rFonts w:hint="eastAsia" w:ascii="仿宋_GB2312" w:hAnsi="仿宋_GB2312" w:eastAsia="仿宋_GB2312" w:cs="仿宋_GB2312"/>
          <w:color w:val="auto"/>
          <w:sz w:val="22"/>
          <w:szCs w:val="22"/>
        </w:rPr>
        <w:t>注</w:t>
      </w:r>
      <w:r>
        <w:rPr>
          <w:rFonts w:hint="eastAsia" w:ascii="仿宋_GB2312" w:hAnsi="仿宋_GB2312" w:eastAsia="仿宋_GB2312" w:cs="仿宋_GB2312"/>
          <w:color w:val="auto"/>
          <w:sz w:val="22"/>
          <w:szCs w:val="22"/>
          <w:lang w:val="en-US" w:eastAsia="zh-CN"/>
        </w:rPr>
        <w:t>2</w:t>
      </w:r>
      <w:r>
        <w:rPr>
          <w:rFonts w:hint="eastAsia" w:ascii="仿宋_GB2312" w:hAnsi="仿宋_GB2312" w:eastAsia="仿宋_GB2312" w:cs="仿宋_GB2312"/>
          <w:color w:val="auto"/>
          <w:sz w:val="22"/>
          <w:szCs w:val="22"/>
        </w:rPr>
        <w:t>：可根据需要自行调整报价格式。含税总计应等于投标总价。</w:t>
      </w:r>
    </w:p>
    <w:p>
      <w:pPr>
        <w:spacing w:line="240" w:lineRule="auto"/>
        <w:rPr>
          <w:rFonts w:hint="eastAsia" w:ascii="仿宋_GB2312" w:hAnsi="仿宋_GB2312" w:eastAsia="仿宋_GB2312" w:cs="仿宋_GB2312"/>
          <w:color w:val="auto"/>
          <w:sz w:val="22"/>
          <w:szCs w:val="22"/>
        </w:rPr>
      </w:pPr>
    </w:p>
    <w:p>
      <w:pPr>
        <w:spacing w:line="24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投标供应商授权代表： ________________________</w:t>
      </w:r>
    </w:p>
    <w:p>
      <w:pPr>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职              务：                           </w:t>
      </w:r>
    </w:p>
    <w:p>
      <w:pPr>
        <w:rPr>
          <w:rFonts w:hint="eastAsia" w:ascii="仿宋_GB2312" w:hAnsi="仿宋_GB2312" w:eastAsia="仿宋_GB2312" w:cs="仿宋_GB2312"/>
          <w:color w:val="auto"/>
          <w:sz w:val="22"/>
          <w:szCs w:val="22"/>
        </w:rPr>
      </w:pPr>
    </w:p>
    <w:p>
      <w:pPr>
        <w:rPr>
          <w:rFonts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日              期：                   </w:t>
      </w:r>
    </w:p>
    <w:p>
      <w:pPr>
        <w:spacing w:line="400" w:lineRule="exact"/>
        <w:outlineLvl w:val="2"/>
        <w:rPr>
          <w:rFonts w:ascii="仿宋_GB2312" w:hAnsi="仿宋_GB2312" w:eastAsia="仿宋_GB2312" w:cs="仿宋_GB2312"/>
          <w:b/>
          <w:bCs/>
          <w:color w:val="auto"/>
          <w:sz w:val="24"/>
          <w:u w:val="wave"/>
        </w:rPr>
      </w:pPr>
      <w:r>
        <w:rPr>
          <w:rFonts w:hint="eastAsia" w:ascii="仿宋_GB2312" w:hAnsi="仿宋_GB2312" w:eastAsia="仿宋_GB2312" w:cs="仿宋_GB2312"/>
          <w:b/>
          <w:bCs/>
          <w:color w:val="auto"/>
          <w:sz w:val="24"/>
        </w:rPr>
        <w:br w:type="page"/>
      </w:r>
      <w:r>
        <w:rPr>
          <w:rFonts w:hint="eastAsia" w:ascii="仿宋_GB2312" w:hAnsi="仿宋_GB2312" w:eastAsia="仿宋_GB2312" w:cs="仿宋_GB2312"/>
          <w:b/>
          <w:bCs/>
          <w:color w:val="auto"/>
          <w:sz w:val="24"/>
        </w:rPr>
        <w:t>（二）商务部分</w:t>
      </w:r>
    </w:p>
    <w:p>
      <w:pPr>
        <w:numPr>
          <w:ilvl w:val="0"/>
          <w:numId w:val="3"/>
        </w:numPr>
        <w:tabs>
          <w:tab w:val="left" w:pos="640"/>
          <w:tab w:val="left" w:pos="1260"/>
          <w:tab w:val="left" w:pos="1418"/>
        </w:tabs>
        <w:spacing w:line="400" w:lineRule="exact"/>
        <w:ind w:left="845" w:hanging="845"/>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投标响应书；</w:t>
      </w:r>
    </w:p>
    <w:p>
      <w:pPr>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投标响应书</w:t>
      </w:r>
    </w:p>
    <w:p>
      <w:pPr>
        <w:pStyle w:val="2"/>
        <w:spacing w:line="400" w:lineRule="exact"/>
        <w:rPr>
          <w:rFonts w:ascii="仿宋_GB2312" w:hAnsi="仿宋_GB2312" w:eastAsia="仿宋_GB2312" w:cs="仿宋_GB2312"/>
          <w:color w:val="auto"/>
        </w:rPr>
      </w:pPr>
    </w:p>
    <w:p>
      <w:pPr>
        <w:spacing w:line="400" w:lineRule="exact"/>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致：</w:t>
      </w:r>
      <w:r>
        <w:rPr>
          <w:rFonts w:hint="eastAsia" w:ascii="仿宋_GB2312" w:hAnsi="仿宋_GB2312" w:eastAsia="仿宋_GB2312" w:cs="仿宋_GB2312"/>
          <w:color w:val="auto"/>
          <w:sz w:val="24"/>
          <w:u w:val="single"/>
        </w:rPr>
        <w:t xml:space="preserve">                    </w:t>
      </w:r>
    </w:p>
    <w:p>
      <w:pPr>
        <w:spacing w:line="400" w:lineRule="exact"/>
        <w:ind w:firstLine="494" w:firstLineChars="206"/>
        <w:rPr>
          <w:rFonts w:ascii="仿宋_GB2312" w:hAnsi="仿宋_GB2312" w:eastAsia="仿宋_GB2312" w:cs="仿宋_GB2312"/>
          <w:color w:val="auto"/>
          <w:sz w:val="24"/>
        </w:rPr>
      </w:pPr>
      <w:r>
        <w:rPr>
          <w:rFonts w:hint="eastAsia" w:ascii="仿宋_GB2312" w:hAnsi="仿宋_GB2312" w:eastAsia="仿宋_GB2312" w:cs="仿宋_GB2312"/>
          <w:color w:val="auto"/>
          <w:sz w:val="24"/>
        </w:rPr>
        <w:t>根据贵方为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项目采购的邀请</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（招标文件编号         ），签字代表</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（全名、职务）经正式授权并代表供应商</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（供应商方名称、地址）提交</w:t>
      </w:r>
      <w:r>
        <w:rPr>
          <w:rFonts w:hint="eastAsia" w:ascii="仿宋_GB2312" w:hAnsi="仿宋_GB2312" w:eastAsia="仿宋_GB2312" w:cs="仿宋_GB2312"/>
          <w:b/>
          <w:color w:val="auto"/>
          <w:sz w:val="24"/>
        </w:rPr>
        <w:t>一份正本四份副本</w:t>
      </w:r>
      <w:r>
        <w:rPr>
          <w:rFonts w:hint="eastAsia" w:ascii="仿宋_GB2312" w:hAnsi="仿宋_GB2312" w:eastAsia="仿宋_GB2312" w:cs="仿宋_GB2312"/>
          <w:color w:val="auto"/>
          <w:sz w:val="24"/>
        </w:rPr>
        <w:t>投标文件。</w:t>
      </w: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据此函，签字代表宣布同意如下：</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1.供应商方将按招标文件的规定履行合同责任和义务。</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2.供应商方已详细审查全部投标文件，包括修改文件（如有的话）以及全部参考资料和有关附件。我们完全理解并同意放弃对这方面有不明及误解的权利。</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3.与本投标项目有关的一切正式往来通讯请寄：</w:t>
      </w:r>
    </w:p>
    <w:p>
      <w:pPr>
        <w:spacing w:line="400" w:lineRule="exact"/>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地址：</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邮编：</w:t>
      </w:r>
      <w:r>
        <w:rPr>
          <w:rFonts w:hint="eastAsia" w:ascii="仿宋_GB2312" w:hAnsi="仿宋_GB2312" w:eastAsia="仿宋_GB2312" w:cs="仿宋_GB2312"/>
          <w:color w:val="auto"/>
          <w:sz w:val="24"/>
          <w:u w:val="single"/>
        </w:rPr>
        <w:t xml:space="preserve">                      </w:t>
      </w:r>
    </w:p>
    <w:p>
      <w:pPr>
        <w:spacing w:line="400" w:lineRule="exact"/>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电话：</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传真：</w:t>
      </w:r>
      <w:r>
        <w:rPr>
          <w:rFonts w:hint="eastAsia" w:ascii="仿宋_GB2312" w:hAnsi="仿宋_GB2312" w:eastAsia="仿宋_GB2312" w:cs="仿宋_GB2312"/>
          <w:color w:val="auto"/>
          <w:sz w:val="24"/>
          <w:u w:val="single"/>
        </w:rPr>
        <w:t xml:space="preserve">                      </w:t>
      </w:r>
    </w:p>
    <w:p>
      <w:pPr>
        <w:pStyle w:val="2"/>
        <w:spacing w:line="400" w:lineRule="exact"/>
        <w:rPr>
          <w:rFonts w:ascii="仿宋_GB2312" w:hAnsi="仿宋_GB2312" w:eastAsia="仿宋_GB2312" w:cs="仿宋_GB2312"/>
          <w:color w:val="auto"/>
        </w:rPr>
      </w:pPr>
    </w:p>
    <w:p>
      <w:pPr>
        <w:spacing w:line="400" w:lineRule="exact"/>
        <w:ind w:firstLine="480" w:firstLineChars="200"/>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投标供应商授权代表、职务（印刷体）：</w:t>
      </w:r>
      <w:r>
        <w:rPr>
          <w:rFonts w:hint="eastAsia" w:ascii="仿宋_GB2312" w:hAnsi="仿宋_GB2312" w:eastAsia="仿宋_GB2312" w:cs="仿宋_GB2312"/>
          <w:color w:val="auto"/>
          <w:sz w:val="24"/>
          <w:u w:val="single"/>
        </w:rPr>
        <w:t xml:space="preserve">                                      </w:t>
      </w:r>
    </w:p>
    <w:p>
      <w:pPr>
        <w:spacing w:line="400" w:lineRule="exact"/>
        <w:ind w:firstLine="480" w:firstLineChars="200"/>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投标供应商名称：</w:t>
      </w:r>
      <w:r>
        <w:rPr>
          <w:rFonts w:hint="eastAsia" w:ascii="仿宋_GB2312" w:hAnsi="仿宋_GB2312" w:eastAsia="仿宋_GB2312" w:cs="仿宋_GB2312"/>
          <w:color w:val="auto"/>
          <w:sz w:val="24"/>
          <w:u w:val="single"/>
        </w:rPr>
        <w:t xml:space="preserve">                             </w:t>
      </w:r>
    </w:p>
    <w:p>
      <w:pPr>
        <w:spacing w:line="400" w:lineRule="exact"/>
        <w:ind w:firstLine="480" w:firstLineChars="200"/>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（公  章）：</w:t>
      </w:r>
      <w:r>
        <w:rPr>
          <w:rFonts w:hint="eastAsia" w:ascii="仿宋_GB2312" w:hAnsi="仿宋_GB2312" w:eastAsia="仿宋_GB2312" w:cs="仿宋_GB2312"/>
          <w:color w:val="auto"/>
          <w:sz w:val="24"/>
          <w:u w:val="single"/>
        </w:rPr>
        <w:t xml:space="preserve">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日      期：</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日</w:t>
      </w:r>
    </w:p>
    <w:p>
      <w:pPr>
        <w:spacing w:line="400" w:lineRule="exact"/>
        <w:ind w:firstLine="480" w:firstLineChars="200"/>
        <w:rPr>
          <w:rFonts w:ascii="仿宋_GB2312" w:hAnsi="仿宋_GB2312" w:eastAsia="仿宋_GB2312" w:cs="仿宋_GB2312"/>
          <w:b/>
          <w:bCs/>
          <w:color w:val="auto"/>
          <w:sz w:val="24"/>
        </w:rPr>
      </w:pPr>
      <w:r>
        <w:rPr>
          <w:rFonts w:hint="eastAsia" w:ascii="仿宋_GB2312" w:hAnsi="仿宋_GB2312" w:eastAsia="仿宋_GB2312" w:cs="仿宋_GB2312"/>
          <w:color w:val="auto"/>
          <w:sz w:val="24"/>
        </w:rPr>
        <w:t>投标供应商授权代表：</w:t>
      </w:r>
      <w:r>
        <w:rPr>
          <w:rFonts w:hint="eastAsia" w:ascii="仿宋_GB2312" w:hAnsi="仿宋_GB2312" w:eastAsia="仿宋_GB2312" w:cs="仿宋_GB2312"/>
          <w:color w:val="auto"/>
          <w:sz w:val="24"/>
          <w:u w:val="single"/>
        </w:rPr>
        <w:t xml:space="preserve">                           </w:t>
      </w:r>
    </w:p>
    <w:p>
      <w:pPr>
        <w:pStyle w:val="2"/>
        <w:spacing w:line="400" w:lineRule="exact"/>
        <w:rPr>
          <w:rFonts w:ascii="仿宋_GB2312" w:hAnsi="仿宋_GB2312" w:eastAsia="仿宋_GB2312" w:cs="仿宋_GB2312"/>
          <w:color w:val="auto"/>
        </w:rPr>
      </w:pPr>
    </w:p>
    <w:p>
      <w:pPr>
        <w:numPr>
          <w:ilvl w:val="0"/>
          <w:numId w:val="3"/>
        </w:numPr>
        <w:tabs>
          <w:tab w:val="left" w:pos="640"/>
          <w:tab w:val="left" w:pos="1260"/>
          <w:tab w:val="left" w:pos="1418"/>
        </w:tabs>
        <w:spacing w:line="400" w:lineRule="exact"/>
        <w:ind w:left="645" w:hanging="645"/>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br w:type="page"/>
      </w:r>
      <w:r>
        <w:rPr>
          <w:rFonts w:hint="eastAsia" w:ascii="仿宋_GB2312" w:hAnsi="仿宋_GB2312" w:eastAsia="仿宋_GB2312" w:cs="仿宋_GB2312"/>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3"/>
        </w:numPr>
        <w:tabs>
          <w:tab w:val="left" w:pos="640"/>
          <w:tab w:val="left" w:pos="1260"/>
          <w:tab w:val="left" w:pos="1418"/>
        </w:tabs>
        <w:spacing w:line="400" w:lineRule="exact"/>
        <w:ind w:left="645" w:hanging="645"/>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br w:type="page"/>
      </w:r>
      <w:r>
        <w:rPr>
          <w:rFonts w:hint="eastAsia" w:ascii="仿宋_GB2312" w:hAnsi="仿宋_GB2312" w:eastAsia="仿宋_GB2312" w:cs="仿宋_GB2312"/>
          <w:color w:val="auto"/>
          <w:sz w:val="24"/>
          <w:lang w:val="fr-CH"/>
        </w:rPr>
        <w:t>政府采购投标及履约承诺函；</w:t>
      </w:r>
    </w:p>
    <w:p>
      <w:pPr>
        <w:spacing w:line="400" w:lineRule="exact"/>
        <w:jc w:val="center"/>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政府采购投标及履约承诺函</w:t>
      </w:r>
    </w:p>
    <w:p>
      <w:pPr>
        <w:pStyle w:val="2"/>
        <w:spacing w:line="400" w:lineRule="exact"/>
        <w:rPr>
          <w:rFonts w:ascii="仿宋_GB2312" w:hAnsi="仿宋_GB2312" w:eastAsia="仿宋_GB2312" w:cs="仿宋_GB2312"/>
          <w:color w:val="auto"/>
          <w:lang w:val="fr-CH"/>
        </w:rPr>
      </w:pP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（采购单位名称/代理机构名称）：</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我单位深知本项目对贵局的重要性和紧迫性，亦了解贵局对廉政建设的相关要求，因此我单位承诺如下：</w:t>
      </w:r>
    </w:p>
    <w:p>
      <w:pPr>
        <w:numPr>
          <w:ilvl w:val="0"/>
          <w:numId w:val="4"/>
        </w:num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我单位本招标项目所提供的货物或服务未侵犯知识产权。</w:t>
      </w:r>
    </w:p>
    <w:p>
      <w:pPr>
        <w:widowControl/>
        <w:numPr>
          <w:ilvl w:val="0"/>
          <w:numId w:val="4"/>
        </w:numPr>
        <w:shd w:val="clear" w:color="auto"/>
        <w:spacing w:line="400" w:lineRule="exact"/>
        <w:ind w:right="-4" w:firstLine="482"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b/>
          <w:bCs/>
          <w:color w:val="auto"/>
          <w:sz w:val="24"/>
        </w:rPr>
        <w:t>我单位</w:t>
      </w:r>
      <w:r>
        <w:rPr>
          <w:rFonts w:hint="eastAsia" w:ascii="仿宋_GB2312" w:hAnsi="仿宋_GB2312" w:eastAsia="仿宋_GB2312" w:cs="仿宋_GB2312"/>
          <w:b/>
          <w:bCs/>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仿宋_GB2312" w:hAnsi="仿宋_GB2312" w:eastAsia="仿宋_GB2312" w:cs="仿宋_GB2312"/>
          <w:color w:val="auto"/>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4"/>
        </w:numPr>
        <w:shd w:val="clear" w:color="auto"/>
        <w:spacing w:line="400" w:lineRule="exact"/>
        <w:ind w:right="-4" w:firstLine="482" w:firstLineChars="200"/>
        <w:jc w:val="left"/>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sz w:val="24"/>
        </w:rPr>
        <w:t>我单位</w:t>
      </w:r>
      <w:r>
        <w:rPr>
          <w:rFonts w:hint="eastAsia" w:ascii="仿宋_GB2312" w:hAnsi="仿宋_GB2312" w:eastAsia="仿宋_GB2312" w:cs="仿宋_GB2312"/>
          <w:b/>
          <w:bCs/>
          <w:color w:val="auto"/>
          <w:kern w:val="0"/>
          <w:sz w:val="24"/>
        </w:rPr>
        <w:t>及其法定代表人近三年内（投标人成立不足三年的可从成立之日起算）无行贿犯罪记录；</w:t>
      </w:r>
    </w:p>
    <w:p>
      <w:pPr>
        <w:numPr>
          <w:ilvl w:val="0"/>
          <w:numId w:val="4"/>
        </w:num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我单位具备《中华人民共和国政府采购法》第二十二条第一款的条件。</w:t>
      </w:r>
    </w:p>
    <w:p>
      <w:pPr>
        <w:numPr>
          <w:ilvl w:val="0"/>
          <w:numId w:val="4"/>
        </w:num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符合财政部和深圳市财政局关于诚信管理的要求，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仿宋_GB2312" w:hAnsi="仿宋_GB2312" w:eastAsia="仿宋_GB2312" w:cs="仿宋_GB2312"/>
          <w:color w:val="auto"/>
          <w:sz w:val="24"/>
        </w:rPr>
        <w:t>。</w:t>
      </w:r>
    </w:p>
    <w:p>
      <w:pPr>
        <w:numPr>
          <w:ilvl w:val="0"/>
          <w:numId w:val="4"/>
        </w:num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4"/>
        </w:num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我单位如果中标，做到诚实守信，依照本项目招标文件需求内容、签署的采购合同及本单位在投标中所作的一切承诺履约；不非法转包、分包。</w:t>
      </w:r>
    </w:p>
    <w:p>
      <w:pPr>
        <w:numPr>
          <w:ilvl w:val="0"/>
          <w:numId w:val="4"/>
        </w:num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4"/>
        </w:num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4"/>
        </w:num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我单位承诺未参与本项目的采购需求、技术指标、商务指标等内容的设定，不存在对其他投标单位不公平的行为。</w:t>
      </w:r>
    </w:p>
    <w:p>
      <w:pPr>
        <w:numPr>
          <w:ilvl w:val="0"/>
          <w:numId w:val="4"/>
        </w:num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以上承诺，如有违反，愿依照国家相关法律处理，并承担由此给采购人带来的损失。</w:t>
      </w:r>
    </w:p>
    <w:p>
      <w:pPr>
        <w:spacing w:line="400" w:lineRule="exact"/>
        <w:ind w:firstLine="480" w:firstLineChars="200"/>
        <w:rPr>
          <w:rFonts w:ascii="仿宋_GB2312" w:hAnsi="仿宋_GB2312" w:eastAsia="仿宋_GB2312" w:cs="仿宋_GB2312"/>
          <w:color w:val="auto"/>
          <w:sz w:val="24"/>
        </w:rPr>
      </w:pPr>
    </w:p>
    <w:p>
      <w:pPr>
        <w:tabs>
          <w:tab w:val="left" w:pos="4860"/>
        </w:tabs>
        <w:adjustRightInd w:val="0"/>
        <w:snapToGrid w:val="0"/>
        <w:spacing w:line="400" w:lineRule="exact"/>
        <w:ind w:right="105" w:rightChars="50"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投标供应商法定代表人或授权代表（签字或签章）：                  </w:t>
      </w:r>
    </w:p>
    <w:p>
      <w:pPr>
        <w:tabs>
          <w:tab w:val="left" w:pos="4860"/>
        </w:tabs>
        <w:adjustRightInd w:val="0"/>
        <w:snapToGrid w:val="0"/>
        <w:spacing w:line="400" w:lineRule="exact"/>
        <w:ind w:right="105" w:rightChars="50"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投标供应商名称（盖章）：</w:t>
      </w:r>
    </w:p>
    <w:p>
      <w:pPr>
        <w:tabs>
          <w:tab w:val="left" w:pos="4860"/>
        </w:tabs>
        <w:adjustRightInd w:val="0"/>
        <w:snapToGrid w:val="0"/>
        <w:spacing w:line="400" w:lineRule="exact"/>
        <w:ind w:right="105" w:rightChars="50"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日期：   年  月   日</w:t>
      </w:r>
    </w:p>
    <w:p>
      <w:pPr>
        <w:numPr>
          <w:ilvl w:val="0"/>
          <w:numId w:val="0"/>
        </w:numPr>
        <w:spacing w:line="400" w:lineRule="exact"/>
        <w:ind w:leftChars="200"/>
        <w:jc w:val="left"/>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rPr>
        <w:br w:type="page"/>
      </w:r>
      <w:r>
        <w:rPr>
          <w:rFonts w:hint="eastAsia" w:ascii="仿宋_GB2312" w:hAnsi="仿宋_GB2312" w:eastAsia="仿宋_GB2312" w:cs="仿宋_GB2312"/>
          <w:color w:val="auto"/>
          <w:sz w:val="24"/>
          <w:lang w:val="fr-CH" w:eastAsia="zh-CN"/>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val="fr-CH" w:eastAsia="zh-CN"/>
        </w:rPr>
        <w:t>）</w:t>
      </w:r>
      <w:r>
        <w:rPr>
          <w:rFonts w:hint="default" w:ascii="仿宋_GB2312" w:hAnsi="仿宋_GB2312" w:eastAsia="仿宋_GB2312" w:cs="仿宋_GB2312"/>
          <w:color w:val="auto"/>
          <w:sz w:val="24"/>
          <w:lang w:val="fr-CH"/>
        </w:rPr>
        <w:t>政府采购违法行为风险知悉确认书</w:t>
      </w:r>
    </w:p>
    <w:p>
      <w:pPr>
        <w:numPr>
          <w:ilvl w:val="0"/>
          <w:numId w:val="0"/>
        </w:numPr>
        <w:spacing w:line="400" w:lineRule="exact"/>
        <w:ind w:leftChars="200"/>
        <w:jc w:val="center"/>
        <w:rPr>
          <w:rFonts w:hint="eastAsia" w:ascii="仿宋_GB2312" w:hAnsi="仿宋_GB2312" w:eastAsia="仿宋_GB2312" w:cs="仿宋_GB2312"/>
          <w:color w:val="auto"/>
          <w:lang w:eastAsia="zh-CN"/>
        </w:rPr>
      </w:pPr>
    </w:p>
    <w:p>
      <w:pPr>
        <w:numPr>
          <w:ilvl w:val="0"/>
          <w:numId w:val="0"/>
        </w:numPr>
        <w:spacing w:line="400" w:lineRule="exact"/>
        <w:ind w:leftChars="200"/>
        <w:jc w:val="center"/>
        <w:rPr>
          <w:rFonts w:hint="eastAsia" w:ascii="仿宋_GB2312" w:hAnsi="仿宋_GB2312" w:eastAsia="仿宋_GB2312" w:cs="仿宋_GB2312"/>
          <w:color w:val="auto"/>
          <w:sz w:val="24"/>
          <w:lang w:val="fr-CH"/>
        </w:rPr>
      </w:pPr>
      <w:r>
        <w:rPr>
          <w:rFonts w:hint="default" w:eastAsia="仿宋_GB2312" w:cs="仿宋_GB2312" w:asciiTheme="majorAscii" w:hAnsiTheme="majorAscii"/>
          <w:b/>
          <w:bCs/>
          <w:color w:val="auto"/>
          <w:sz w:val="32"/>
          <w:szCs w:val="32"/>
          <w:lang w:val="fr-CH"/>
        </w:rPr>
        <w:t>政府采购违法行为风险知悉确认书</w:t>
      </w:r>
    </w:p>
    <w:p>
      <w:pPr>
        <w:numPr>
          <w:ilvl w:val="0"/>
          <w:numId w:val="0"/>
        </w:numPr>
        <w:spacing w:line="400" w:lineRule="exact"/>
        <w:ind w:leftChars="200" w:firstLine="480" w:firstLine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一、本公司已充分知悉“隐瞒真实情况，提供虚假资料”的法定情形，相关情形包括但不限于：</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（一）通过转让或者租借等方式从其他单位获取资格或者资质证书投标的。</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（二）由其他单位或者其他单位负责人在投标供应商编制的投标文件上加盖印章或者签字的。</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（三）项目负责人或者主要技术人员不是本单位人员的。</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（四）投标保证金不是从投标供应商基本账户转出的。</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（五）其他隐瞒真实情况、提供虚假资料的行为。</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二、本公司已充分知悉“与其他采购参加人串通投标”的法定情形，相关情形包括但不限于：</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（一）投标供应商之间相互约定给予未中标的供应商利益补偿。</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（二）不同投标供应商的法定代表人、主要经营负责人、项目投标授权代表人、项目负责人、主要技术人员为同一人、属同一单位或者在同一单位缴纳社会保险。</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（三）不同投标供应商的投标文件由同一单位或者同一人编制，或者由同一人分阶段参与编制的。</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（四）不同投标供应商的投标文件或部分投标文件相互混装。</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（五）不同投标供应商的投标文件内容存在非正常一致。</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（六）由同一单位工作人员为两家以上（含两家）供应商进行同一项投标活动的。</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（七）不同投标人的投标报价呈规律性差异。</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（八）不同投标人的投标保证金从同一单位或者个人的账户转出。</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（九）主管部门依照法律、法规认定的其他情形。</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三、本公司已充分知悉下列情形所对应的法律风险，并在投标前已对相关风险事项进行排查。</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（三）对于涉及安全生产、特种作业、抢险救灾、防疫等政府采购项目，供应商实施提供虚假资料、串通投标等违法行为的，主管部门将依法从严处理。</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四、本公司已充分知悉政府采购违法、违规行为的法律后果。</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400" w:lineRule="exact"/>
        <w:ind w:left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以下文字请投标供应商抄写并确认：“本公司已仔细阅读《政府采购违法行为风险知悉确认书》，充分知悉违法行为的法律后果，并承诺将严谨、诚信、依法依规参与政府采购活动”。</w:t>
      </w:r>
    </w:p>
    <w:p>
      <w:pPr>
        <w:numPr>
          <w:ilvl w:val="0"/>
          <w:numId w:val="0"/>
        </w:numPr>
        <w:spacing w:line="400" w:lineRule="exact"/>
        <w:ind w:leftChars="200"/>
        <w:rPr>
          <w:rFonts w:hint="eastAsia" w:ascii="仿宋_GB2312" w:hAnsi="仿宋_GB2312" w:eastAsia="仿宋_GB2312" w:cs="仿宋_GB2312"/>
          <w:color w:val="auto"/>
          <w:sz w:val="24"/>
          <w:lang w:val="fr-CH"/>
        </w:rPr>
      </w:pP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 xml:space="preserve">                                                                                              </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 xml:space="preserve">                                                                             </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负责人/投标授权代表签名：</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知悉人（公章）：</w:t>
      </w:r>
    </w:p>
    <w:p>
      <w:pPr>
        <w:numPr>
          <w:ilvl w:val="0"/>
          <w:numId w:val="0"/>
        </w:numPr>
        <w:spacing w:line="400" w:lineRule="exact"/>
        <w:ind w:leftChars="200"/>
        <w:rPr>
          <w:rFonts w:hint="eastAsia"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日期：</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pPr>
        <w:numPr>
          <w:ilvl w:val="0"/>
          <w:numId w:val="0"/>
        </w:numPr>
        <w:tabs>
          <w:tab w:val="left" w:pos="640"/>
          <w:tab w:val="left" w:pos="1260"/>
          <w:tab w:val="left" w:pos="1418"/>
        </w:tabs>
        <w:spacing w:line="400" w:lineRule="exact"/>
        <w:ind w:leftChars="0"/>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关于资格的声明函；</w:t>
      </w:r>
    </w:p>
    <w:p>
      <w:pPr>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关于资格的声明函</w:t>
      </w:r>
    </w:p>
    <w:p>
      <w:pPr>
        <w:pStyle w:val="2"/>
        <w:spacing w:line="400" w:lineRule="exact"/>
        <w:rPr>
          <w:rFonts w:ascii="仿宋_GB2312" w:hAnsi="仿宋_GB2312" w:eastAsia="仿宋_GB2312" w:cs="仿宋_GB2312"/>
          <w:color w:val="auto"/>
        </w:rPr>
      </w:pP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（采购单位名称/代理机构名称）：</w:t>
      </w:r>
    </w:p>
    <w:p>
      <w:pPr>
        <w:spacing w:line="400" w:lineRule="exact"/>
        <w:ind w:firstLine="566" w:firstLineChars="236"/>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 投标人名称）    </w:t>
      </w:r>
      <w:r>
        <w:rPr>
          <w:rFonts w:hint="eastAsia" w:ascii="仿宋_GB2312" w:hAnsi="仿宋_GB2312" w:eastAsia="仿宋_GB2312" w:cs="仿宋_GB2312"/>
          <w:color w:val="auto"/>
          <w:sz w:val="24"/>
        </w:rPr>
        <w:t xml:space="preserve"> 参与了</w:t>
      </w:r>
      <w:r>
        <w:rPr>
          <w:rFonts w:hint="eastAsia" w:ascii="仿宋_GB2312" w:hAnsi="仿宋_GB2312" w:eastAsia="仿宋_GB2312" w:cs="仿宋_GB2312"/>
          <w:color w:val="auto"/>
          <w:sz w:val="24"/>
          <w:u w:val="single"/>
        </w:rPr>
        <w:t xml:space="preserve"> （项目名称 、招标编号） </w:t>
      </w:r>
      <w:r>
        <w:rPr>
          <w:rFonts w:hint="eastAsia" w:ascii="仿宋_GB2312" w:hAnsi="仿宋_GB2312" w:eastAsia="仿宋_GB2312" w:cs="仿宋_GB2312"/>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00" w:lineRule="exact"/>
        <w:ind w:left="420"/>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pPr>
        <w:spacing w:line="400" w:lineRule="exact"/>
        <w:ind w:left="420"/>
        <w:rPr>
          <w:rFonts w:ascii="仿宋_GB2312" w:hAnsi="仿宋_GB2312" w:eastAsia="仿宋_GB2312" w:cs="仿宋_GB2312"/>
          <w:color w:val="auto"/>
          <w:sz w:val="24"/>
        </w:rPr>
      </w:pPr>
    </w:p>
    <w:p>
      <w:pPr>
        <w:tabs>
          <w:tab w:val="left" w:pos="4860"/>
        </w:tabs>
        <w:adjustRightInd w:val="0"/>
        <w:snapToGrid w:val="0"/>
        <w:spacing w:line="400" w:lineRule="exact"/>
        <w:ind w:right="105" w:rightChars="50"/>
        <w:jc w:val="right"/>
        <w:rPr>
          <w:rFonts w:ascii="仿宋_GB2312" w:hAnsi="仿宋_GB2312" w:eastAsia="仿宋_GB2312" w:cs="仿宋_GB2312"/>
          <w:color w:val="auto"/>
          <w:sz w:val="24"/>
        </w:rPr>
      </w:pPr>
    </w:p>
    <w:p>
      <w:pPr>
        <w:tabs>
          <w:tab w:val="left" w:pos="4860"/>
        </w:tabs>
        <w:adjustRightInd w:val="0"/>
        <w:snapToGrid w:val="0"/>
        <w:spacing w:line="400" w:lineRule="exact"/>
        <w:ind w:right="105" w:rightChars="50"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投标供应商名称（盖章）：</w:t>
      </w:r>
    </w:p>
    <w:p>
      <w:pPr>
        <w:spacing w:line="40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日期：   年  月  日</w:t>
      </w:r>
    </w:p>
    <w:p>
      <w:pPr>
        <w:jc w:val="left"/>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br w:type="page"/>
      </w:r>
      <w:r>
        <w:rPr>
          <w:rFonts w:hint="eastAsia" w:ascii="仿宋_GB2312" w:hAnsi="仿宋_GB2312" w:eastAsia="仿宋_GB2312" w:cs="仿宋_GB2312"/>
          <w:color w:val="auto"/>
          <w:sz w:val="24"/>
          <w:lang w:val="fr-CH" w:eastAsia="zh-CN"/>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lang w:val="fr-CH" w:eastAsia="zh-CN"/>
        </w:rPr>
        <w:t>）</w:t>
      </w:r>
      <w:r>
        <w:rPr>
          <w:rFonts w:hint="eastAsia" w:ascii="仿宋_GB2312" w:hAnsi="仿宋_GB2312" w:eastAsia="仿宋_GB2312" w:cs="仿宋_GB2312"/>
          <w:color w:val="auto"/>
          <w:sz w:val="24"/>
          <w:lang w:val="fr-CH"/>
        </w:rPr>
        <w:t>法人代表证明书及身份证明；</w:t>
      </w:r>
    </w:p>
    <w:p>
      <w:pPr>
        <w:spacing w:line="400" w:lineRule="exact"/>
        <w:jc w:val="center"/>
        <w:rPr>
          <w:rFonts w:ascii="仿宋_GB2312" w:hAnsi="仿宋_GB2312" w:eastAsia="仿宋_GB2312" w:cs="仿宋_GB2312"/>
          <w:b/>
          <w:color w:val="auto"/>
          <w:sz w:val="24"/>
        </w:rPr>
      </w:pPr>
    </w:p>
    <w:p>
      <w:pPr>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法定代表人证明书</w:t>
      </w:r>
    </w:p>
    <w:p>
      <w:pPr>
        <w:spacing w:line="400" w:lineRule="exact"/>
        <w:rPr>
          <w:rFonts w:ascii="仿宋_GB2312" w:hAnsi="仿宋_GB2312" w:eastAsia="仿宋_GB2312" w:cs="仿宋_GB2312"/>
          <w:color w:val="auto"/>
          <w:sz w:val="24"/>
          <w:u w:val="single"/>
        </w:rPr>
      </w:pP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同志，现任我单位职务，为法定代表人，特此证明。</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签发日期：             有效日期：         单位：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附：代表人性别：   年龄：      身份证号码：</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营业执照号码：                 经济性质：</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主营（产）：</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兼营（产）：</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进口物品经营许可证号码：</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主营：</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兼营：</w:t>
      </w:r>
    </w:p>
    <w:p>
      <w:pPr>
        <w:spacing w:line="400" w:lineRule="exact"/>
        <w:ind w:firstLine="480" w:firstLineChars="200"/>
        <w:rPr>
          <w:rFonts w:ascii="仿宋_GB2312" w:hAnsi="仿宋_GB2312" w:eastAsia="仿宋_GB2312" w:cs="仿宋_GB2312"/>
          <w:color w:val="auto"/>
          <w:sz w:val="24"/>
        </w:rPr>
      </w:pP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说明：1.法定代表人为企业事业单位、国家机关、社会团体的主要行政负责人。</w:t>
      </w: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2.内容必须填写真实、清楚，涂改无效，不得转让、买卖.</w:t>
      </w:r>
    </w:p>
    <w:p>
      <w:pPr>
        <w:tabs>
          <w:tab w:val="left" w:pos="3780"/>
        </w:tabs>
        <w:spacing w:line="400" w:lineRule="exact"/>
        <w:rPr>
          <w:rFonts w:ascii="仿宋_GB2312" w:hAnsi="仿宋_GB2312" w:eastAsia="仿宋_GB2312" w:cs="仿宋_GB2312"/>
          <w:color w:val="auto"/>
          <w:sz w:val="24"/>
        </w:rPr>
      </w:pPr>
    </w:p>
    <w:p>
      <w:pPr>
        <w:tabs>
          <w:tab w:val="left" w:pos="3780"/>
        </w:tabs>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投标供应商名称（盖章）：</w:t>
      </w:r>
    </w:p>
    <w:p>
      <w:pPr>
        <w:tabs>
          <w:tab w:val="left" w:pos="3780"/>
        </w:tabs>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法定代表人（签字或签章）：</w:t>
      </w:r>
    </w:p>
    <w:p>
      <w:pPr>
        <w:spacing w:line="400" w:lineRule="exact"/>
        <w:rPr>
          <w:rFonts w:ascii="仿宋_GB2312" w:hAnsi="仿宋_GB2312" w:eastAsia="仿宋_GB2312" w:cs="仿宋_GB2312"/>
          <w:color w:val="auto"/>
          <w:sz w:val="24"/>
        </w:rPr>
      </w:pPr>
    </w:p>
    <w:p>
      <w:pPr>
        <w:spacing w:before="120" w:after="120" w:line="400" w:lineRule="exact"/>
        <w:jc w:val="left"/>
        <w:rPr>
          <w:rFonts w:ascii="仿宋_GB2312" w:hAnsi="仿宋_GB2312" w:eastAsia="仿宋_GB2312" w:cs="仿宋_GB2312"/>
          <w:color w:val="auto"/>
          <w:szCs w:val="21"/>
        </w:rPr>
      </w:pPr>
      <w:r>
        <w:rPr>
          <w:rFonts w:hint="eastAsia" w:ascii="仿宋_GB2312" w:hAnsi="仿宋_GB2312" w:eastAsia="仿宋_GB2312" w:cs="仿宋_GB2312"/>
          <w:b/>
          <w:color w:val="auto"/>
          <w:sz w:val="24"/>
        </w:rPr>
        <w:t>附身份证正反面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spacing w:before="120" w:after="120" w:line="400" w:lineRule="exact"/>
              <w:jc w:val="left"/>
              <w:rPr>
                <w:rFonts w:ascii="仿宋_GB2312" w:hAnsi="仿宋_GB2312" w:eastAsia="仿宋_GB2312" w:cs="仿宋_GB2312"/>
                <w:b/>
                <w:bCs/>
                <w:color w:val="auto"/>
                <w:szCs w:val="21"/>
              </w:rPr>
            </w:pPr>
          </w:p>
        </w:tc>
        <w:tc>
          <w:tcPr>
            <w:tcW w:w="4677" w:type="dxa"/>
          </w:tcPr>
          <w:p>
            <w:pPr>
              <w:pStyle w:val="11"/>
              <w:spacing w:line="400" w:lineRule="exact"/>
              <w:rPr>
                <w:rFonts w:ascii="仿宋_GB2312" w:hAnsi="仿宋_GB2312" w:eastAsia="仿宋_GB2312" w:cs="仿宋_GB2312"/>
                <w:b/>
                <w:bCs/>
                <w:color w:val="auto"/>
                <w:szCs w:val="21"/>
              </w:rPr>
            </w:pPr>
          </w:p>
        </w:tc>
      </w:tr>
    </w:tbl>
    <w:p>
      <w:pPr>
        <w:pStyle w:val="2"/>
        <w:spacing w:line="400" w:lineRule="exact"/>
        <w:rPr>
          <w:rFonts w:ascii="仿宋_GB2312" w:hAnsi="仿宋_GB2312" w:eastAsia="仿宋_GB2312" w:cs="仿宋_GB2312"/>
          <w:color w:val="auto"/>
          <w:lang w:val="fr-CH"/>
        </w:rPr>
      </w:pPr>
    </w:p>
    <w:p>
      <w:pPr>
        <w:numPr>
          <w:ilvl w:val="0"/>
          <w:numId w:val="0"/>
        </w:numPr>
        <w:tabs>
          <w:tab w:val="left" w:pos="640"/>
          <w:tab w:val="left" w:pos="1260"/>
          <w:tab w:val="left" w:pos="1418"/>
        </w:tabs>
        <w:spacing w:line="400" w:lineRule="exact"/>
        <w:ind w:leftChars="0"/>
        <w:jc w:val="left"/>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br w:type="page"/>
      </w:r>
      <w:r>
        <w:rPr>
          <w:rFonts w:hint="eastAsia" w:ascii="仿宋_GB2312" w:hAnsi="仿宋_GB2312" w:eastAsia="仿宋_GB2312" w:cs="仿宋_GB2312"/>
          <w:color w:val="auto"/>
          <w:sz w:val="24"/>
          <w:lang w:val="fr-CH" w:eastAsia="zh-CN"/>
        </w:rPr>
        <w:t>（</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lang w:val="fr-CH" w:eastAsia="zh-CN"/>
        </w:rPr>
        <w:t>）</w:t>
      </w:r>
      <w:r>
        <w:rPr>
          <w:rFonts w:hint="eastAsia" w:ascii="仿宋_GB2312" w:hAnsi="仿宋_GB2312" w:eastAsia="仿宋_GB2312" w:cs="仿宋_GB2312"/>
          <w:color w:val="auto"/>
          <w:sz w:val="24"/>
          <w:lang w:val="fr-CH"/>
        </w:rPr>
        <w:t>法定代表人授权书及身份证明；</w:t>
      </w:r>
    </w:p>
    <w:p>
      <w:pPr>
        <w:pStyle w:val="11"/>
        <w:spacing w:line="400" w:lineRule="exact"/>
        <w:jc w:val="center"/>
        <w:rPr>
          <w:rFonts w:ascii="仿宋_GB2312" w:hAnsi="仿宋_GB2312" w:eastAsia="仿宋_GB2312" w:cs="仿宋_GB2312"/>
          <w:b/>
          <w:color w:val="auto"/>
          <w:sz w:val="24"/>
        </w:rPr>
      </w:pPr>
    </w:p>
    <w:p>
      <w:pPr>
        <w:spacing w:line="4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法定代表人授权书</w:t>
      </w:r>
    </w:p>
    <w:p>
      <w:pPr>
        <w:pStyle w:val="11"/>
        <w:spacing w:line="400" w:lineRule="exact"/>
        <w:rPr>
          <w:rFonts w:ascii="仿宋_GB2312" w:hAnsi="仿宋_GB2312" w:eastAsia="仿宋_GB2312" w:cs="仿宋_GB2312"/>
          <w:color w:val="auto"/>
          <w:sz w:val="24"/>
        </w:rPr>
      </w:pPr>
    </w:p>
    <w:p>
      <w:pPr>
        <w:pStyle w:val="11"/>
        <w:spacing w:line="40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深圳市前海深港现代服务业合作区管理局：</w:t>
      </w:r>
    </w:p>
    <w:p>
      <w:pPr>
        <w:pStyle w:val="11"/>
        <w:spacing w:line="400" w:lineRule="exact"/>
        <w:ind w:firstLine="42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本授权书声明：注册于</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（国家或地区）的</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（投标人名称）的在下面签字的</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（法定代表人姓名、职务）代表本公司授权在下面签字的</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（被授权人的姓名、职务）为本公司的合法代表人，就</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[招标编号为：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]的投标和合同执行，以我方的名义处理一切与之有关的事宜。</w:t>
      </w:r>
    </w:p>
    <w:p>
      <w:pPr>
        <w:pStyle w:val="11"/>
        <w:spacing w:line="400" w:lineRule="exact"/>
        <w:rPr>
          <w:rFonts w:ascii="仿宋_GB2312" w:hAnsi="仿宋_GB2312" w:eastAsia="仿宋_GB2312" w:cs="仿宋_GB2312"/>
          <w:color w:val="auto"/>
          <w:sz w:val="24"/>
        </w:rPr>
      </w:pPr>
    </w:p>
    <w:p>
      <w:pPr>
        <w:spacing w:line="400" w:lineRule="exact"/>
        <w:ind w:firstLine="57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本授权书于</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日签字生效，特此声明。</w:t>
      </w: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p>
    <w:p>
      <w:pPr>
        <w:tabs>
          <w:tab w:val="left" w:pos="3780"/>
        </w:tabs>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投标供应商名称（盖章）：</w:t>
      </w:r>
    </w:p>
    <w:p>
      <w:pPr>
        <w:tabs>
          <w:tab w:val="left" w:pos="3780"/>
        </w:tabs>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法定代表人（签字或签章）：</w:t>
      </w:r>
    </w:p>
    <w:p>
      <w:pPr>
        <w:tabs>
          <w:tab w:val="left" w:pos="3780"/>
        </w:tabs>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被授权人代表（签字或签章）：</w:t>
      </w:r>
    </w:p>
    <w:p>
      <w:pPr>
        <w:tabs>
          <w:tab w:val="left" w:pos="640"/>
          <w:tab w:val="left" w:pos="1260"/>
          <w:tab w:val="left" w:pos="1418"/>
        </w:tabs>
        <w:spacing w:line="400" w:lineRule="exact"/>
        <w:rPr>
          <w:rFonts w:ascii="仿宋_GB2312" w:hAnsi="仿宋_GB2312" w:eastAsia="仿宋_GB2312" w:cs="仿宋_GB2312"/>
          <w:b/>
          <w:color w:val="auto"/>
          <w:sz w:val="24"/>
        </w:rPr>
      </w:pPr>
    </w:p>
    <w:p>
      <w:pPr>
        <w:tabs>
          <w:tab w:val="left" w:pos="640"/>
          <w:tab w:val="left" w:pos="1260"/>
          <w:tab w:val="left" w:pos="1418"/>
        </w:tabs>
        <w:spacing w:line="400" w:lineRule="exac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400" w:lineRule="exact"/>
              <w:rPr>
                <w:rFonts w:ascii="仿宋_GB2312" w:hAnsi="仿宋_GB2312" w:eastAsia="仿宋_GB2312" w:cs="仿宋_GB2312"/>
                <w:b/>
                <w:bCs/>
                <w:color w:val="auto"/>
                <w:szCs w:val="21"/>
              </w:rPr>
            </w:pPr>
          </w:p>
        </w:tc>
        <w:tc>
          <w:tcPr>
            <w:tcW w:w="4677" w:type="dxa"/>
          </w:tcPr>
          <w:p>
            <w:pPr>
              <w:pStyle w:val="11"/>
              <w:spacing w:line="400" w:lineRule="exact"/>
              <w:rPr>
                <w:rFonts w:ascii="仿宋_GB2312" w:hAnsi="仿宋_GB2312" w:eastAsia="仿宋_GB2312" w:cs="仿宋_GB2312"/>
                <w:b/>
                <w:bCs/>
                <w:color w:val="auto"/>
                <w:szCs w:val="21"/>
              </w:rPr>
            </w:pPr>
          </w:p>
        </w:tc>
      </w:tr>
    </w:tbl>
    <w:p>
      <w:pPr>
        <w:pStyle w:val="2"/>
        <w:spacing w:line="400" w:lineRule="exact"/>
        <w:rPr>
          <w:rFonts w:ascii="仿宋_GB2312" w:hAnsi="仿宋_GB2312" w:eastAsia="仿宋_GB2312" w:cs="仿宋_GB2312"/>
          <w:color w:val="auto"/>
          <w:lang w:val="fr-CH"/>
        </w:rPr>
      </w:pPr>
    </w:p>
    <w:p>
      <w:pPr>
        <w:numPr>
          <w:ilvl w:val="0"/>
          <w:numId w:val="0"/>
        </w:numPr>
        <w:tabs>
          <w:tab w:val="left" w:pos="640"/>
          <w:tab w:val="left" w:pos="1260"/>
          <w:tab w:val="left" w:pos="1418"/>
        </w:tabs>
        <w:spacing w:line="400" w:lineRule="exact"/>
        <w:ind w:leftChars="0"/>
        <w:jc w:val="left"/>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br w:type="page"/>
      </w:r>
      <w:r>
        <w:rPr>
          <w:rFonts w:hint="eastAsia" w:ascii="仿宋_GB2312" w:hAnsi="仿宋_GB2312" w:eastAsia="仿宋_GB2312" w:cs="仿宋_GB2312"/>
          <w:color w:val="auto"/>
          <w:sz w:val="24"/>
          <w:lang w:val="fr-CH" w:eastAsia="zh-CN"/>
        </w:rPr>
        <w:t>（</w:t>
      </w: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lang w:val="fr-CH" w:eastAsia="zh-CN"/>
        </w:rPr>
        <w:t>）</w:t>
      </w:r>
      <w:r>
        <w:rPr>
          <w:rFonts w:hint="eastAsia" w:ascii="仿宋_GB2312" w:hAnsi="仿宋_GB2312" w:eastAsia="仿宋_GB2312" w:cs="仿宋_GB2312"/>
          <w:color w:val="auto"/>
          <w:sz w:val="24"/>
          <w:lang w:val="fr-CH"/>
        </w:rPr>
        <w:t>招标代理服务费承诺书；</w:t>
      </w:r>
    </w:p>
    <w:p>
      <w:pPr>
        <w:widowControl/>
        <w:autoSpaceDE w:val="0"/>
        <w:autoSpaceDN w:val="0"/>
        <w:spacing w:line="400" w:lineRule="exact"/>
        <w:ind w:left="359" w:right="26" w:hanging="357"/>
        <w:jc w:val="center"/>
        <w:textAlignment w:val="bottom"/>
        <w:rPr>
          <w:rFonts w:ascii="仿宋_GB2312" w:hAnsi="仿宋_GB2312" w:eastAsia="仿宋_GB2312" w:cs="仿宋_GB2312"/>
          <w:b/>
          <w:bCs/>
          <w:color w:val="auto"/>
          <w:sz w:val="24"/>
          <w:lang w:val="fr-CH"/>
        </w:rPr>
      </w:pPr>
    </w:p>
    <w:p>
      <w:pPr>
        <w:spacing w:line="400" w:lineRule="exact"/>
        <w:jc w:val="center"/>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招标代理服务费承诺书</w:t>
      </w:r>
    </w:p>
    <w:p>
      <w:pPr>
        <w:pStyle w:val="2"/>
        <w:spacing w:line="400" w:lineRule="exact"/>
        <w:rPr>
          <w:rFonts w:ascii="仿宋_GB2312" w:hAnsi="仿宋_GB2312" w:eastAsia="仿宋_GB2312" w:cs="仿宋_GB2312"/>
          <w:color w:val="auto"/>
          <w:lang w:val="fr-CH"/>
        </w:rPr>
      </w:pPr>
    </w:p>
    <w:p>
      <w:pPr>
        <w:widowControl/>
        <w:autoSpaceDE w:val="0"/>
        <w:autoSpaceDN w:val="0"/>
        <w:spacing w:line="400" w:lineRule="exact"/>
        <w:ind w:right="26"/>
        <w:textAlignment w:val="bottom"/>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致：深圳交易咨询集团有限公司</w:t>
      </w:r>
    </w:p>
    <w:p>
      <w:pPr>
        <w:widowControl/>
        <w:autoSpaceDE w:val="0"/>
        <w:autoSpaceDN w:val="0"/>
        <w:spacing w:line="400" w:lineRule="exact"/>
        <w:ind w:right="26" w:firstLine="540"/>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我们在贵司代理的</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项目（招标编号：</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仿宋_GB2312" w:hAnsi="仿宋_GB2312" w:eastAsia="仿宋_GB2312" w:cs="仿宋_GB2312"/>
          <w:color w:val="auto"/>
          <w:sz w:val="24"/>
          <w:u w:val="single"/>
        </w:rPr>
        <w:t>招标文件中的规定</w:t>
      </w:r>
      <w:r>
        <w:rPr>
          <w:rFonts w:hint="eastAsia" w:ascii="仿宋_GB2312" w:hAnsi="仿宋_GB2312" w:eastAsia="仿宋_GB2312" w:cs="仿宋_GB2312"/>
          <w:color w:val="auto"/>
          <w:sz w:val="24"/>
        </w:rPr>
        <w:t>计算。</w:t>
      </w:r>
    </w:p>
    <w:p>
      <w:pPr>
        <w:widowControl/>
        <w:autoSpaceDE w:val="0"/>
        <w:autoSpaceDN w:val="0"/>
        <w:spacing w:line="400" w:lineRule="exact"/>
        <w:ind w:right="26" w:firstLine="540"/>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pPr>
        <w:tabs>
          <w:tab w:val="left" w:pos="3780"/>
        </w:tabs>
        <w:spacing w:line="400" w:lineRule="exact"/>
        <w:jc w:val="left"/>
        <w:rPr>
          <w:rFonts w:ascii="仿宋_GB2312" w:hAnsi="仿宋_GB2312" w:eastAsia="仿宋_GB2312" w:cs="仿宋_GB2312"/>
          <w:color w:val="auto"/>
          <w:sz w:val="24"/>
        </w:rPr>
      </w:pPr>
    </w:p>
    <w:p>
      <w:pPr>
        <w:tabs>
          <w:tab w:val="left" w:pos="3780"/>
        </w:tabs>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投标供应商名称（盖章）：</w:t>
      </w:r>
    </w:p>
    <w:p>
      <w:pPr>
        <w:widowControl/>
        <w:autoSpaceDE w:val="0"/>
        <w:autoSpaceDN w:val="0"/>
        <w:spacing w:line="400" w:lineRule="exact"/>
        <w:ind w:left="435" w:leftChars="207" w:right="26" w:firstLine="72" w:firstLineChars="30"/>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投标供应商地址：</w:t>
      </w:r>
    </w:p>
    <w:p>
      <w:pPr>
        <w:widowControl/>
        <w:autoSpaceDE w:val="0"/>
        <w:autoSpaceDN w:val="0"/>
        <w:spacing w:line="400" w:lineRule="exact"/>
        <w:ind w:left="435" w:leftChars="207" w:right="26" w:firstLine="72" w:firstLineChars="30"/>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电话：         </w:t>
      </w:r>
    </w:p>
    <w:p>
      <w:pPr>
        <w:widowControl/>
        <w:autoSpaceDE w:val="0"/>
        <w:autoSpaceDN w:val="0"/>
        <w:spacing w:line="400" w:lineRule="exact"/>
        <w:ind w:left="435" w:leftChars="207" w:right="26" w:firstLine="72" w:firstLineChars="30"/>
        <w:textAlignment w:val="bottom"/>
        <w:rPr>
          <w:rFonts w:ascii="仿宋_GB2312" w:hAnsi="仿宋_GB2312" w:eastAsia="仿宋_GB2312" w:cs="仿宋_GB2312"/>
          <w:color w:val="auto"/>
          <w:sz w:val="24"/>
        </w:rPr>
      </w:pPr>
      <w:r>
        <w:rPr>
          <w:rFonts w:hint="eastAsia" w:ascii="仿宋_GB2312" w:hAnsi="仿宋_GB2312" w:eastAsia="仿宋_GB2312" w:cs="仿宋_GB2312"/>
          <w:color w:val="auto"/>
          <w:sz w:val="24"/>
        </w:rPr>
        <w:t>传真：</w:t>
      </w:r>
    </w:p>
    <w:p>
      <w:pPr>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承诺</w:t>
      </w:r>
      <w:r>
        <w:rPr>
          <w:rFonts w:hint="eastAsia" w:ascii="仿宋_GB2312" w:hAnsi="仿宋_GB2312" w:eastAsia="仿宋_GB2312" w:cs="仿宋_GB2312"/>
          <w:color w:val="auto"/>
          <w:sz w:val="24"/>
        </w:rPr>
        <w:t>日期：   年     月     日</w:t>
      </w:r>
    </w:p>
    <w:p>
      <w:pPr>
        <w:pStyle w:val="2"/>
        <w:spacing w:line="400" w:lineRule="exact"/>
        <w:rPr>
          <w:rFonts w:ascii="仿宋_GB2312" w:hAnsi="仿宋_GB2312" w:eastAsia="仿宋_GB2312" w:cs="仿宋_GB2312"/>
          <w:color w:val="auto"/>
          <w:lang w:val="fr-CH"/>
        </w:rPr>
      </w:pPr>
    </w:p>
    <w:p>
      <w:pPr>
        <w:tabs>
          <w:tab w:val="left" w:pos="640"/>
          <w:tab w:val="left" w:pos="1260"/>
          <w:tab w:val="left" w:pos="1418"/>
        </w:tabs>
        <w:spacing w:line="400" w:lineRule="exact"/>
        <w:rPr>
          <w:rFonts w:ascii="仿宋_GB2312" w:hAnsi="仿宋_GB2312" w:eastAsia="仿宋_GB2312" w:cs="仿宋_GB2312"/>
          <w:color w:val="auto"/>
          <w:sz w:val="24"/>
          <w:lang w:val="fr-CH"/>
        </w:rPr>
      </w:pPr>
    </w:p>
    <w:p>
      <w:pPr>
        <w:tabs>
          <w:tab w:val="left" w:pos="3780"/>
        </w:tabs>
        <w:spacing w:line="40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fr-CH"/>
        </w:rPr>
        <w:br w:type="page"/>
      </w:r>
    </w:p>
    <w:p>
      <w:pPr>
        <w:pStyle w:val="2"/>
        <w:spacing w:line="400" w:lineRule="exact"/>
        <w:rPr>
          <w:rFonts w:hint="eastAsia" w:ascii="仿宋_GB2312" w:hAnsi="仿宋_GB2312" w:eastAsia="仿宋_GB2312" w:cs="仿宋_GB2312"/>
          <w:color w:val="auto"/>
          <w:lang w:val="fr-CH" w:eastAsia="zh-CN"/>
        </w:rPr>
      </w:pPr>
      <w:r>
        <w:rPr>
          <w:rFonts w:hint="eastAsia" w:ascii="仿宋_GB2312" w:hAnsi="仿宋_GB2312" w:eastAsia="仿宋_GB2312" w:cs="仿宋_GB2312"/>
          <w:color w:val="auto"/>
          <w:lang w:val="fr-CH" w:eastAsia="zh-CN"/>
        </w:rPr>
        <w:t>（</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lang w:val="fr-CH" w:eastAsia="zh-CN"/>
        </w:rPr>
        <w:t>）投标人同类项目业绩情况</w:t>
      </w:r>
    </w:p>
    <w:p>
      <w:pPr>
        <w:rPr>
          <w:rFonts w:hint="eastAsia" w:ascii="仿宋_GB2312" w:hAnsi="仿宋_GB2312" w:eastAsia="仿宋_GB2312" w:cs="仿宋_GB2312"/>
          <w:color w:val="auto"/>
          <w:lang w:val="fr-CH" w:eastAsia="zh-CN"/>
        </w:rPr>
      </w:pPr>
      <w:r>
        <w:rPr>
          <w:rFonts w:hint="eastAsia" w:ascii="仿宋_GB2312" w:hAnsi="仿宋_GB2312" w:eastAsia="仿宋_GB2312" w:cs="仿宋_GB2312"/>
          <w:color w:val="auto"/>
          <w:lang w:val="fr-CH" w:eastAsia="zh-CN"/>
        </w:rPr>
        <w:t>（</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lang w:val="fr-CH" w:eastAsia="zh-CN"/>
        </w:rPr>
        <w:t>）</w:t>
      </w:r>
      <w:r>
        <w:rPr>
          <w:rFonts w:hint="eastAsia" w:ascii="仿宋_GB2312" w:hAnsi="仿宋_GB2312" w:eastAsia="仿宋_GB2312" w:cs="仿宋_GB2312"/>
          <w:color w:val="auto"/>
          <w:szCs w:val="21"/>
        </w:rPr>
        <w:t>拟安排的项目负责人情况（仅限一人）</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lang w:val="fr-CH" w:eastAsia="zh-CN"/>
        </w:rPr>
        <w:t>（</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lang w:val="fr-CH" w:eastAsia="zh-CN"/>
        </w:rPr>
        <w:t>）</w:t>
      </w:r>
      <w:r>
        <w:rPr>
          <w:rFonts w:hint="eastAsia" w:ascii="仿宋_GB2312" w:hAnsi="仿宋_GB2312" w:eastAsia="仿宋_GB2312" w:cs="仿宋_GB2312"/>
          <w:color w:val="auto"/>
          <w:szCs w:val="21"/>
        </w:rPr>
        <w:t>拟安排的项目主要团队成员（主要技术人员）情况（项目负责人除外）</w:t>
      </w:r>
    </w:p>
    <w:p>
      <w:pPr>
        <w:pStyle w:val="10"/>
        <w:ind w:left="0" w:leftChars="0" w:firstLine="0" w:firstLineChars="0"/>
        <w:jc w:val="left"/>
        <w:rPr>
          <w:rFonts w:hint="eastAsia" w:eastAsia="仿宋_GB2312"/>
          <w:color w:val="auto"/>
          <w:lang w:val="fr-CH" w:eastAsia="zh-CN"/>
        </w:rPr>
      </w:pP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12</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fr-CH" w:eastAsia="zh-CN"/>
        </w:rPr>
        <w:t>投标单位认为有必要提供的其他材料</w:t>
      </w:r>
    </w:p>
    <w:p>
      <w:pPr>
        <w:numPr>
          <w:ilvl w:val="0"/>
          <w:numId w:val="0"/>
        </w:numPr>
        <w:tabs>
          <w:tab w:val="left" w:pos="640"/>
        </w:tabs>
        <w:spacing w:line="400" w:lineRule="exact"/>
        <w:ind w:leftChars="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 xml:space="preserve">  注：以上各项请根据“招标项目评分表”中的要求自行填写并提供相应的证明材料。</w:t>
      </w:r>
    </w:p>
    <w:p>
      <w:pPr>
        <w:numPr>
          <w:ilvl w:val="0"/>
          <w:numId w:val="0"/>
        </w:numPr>
        <w:tabs>
          <w:tab w:val="left" w:pos="640"/>
        </w:tabs>
        <w:spacing w:line="400" w:lineRule="exact"/>
        <w:ind w:leftChars="0"/>
        <w:rPr>
          <w:rFonts w:ascii="仿宋_GB2312" w:hAnsi="仿宋_GB2312" w:eastAsia="仿宋_GB2312" w:cs="仿宋_GB2312"/>
          <w:b/>
          <w:bCs/>
          <w:color w:val="auto"/>
          <w:sz w:val="24"/>
        </w:rPr>
      </w:pPr>
    </w:p>
    <w:p>
      <w:pPr>
        <w:spacing w:before="100" w:beforeAutospacing="1" w:after="100" w:afterAutospacing="1"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pPr>
        <w:spacing w:line="400" w:lineRule="exact"/>
        <w:outlineLvl w:val="2"/>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（三）技术部分</w:t>
      </w:r>
    </w:p>
    <w:p>
      <w:pPr>
        <w:numPr>
          <w:ilvl w:val="0"/>
          <w:numId w:val="5"/>
        </w:numPr>
        <w:tabs>
          <w:tab w:val="left" w:pos="640"/>
          <w:tab w:val="left" w:pos="1260"/>
          <w:tab w:val="left" w:pos="1418"/>
        </w:tabs>
        <w:spacing w:line="400" w:lineRule="exact"/>
        <w:ind w:left="640" w:right="-420" w:rightChars="-200" w:hanging="640"/>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fr-CH"/>
        </w:rPr>
        <w:t>用户需求响应表；</w:t>
      </w:r>
    </w:p>
    <w:p>
      <w:pPr>
        <w:pStyle w:val="11"/>
        <w:spacing w:line="400" w:lineRule="exact"/>
        <w:jc w:val="center"/>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用户需求响应表</w:t>
      </w:r>
    </w:p>
    <w:p>
      <w:pPr>
        <w:pStyle w:val="12"/>
        <w:spacing w:line="400" w:lineRule="exact"/>
        <w:rPr>
          <w:rFonts w:ascii="仿宋_GB2312" w:hAnsi="仿宋_GB2312" w:eastAsia="仿宋_GB2312" w:cs="仿宋_GB2312"/>
          <w:color w:val="auto"/>
          <w:lang w:val="fr-CH"/>
        </w:rPr>
      </w:pP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投标供应商名称：（公章）</w:t>
      </w:r>
      <w:r>
        <w:rPr>
          <w:rFonts w:hint="eastAsia" w:ascii="仿宋_GB2312" w:hAnsi="仿宋_GB2312" w:eastAsia="仿宋_GB2312" w:cs="仿宋_GB2312"/>
          <w:color w:val="auto"/>
          <w:sz w:val="24"/>
          <w:u w:val="single"/>
        </w:rPr>
        <w:t xml:space="preserve">                             </w:t>
      </w:r>
    </w:p>
    <w:p>
      <w:pPr>
        <w:spacing w:line="400" w:lineRule="exact"/>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招标编号：</w:t>
      </w:r>
      <w:r>
        <w:rPr>
          <w:rFonts w:hint="eastAsia" w:ascii="仿宋_GB2312" w:hAnsi="仿宋_GB2312" w:eastAsia="仿宋_GB2312" w:cs="仿宋_GB2312"/>
          <w:color w:val="auto"/>
          <w:sz w:val="24"/>
          <w:u w:val="single"/>
        </w:rPr>
        <w:t xml:space="preserve">                                      </w:t>
      </w:r>
    </w:p>
    <w:p>
      <w:pPr>
        <w:spacing w:after="78" w:line="400" w:lineRule="exac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据招标文件要求，我公司承诺响应如下：</w:t>
      </w:r>
    </w:p>
    <w:tbl>
      <w:tblPr>
        <w:tblStyle w:val="21"/>
        <w:tblW w:w="923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2077"/>
        <w:gridCol w:w="1956"/>
        <w:gridCol w:w="8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00" w:lineRule="exact"/>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序号</w:t>
            </w:r>
          </w:p>
        </w:tc>
        <w:tc>
          <w:tcPr>
            <w:tcW w:w="3507" w:type="dxa"/>
            <w:vAlign w:val="center"/>
          </w:tcPr>
          <w:p>
            <w:pPr>
              <w:spacing w:line="400" w:lineRule="exact"/>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招标文件要求</w:t>
            </w:r>
          </w:p>
        </w:tc>
        <w:tc>
          <w:tcPr>
            <w:tcW w:w="2077" w:type="dxa"/>
            <w:vAlign w:val="center"/>
          </w:tcPr>
          <w:p>
            <w:pPr>
              <w:spacing w:line="400" w:lineRule="exact"/>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投标文件响应</w:t>
            </w:r>
          </w:p>
        </w:tc>
        <w:tc>
          <w:tcPr>
            <w:tcW w:w="1956" w:type="dxa"/>
            <w:vAlign w:val="center"/>
          </w:tcPr>
          <w:p>
            <w:pPr>
              <w:spacing w:line="400" w:lineRule="exact"/>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偏离说明（符合/正偏离/负偏离）</w:t>
            </w:r>
          </w:p>
        </w:tc>
        <w:tc>
          <w:tcPr>
            <w:tcW w:w="821" w:type="dxa"/>
            <w:vAlign w:val="center"/>
          </w:tcPr>
          <w:p>
            <w:pPr>
              <w:spacing w:line="400" w:lineRule="exact"/>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00" w:lineRule="exac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3507" w:type="dxa"/>
            <w:vAlign w:val="center"/>
          </w:tcPr>
          <w:p>
            <w:pPr>
              <w:spacing w:after="78" w:line="400" w:lineRule="exac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本章服务需求书内容为项目正常开展的基本要求，</w:t>
            </w:r>
            <w:r>
              <w:rPr>
                <w:rFonts w:hint="eastAsia" w:ascii="仿宋_GB2312" w:hAnsi="仿宋_GB2312" w:eastAsia="仿宋_GB2312" w:cs="仿宋_GB2312"/>
                <w:b/>
                <w:color w:val="auto"/>
                <w:sz w:val="24"/>
              </w:rPr>
              <w:t>投标人必须完全响应满足招标文件“第五章 用户需求书”的全部内容，否则将导致投标无效。</w:t>
            </w:r>
            <w:r>
              <w:rPr>
                <w:rFonts w:hint="eastAsia" w:ascii="仿宋_GB2312" w:hAnsi="仿宋_GB2312" w:eastAsia="仿宋_GB2312" w:cs="仿宋_GB2312"/>
                <w:bCs/>
                <w:color w:val="auto"/>
                <w:sz w:val="24"/>
              </w:rPr>
              <w:t>如投标人中标后被发现不能满足招标文件“第五章 用户需求书”的，采购单位有权拒绝签订合同，一切后果由投标人承担。</w:t>
            </w:r>
          </w:p>
        </w:tc>
        <w:tc>
          <w:tcPr>
            <w:tcW w:w="2077" w:type="dxa"/>
            <w:vAlign w:val="center"/>
          </w:tcPr>
          <w:p>
            <w:pPr>
              <w:spacing w:line="40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填写说明：此项投标人必须完全响应满足，请投标人于“投标文件响应”栏中填写“投标人完全响应满足招标文件“第五章 用户需求书”的全部内容”即可；</w:t>
            </w:r>
          </w:p>
          <w:p>
            <w:pPr>
              <w:spacing w:line="40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无需另行编制填写内容。</w:t>
            </w:r>
          </w:p>
        </w:tc>
        <w:tc>
          <w:tcPr>
            <w:tcW w:w="1956" w:type="dxa"/>
            <w:vAlign w:val="center"/>
          </w:tcPr>
          <w:p>
            <w:pPr>
              <w:spacing w:line="400" w:lineRule="exact"/>
              <w:jc w:val="center"/>
              <w:rPr>
                <w:rFonts w:ascii="仿宋_GB2312" w:hAnsi="仿宋_GB2312" w:eastAsia="仿宋_GB2312" w:cs="仿宋_GB2312"/>
                <w:bCs/>
                <w:color w:val="auto"/>
                <w:sz w:val="24"/>
              </w:rPr>
            </w:pPr>
          </w:p>
        </w:tc>
        <w:tc>
          <w:tcPr>
            <w:tcW w:w="821" w:type="dxa"/>
            <w:vAlign w:val="center"/>
          </w:tcPr>
          <w:p>
            <w:pPr>
              <w:spacing w:line="400" w:lineRule="exact"/>
              <w:jc w:val="center"/>
              <w:rPr>
                <w:rFonts w:ascii="仿宋_GB2312" w:hAnsi="仿宋_GB2312" w:eastAsia="仿宋_GB2312" w:cs="仿宋_GB2312"/>
                <w:bCs/>
                <w:color w:val="auto"/>
                <w:sz w:val="24"/>
              </w:rPr>
            </w:pPr>
          </w:p>
        </w:tc>
      </w:tr>
    </w:tbl>
    <w:p>
      <w:pPr>
        <w:pStyle w:val="30"/>
        <w:spacing w:line="400" w:lineRule="exact"/>
        <w:ind w:firstLine="0" w:firstLineChars="0"/>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若响应情况优于招标要求，应作详细说明；“偏离情况”栏中根据响应情况填写，没有达到要求的填“负偏离”，达到要求的填“符合”，优于要求的填“正偏离”。</w:t>
      </w:r>
    </w:p>
    <w:p>
      <w:pPr>
        <w:spacing w:line="400" w:lineRule="exact"/>
        <w:rPr>
          <w:rFonts w:ascii="仿宋_GB2312" w:hAnsi="仿宋_GB2312" w:eastAsia="仿宋_GB2312" w:cs="仿宋_GB2312"/>
          <w:color w:val="auto"/>
          <w:sz w:val="24"/>
        </w:rPr>
      </w:pP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投标供应商授权代表：</w:t>
      </w:r>
      <w:r>
        <w:rPr>
          <w:rFonts w:hint="eastAsia" w:ascii="仿宋_GB2312" w:hAnsi="仿宋_GB2312" w:eastAsia="仿宋_GB2312" w:cs="仿宋_GB2312"/>
          <w:color w:val="auto"/>
          <w:sz w:val="24"/>
          <w:u w:val="single"/>
        </w:rPr>
        <w:t xml:space="preserve">                   </w:t>
      </w:r>
    </w:p>
    <w:p>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职              务：</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pacing w:line="400" w:lineRule="exact"/>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日              期：</w:t>
      </w:r>
      <w:r>
        <w:rPr>
          <w:rFonts w:hint="eastAsia" w:ascii="仿宋_GB2312" w:hAnsi="仿宋_GB2312" w:eastAsia="仿宋_GB2312" w:cs="仿宋_GB2312"/>
          <w:color w:val="auto"/>
          <w:sz w:val="24"/>
          <w:u w:val="single"/>
        </w:rPr>
        <w:t xml:space="preserve">                   </w:t>
      </w:r>
    </w:p>
    <w:p>
      <w:pPr>
        <w:pStyle w:val="2"/>
        <w:spacing w:line="400" w:lineRule="exact"/>
        <w:rPr>
          <w:rFonts w:ascii="仿宋_GB2312" w:hAnsi="仿宋_GB2312" w:eastAsia="仿宋_GB2312" w:cs="仿宋_GB2312"/>
          <w:color w:val="auto"/>
          <w:lang w:val="fr-CH"/>
        </w:rPr>
      </w:pPr>
    </w:p>
    <w:p>
      <w:pPr>
        <w:numPr>
          <w:ilvl w:val="0"/>
          <w:numId w:val="5"/>
        </w:numPr>
        <w:tabs>
          <w:tab w:val="left" w:pos="640"/>
          <w:tab w:val="left" w:pos="1260"/>
          <w:tab w:val="left" w:pos="1418"/>
        </w:tabs>
        <w:spacing w:line="400" w:lineRule="exact"/>
        <w:ind w:left="845" w:right="-420" w:rightChars="-200" w:hanging="845"/>
        <w:rPr>
          <w:rFonts w:ascii="仿宋_GB2312" w:hAnsi="仿宋_GB2312" w:eastAsia="仿宋_GB2312" w:cs="仿宋_GB2312"/>
          <w:color w:val="auto"/>
          <w:sz w:val="24"/>
          <w:lang w:val="fr-CH"/>
        </w:rPr>
      </w:pPr>
      <w:r>
        <w:rPr>
          <w:rFonts w:hint="eastAsia" w:ascii="仿宋_GB2312" w:hAnsi="仿宋_GB2312" w:eastAsia="仿宋_GB2312" w:cs="仿宋_GB2312"/>
          <w:color w:val="auto"/>
          <w:sz w:val="24"/>
          <w:lang w:val="sq-AL"/>
        </w:rPr>
        <w:br w:type="page"/>
      </w:r>
      <w:r>
        <w:rPr>
          <w:rFonts w:hint="eastAsia" w:ascii="仿宋_GB2312" w:hAnsi="仿宋_GB2312" w:eastAsia="仿宋_GB2312" w:cs="仿宋_GB2312"/>
          <w:color w:val="auto"/>
          <w:sz w:val="24"/>
          <w:lang w:val="sq-AL" w:eastAsia="zh-CN"/>
        </w:rPr>
        <w:t>实</w:t>
      </w:r>
      <w:r>
        <w:rPr>
          <w:rFonts w:hint="eastAsia" w:ascii="仿宋_GB2312" w:hAnsi="仿宋_GB2312" w:eastAsia="仿宋_GB2312" w:cs="仿宋_GB2312"/>
          <w:color w:val="auto"/>
          <w:sz w:val="24"/>
        </w:rPr>
        <w:t>施方案</w:t>
      </w:r>
    </w:p>
    <w:p>
      <w:pPr>
        <w:pStyle w:val="10"/>
        <w:numPr>
          <w:ilvl w:val="0"/>
          <w:numId w:val="0"/>
        </w:numPr>
        <w:ind w:leftChars="0" w:right="1470" w:rightChars="70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lang w:eastAsia="zh-CN"/>
        </w:rPr>
        <w:t>）项目重点难点分析、应对措施及相关的合理化建议</w:t>
      </w:r>
    </w:p>
    <w:p>
      <w:pPr>
        <w:pStyle w:val="10"/>
        <w:numPr>
          <w:ilvl w:val="0"/>
          <w:numId w:val="0"/>
        </w:numPr>
        <w:ind w:right="1470" w:rightChars="700"/>
        <w:jc w:val="left"/>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color w:val="auto"/>
          <w:sz w:val="24"/>
          <w:lang w:val="en-US" w:eastAsia="zh-CN"/>
        </w:rPr>
        <w:t>（4）数据和报告质量保障措施及方案</w:t>
      </w:r>
      <w:r>
        <w:rPr>
          <w:rFonts w:hint="eastAsia" w:ascii="仿宋_GB2312" w:hAnsi="仿宋_GB2312" w:eastAsia="仿宋_GB2312" w:cs="仿宋_GB2312"/>
          <w:b/>
          <w:bCs/>
          <w:color w:val="auto"/>
          <w:sz w:val="24"/>
          <w:lang w:eastAsia="zh-CN"/>
        </w:rPr>
        <w:tab/>
      </w:r>
    </w:p>
    <w:p>
      <w:pPr>
        <w:pStyle w:val="10"/>
        <w:numPr>
          <w:ilvl w:val="0"/>
          <w:numId w:val="0"/>
        </w:numPr>
        <w:ind w:right="1470" w:rightChars="700"/>
        <w:jc w:val="left"/>
        <w:rPr>
          <w:rFonts w:hint="eastAsia" w:ascii="仿宋_GB2312" w:hAnsi="仿宋_GB2312" w:eastAsia="仿宋_GB2312" w:cs="仿宋_GB2312"/>
          <w:color w:val="auto"/>
          <w:sz w:val="24"/>
          <w:lang w:val="fr-CH" w:eastAsia="zh-CN"/>
        </w:rPr>
      </w:pPr>
      <w:r>
        <w:rPr>
          <w:rFonts w:hint="eastAsia" w:ascii="仿宋_GB2312" w:hAnsi="仿宋_GB2312" w:eastAsia="仿宋_GB2312" w:cs="仿宋_GB2312"/>
          <w:color w:val="auto"/>
          <w:sz w:val="24"/>
          <w:lang w:val="fr-CH"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val="fr-CH" w:eastAsia="zh-CN"/>
        </w:rPr>
        <w:t>）投标人认为有必要提供的其他材料。</w:t>
      </w:r>
    </w:p>
    <w:p>
      <w:pPr>
        <w:tabs>
          <w:tab w:val="left" w:pos="640"/>
          <w:tab w:val="left" w:pos="1260"/>
          <w:tab w:val="left" w:pos="1418"/>
        </w:tabs>
        <w:spacing w:line="400" w:lineRule="exact"/>
        <w:jc w:val="center"/>
        <w:rPr>
          <w:rFonts w:ascii="仿宋_GB2312" w:hAnsi="仿宋_GB2312" w:eastAsia="仿宋_GB2312" w:cs="仿宋_GB2312"/>
          <w:b/>
          <w:bCs/>
          <w:color w:val="auto"/>
          <w:sz w:val="24"/>
        </w:rPr>
      </w:pPr>
    </w:p>
    <w:p>
      <w:pPr>
        <w:tabs>
          <w:tab w:val="left" w:pos="640"/>
          <w:tab w:val="left" w:pos="1260"/>
          <w:tab w:val="left" w:pos="1418"/>
        </w:tabs>
        <w:spacing w:line="40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注：以上各项请根据“招标项目评分表”中的要求自行填写并提供相应的证明材料。</w:t>
      </w:r>
    </w:p>
    <w:p>
      <w:pPr>
        <w:spacing w:line="440" w:lineRule="exact"/>
        <w:ind w:firstLine="422" w:firstLineChars="200"/>
        <w:rPr>
          <w:rFonts w:ascii="仿宋" w:hAnsi="仿宋" w:eastAsia="仿宋"/>
          <w:b/>
          <w:bCs/>
          <w:color w:val="auto"/>
          <w:kern w:val="0"/>
          <w:szCs w:val="21"/>
        </w:rPr>
      </w:pPr>
    </w:p>
    <w:p>
      <w:pPr>
        <w:pStyle w:val="2"/>
        <w:rPr>
          <w:color w:val="auto"/>
        </w:rPr>
      </w:pPr>
    </w:p>
    <w:p>
      <w:pPr>
        <w:tabs>
          <w:tab w:val="left" w:pos="360"/>
        </w:tabs>
        <w:spacing w:line="400" w:lineRule="exact"/>
        <w:outlineLvl w:val="0"/>
        <w:rPr>
          <w:rFonts w:ascii="仿宋_GB2312" w:hAnsi="仿宋_GB2312" w:eastAsia="仿宋_GB2312" w:cs="仿宋_GB2312"/>
          <w:b/>
          <w:bCs/>
          <w:color w:val="auto"/>
          <w:sz w:val="24"/>
        </w:rPr>
      </w:pPr>
      <w:r>
        <w:rPr>
          <w:rFonts w:hint="eastAsia" w:ascii="仿宋_GB2312" w:hAnsi="仿宋_GB2312" w:eastAsia="仿宋_GB2312" w:cs="仿宋_GB2312"/>
          <w:color w:val="auto"/>
          <w:sz w:val="24"/>
          <w:lang w:val="fr-CH"/>
        </w:rPr>
        <w:br w:type="page"/>
      </w:r>
      <w:r>
        <w:rPr>
          <w:rFonts w:hint="eastAsia" w:ascii="仿宋_GB2312" w:hAnsi="仿宋_GB2312" w:eastAsia="仿宋_GB2312" w:cs="仿宋_GB2312"/>
          <w:b/>
          <w:bCs/>
          <w:color w:val="auto"/>
          <w:sz w:val="24"/>
        </w:rPr>
        <w:t>附件：相关政策</w:t>
      </w:r>
    </w:p>
    <w:p>
      <w:pPr>
        <w:tabs>
          <w:tab w:val="left" w:pos="360"/>
        </w:tabs>
        <w:spacing w:line="400" w:lineRule="exact"/>
        <w:outlineLvl w:val="1"/>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1.财政部、工业和信息化部《关于印发〈政府采购促进中小企业发展管理办法〉的通知》（财库〔2020〕46 号）</w:t>
      </w:r>
    </w:p>
    <w:p>
      <w:pPr>
        <w:pStyle w:val="2"/>
        <w:tabs>
          <w:tab w:val="left" w:pos="562"/>
          <w:tab w:val="left" w:pos="3372"/>
          <w:tab w:val="left" w:pos="3653"/>
        </w:tabs>
        <w:spacing w:line="400" w:lineRule="exact"/>
        <w:rPr>
          <w:rFonts w:ascii="仿宋_GB2312" w:hAnsi="仿宋_GB2312" w:eastAsia="仿宋_GB2312" w:cs="仿宋_GB2312"/>
          <w:color w:val="auto"/>
          <w:sz w:val="24"/>
        </w:rPr>
      </w:pPr>
    </w:p>
    <w:p>
      <w:pPr>
        <w:widowControl/>
        <w:shd w:val="clear" w:color="auto" w:fill="FFFFFF"/>
        <w:spacing w:line="400" w:lineRule="exact"/>
        <w:jc w:val="center"/>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关于印发《政府采购促进中小企业发展管理办法》的通知</w:t>
      </w:r>
    </w:p>
    <w:p>
      <w:pPr>
        <w:widowControl/>
        <w:shd w:val="clear" w:color="auto" w:fill="FFFFFF"/>
        <w:spacing w:after="240"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财库〔2020〕46号</w:t>
      </w:r>
    </w:p>
    <w:p>
      <w:pPr>
        <w:widowControl/>
        <w:shd w:val="clear" w:color="auto" w:fill="FFFFFF"/>
        <w:spacing w:after="240" w:line="400" w:lineRule="exac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附件：政府采购促进中小企业发展管理办法</w:t>
      </w:r>
    </w:p>
    <w:p>
      <w:pPr>
        <w:spacing w:line="400" w:lineRule="exact"/>
        <w:rPr>
          <w:rFonts w:ascii="仿宋_GB2312" w:hAnsi="仿宋_GB2312" w:eastAsia="仿宋_GB2312" w:cs="仿宋_GB2312"/>
          <w:color w:val="auto"/>
        </w:rPr>
      </w:pPr>
    </w:p>
    <w:p>
      <w:pPr>
        <w:widowControl/>
        <w:shd w:val="clear" w:color="auto" w:fill="FFFFFF"/>
        <w:spacing w:line="400" w:lineRule="exact"/>
        <w:jc w:val="righ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  政  部</w:t>
      </w:r>
    </w:p>
    <w:p>
      <w:pPr>
        <w:widowControl/>
        <w:shd w:val="clear" w:color="auto" w:fill="FFFFFF"/>
        <w:spacing w:line="400" w:lineRule="exact"/>
        <w:jc w:val="righ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工业和信息化部</w:t>
      </w:r>
    </w:p>
    <w:p>
      <w:pPr>
        <w:widowControl/>
        <w:shd w:val="clear" w:color="auto" w:fill="FFFFFF"/>
        <w:spacing w:line="400" w:lineRule="exact"/>
        <w:jc w:val="righ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2020年12月18日</w:t>
      </w:r>
    </w:p>
    <w:p>
      <w:pPr>
        <w:pStyle w:val="2"/>
        <w:spacing w:line="400" w:lineRule="exact"/>
        <w:rPr>
          <w:rFonts w:ascii="仿宋_GB2312" w:hAnsi="仿宋_GB2312" w:eastAsia="仿宋_GB2312" w:cs="仿宋_GB2312"/>
          <w:color w:val="auto"/>
        </w:rPr>
      </w:pPr>
    </w:p>
    <w:p>
      <w:pPr>
        <w:autoSpaceDE w:val="0"/>
        <w:autoSpaceDN w:val="0"/>
        <w:adjustRightInd w:val="0"/>
        <w:spacing w:line="400" w:lineRule="exact"/>
        <w:jc w:val="left"/>
        <w:rPr>
          <w:rFonts w:ascii="仿宋_GB2312" w:hAnsi="仿宋_GB2312" w:eastAsia="仿宋_GB2312" w:cs="仿宋_GB2312"/>
          <w:color w:val="auto"/>
          <w:kern w:val="0"/>
          <w:sz w:val="24"/>
        </w:rPr>
      </w:pPr>
    </w:p>
    <w:p>
      <w:pPr>
        <w:widowControl/>
        <w:shd w:val="clear" w:color="auto" w:fill="FFFFFF"/>
        <w:spacing w:line="400" w:lineRule="exact"/>
        <w:jc w:val="center"/>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政府采购促进中小企业发展管理办法</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（二）在工程采购项目中，工程由中小企业承建，即工 程施工单位为中小企业；</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rPr>
        <w:t>符合下列情形之一的，可不专门面向中小企业预留采购</w:t>
      </w:r>
      <w:r>
        <w:rPr>
          <w:rFonts w:hint="eastAsia" w:ascii="仿宋_GB2312" w:hAnsi="仿宋_GB2312" w:eastAsia="仿宋_GB2312" w:cs="仿宋_GB2312"/>
          <w:color w:val="auto"/>
          <w:sz w:val="24"/>
        </w:rPr>
        <w:t>份额：</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（一）法律法规和国家有关政策明确规定优先或者应当面向事业单位、社会组织等非企业主体采购的；</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（四）框架协议采购项目；</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（一）将采购项目整体或者设置采购包专门面向中小企业采购；</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（二）要求供应商以联合体形式参加采购活动，且联合体中中小企业承担的部分达到一定比例；</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（三）要求获得采购合同的供应商将采购项目中的一定比例分包给一家或者多家中小企业。</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第十二条 采购项目涉及中小企业采购的，采购文件应当明确以下内容：</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（三）非预留份额的采购项目或者采购包，明确有关价格扣除比例或者价格分加分比例；</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（五）采购人认为具备相关条件的，明确对中小企业在资金支付期限、预付款比例等方面的优惠措施；</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（六）明确采购标的对应的中小企业划分标准所属行业；</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（七）法律法规和省级以上人民政府财政部门规定的其他事项。</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第二十二条 对外援助项目、国家相关资格或者资质管理制度另有规定的项目，不适用本办法。</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第二十四条 省级财政部门可以会同中小企业主管部门根据本办法的规定制定具体实施办法。</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400" w:lineRule="exact"/>
        <w:rPr>
          <w:rFonts w:ascii="仿宋_GB2312" w:hAnsi="仿宋_GB2312" w:eastAsia="仿宋_GB2312" w:cs="仿宋_GB2312"/>
          <w:color w:val="auto"/>
          <w:sz w:val="24"/>
        </w:rPr>
      </w:pP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附：1.中小企业声明函</w:t>
      </w:r>
    </w:p>
    <w:p>
      <w:pPr>
        <w:pStyle w:val="2"/>
        <w:tabs>
          <w:tab w:val="left" w:pos="562"/>
          <w:tab w:val="left" w:pos="3372"/>
          <w:tab w:val="left" w:pos="3653"/>
        </w:tabs>
        <w:spacing w:line="400" w:lineRule="exact"/>
        <w:ind w:firstLine="960" w:firstLineChars="4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2.面向中小企业预留项目执行情况公告</w:t>
      </w:r>
    </w:p>
    <w:p>
      <w:pPr>
        <w:pStyle w:val="2"/>
        <w:tabs>
          <w:tab w:val="left" w:pos="562"/>
          <w:tab w:val="left" w:pos="3372"/>
          <w:tab w:val="left" w:pos="3653"/>
        </w:tabs>
        <w:spacing w:before="30" w:line="400" w:lineRule="exact"/>
        <w:outlineLvl w:val="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br w:type="page"/>
      </w:r>
      <w:r>
        <w:rPr>
          <w:rFonts w:hint="eastAsia" w:ascii="仿宋_GB2312" w:hAnsi="仿宋_GB2312" w:eastAsia="仿宋_GB2312" w:cs="仿宋_GB2312"/>
          <w:b/>
          <w:bCs/>
          <w:color w:val="auto"/>
          <w:sz w:val="24"/>
        </w:rPr>
        <w:t>附 1</w:t>
      </w:r>
    </w:p>
    <w:p>
      <w:pPr>
        <w:pStyle w:val="11"/>
        <w:spacing w:line="400" w:lineRule="exact"/>
        <w:jc w:val="center"/>
        <w:outlineLvl w:val="0"/>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中小企业声明函（货物）</w:t>
      </w:r>
    </w:p>
    <w:p>
      <w:pPr>
        <w:pStyle w:val="12"/>
        <w:spacing w:line="400" w:lineRule="exact"/>
        <w:rPr>
          <w:rFonts w:ascii="仿宋_GB2312" w:hAnsi="仿宋_GB2312" w:eastAsia="仿宋_GB2312" w:cs="仿宋_GB2312"/>
          <w:color w:val="auto"/>
          <w:lang w:val="fr-CH"/>
        </w:rPr>
      </w:pP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本公司（联合体）郑重声明，根据《政府采购促进中小企业发展管理办法》（财库﹝2020﹞46 号）的规定，本公司（联合体）参加（</w:t>
      </w:r>
      <w:r>
        <w:rPr>
          <w:rFonts w:hint="eastAsia" w:ascii="仿宋_GB2312" w:hAnsi="仿宋_GB2312" w:eastAsia="仿宋_GB2312" w:cs="仿宋_GB2312"/>
          <w:color w:val="auto"/>
          <w:spacing w:val="-2"/>
          <w:sz w:val="24"/>
          <w:u w:val="single"/>
        </w:rPr>
        <w:t>单位名称</w:t>
      </w:r>
      <w:r>
        <w:rPr>
          <w:rFonts w:hint="eastAsia" w:ascii="仿宋_GB2312" w:hAnsi="仿宋_GB2312" w:eastAsia="仿宋_GB2312" w:cs="仿宋_GB2312"/>
          <w:color w:val="auto"/>
          <w:spacing w:val="-2"/>
          <w:sz w:val="24"/>
        </w:rPr>
        <w:t>）的（</w:t>
      </w:r>
      <w:r>
        <w:rPr>
          <w:rFonts w:hint="eastAsia" w:ascii="仿宋_GB2312" w:hAnsi="仿宋_GB2312" w:eastAsia="仿宋_GB2312" w:cs="仿宋_GB2312"/>
          <w:color w:val="auto"/>
          <w:spacing w:val="-2"/>
          <w:sz w:val="24"/>
          <w:u w:val="single"/>
        </w:rPr>
        <w:t>项目名称</w:t>
      </w:r>
      <w:r>
        <w:rPr>
          <w:rFonts w:hint="eastAsia" w:ascii="仿宋_GB2312" w:hAnsi="仿宋_GB2312" w:eastAsia="仿宋_GB2312" w:cs="仿宋_GB2312"/>
          <w:color w:val="auto"/>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u w:val="single"/>
        </w:rPr>
        <w:t>标的名称</w:t>
      </w:r>
      <w:r>
        <w:rPr>
          <w:rFonts w:hint="eastAsia" w:ascii="仿宋_GB2312" w:hAnsi="仿宋_GB2312" w:eastAsia="仿宋_GB2312" w:cs="仿宋_GB2312"/>
          <w:color w:val="auto"/>
          <w:kern w:val="0"/>
          <w:sz w:val="24"/>
        </w:rPr>
        <w:t>），属于（</w:t>
      </w:r>
      <w:r>
        <w:rPr>
          <w:rFonts w:hint="eastAsia" w:ascii="仿宋_GB2312" w:hAnsi="仿宋_GB2312" w:eastAsia="仿宋_GB2312" w:cs="仿宋_GB2312"/>
          <w:color w:val="auto"/>
          <w:kern w:val="0"/>
          <w:sz w:val="24"/>
          <w:u w:val="single"/>
        </w:rPr>
        <w:t>采购文件中明确的所属行业</w:t>
      </w:r>
      <w:r>
        <w:rPr>
          <w:rFonts w:hint="eastAsia" w:ascii="仿宋_GB2312" w:hAnsi="仿宋_GB2312" w:eastAsia="仿宋_GB2312" w:cs="仿宋_GB2312"/>
          <w:color w:val="auto"/>
          <w:kern w:val="0"/>
          <w:sz w:val="24"/>
        </w:rPr>
        <w:t>）；制造商为（</w:t>
      </w:r>
      <w:r>
        <w:rPr>
          <w:rFonts w:hint="eastAsia" w:ascii="仿宋_GB2312" w:hAnsi="仿宋_GB2312" w:eastAsia="仿宋_GB2312" w:cs="仿宋_GB2312"/>
          <w:color w:val="auto"/>
          <w:kern w:val="0"/>
          <w:sz w:val="24"/>
          <w:u w:val="single"/>
        </w:rPr>
        <w:t>企业名称</w:t>
      </w:r>
      <w:r>
        <w:rPr>
          <w:rFonts w:hint="eastAsia" w:ascii="仿宋_GB2312" w:hAnsi="仿宋_GB2312" w:eastAsia="仿宋_GB2312" w:cs="仿宋_GB2312"/>
          <w:color w:val="auto"/>
          <w:kern w:val="0"/>
          <w:sz w:val="24"/>
        </w:rPr>
        <w:t>），从业人员</w:t>
      </w:r>
      <w:r>
        <w:rPr>
          <w:rFonts w:hint="eastAsia" w:ascii="仿宋_GB2312" w:hAnsi="仿宋_GB2312" w:eastAsia="仿宋_GB2312" w:cs="仿宋_GB2312"/>
          <w:color w:val="auto"/>
          <w:kern w:val="0"/>
          <w:sz w:val="24"/>
          <w:u w:val="single"/>
        </w:rPr>
        <w:tab/>
      </w:r>
      <w:r>
        <w:rPr>
          <w:rFonts w:hint="eastAsia" w:ascii="仿宋_GB2312" w:hAnsi="仿宋_GB2312" w:eastAsia="仿宋_GB2312" w:cs="仿宋_GB2312"/>
          <w:color w:val="auto"/>
          <w:kern w:val="0"/>
          <w:sz w:val="24"/>
        </w:rPr>
        <w:t xml:space="preserve">人，营业收入为 </w:t>
      </w:r>
      <w:r>
        <w:rPr>
          <w:rFonts w:hint="eastAsia" w:ascii="仿宋_GB2312" w:hAnsi="仿宋_GB2312" w:eastAsia="仿宋_GB2312" w:cs="仿宋_GB2312"/>
          <w:color w:val="auto"/>
          <w:kern w:val="0"/>
          <w:sz w:val="24"/>
          <w:u w:val="single"/>
        </w:rPr>
        <w:tab/>
      </w:r>
      <w:r>
        <w:rPr>
          <w:rFonts w:hint="eastAsia" w:ascii="仿宋_GB2312" w:hAnsi="仿宋_GB2312" w:eastAsia="仿宋_GB2312" w:cs="仿宋_GB2312"/>
          <w:color w:val="auto"/>
          <w:kern w:val="0"/>
          <w:sz w:val="24"/>
        </w:rPr>
        <w:t>万元，资产总额为</w:t>
      </w:r>
      <w:r>
        <w:rPr>
          <w:rFonts w:hint="eastAsia" w:ascii="仿宋_GB2312" w:hAnsi="仿宋_GB2312" w:eastAsia="仿宋_GB2312" w:cs="仿宋_GB2312"/>
          <w:color w:val="auto"/>
          <w:kern w:val="0"/>
          <w:sz w:val="24"/>
          <w:u w:val="single"/>
        </w:rPr>
        <w:tab/>
      </w:r>
      <w:r>
        <w:rPr>
          <w:rFonts w:hint="eastAsia"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万元，属于（</w:t>
      </w:r>
      <w:r>
        <w:rPr>
          <w:rFonts w:hint="eastAsia" w:ascii="仿宋_GB2312" w:hAnsi="仿宋_GB2312" w:eastAsia="仿宋_GB2312" w:cs="仿宋_GB2312"/>
          <w:color w:val="auto"/>
          <w:kern w:val="0"/>
          <w:sz w:val="24"/>
          <w:u w:val="single"/>
        </w:rPr>
        <w:t>中型企业、小型企业、微型企业</w:t>
      </w:r>
      <w:r>
        <w:rPr>
          <w:rFonts w:hint="eastAsia" w:ascii="仿宋_GB2312" w:hAnsi="仿宋_GB2312" w:eastAsia="仿宋_GB2312" w:cs="仿宋_GB2312"/>
          <w:color w:val="auto"/>
          <w:kern w:val="0"/>
          <w:sz w:val="24"/>
        </w:rPr>
        <w:t>）；</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2、（</w:t>
      </w:r>
      <w:r>
        <w:rPr>
          <w:rFonts w:hint="eastAsia" w:ascii="仿宋_GB2312" w:hAnsi="仿宋_GB2312" w:eastAsia="仿宋_GB2312" w:cs="仿宋_GB2312"/>
          <w:color w:val="auto"/>
          <w:spacing w:val="-2"/>
          <w:sz w:val="24"/>
          <w:u w:val="single"/>
        </w:rPr>
        <w:t>标的名称</w:t>
      </w:r>
      <w:r>
        <w:rPr>
          <w:rFonts w:hint="eastAsia" w:ascii="仿宋_GB2312" w:hAnsi="仿宋_GB2312" w:eastAsia="仿宋_GB2312" w:cs="仿宋_GB2312"/>
          <w:color w:val="auto"/>
          <w:spacing w:val="-2"/>
          <w:sz w:val="24"/>
        </w:rPr>
        <w:t>），属于（</w:t>
      </w:r>
      <w:r>
        <w:rPr>
          <w:rFonts w:hint="eastAsia" w:ascii="仿宋_GB2312" w:hAnsi="仿宋_GB2312" w:eastAsia="仿宋_GB2312" w:cs="仿宋_GB2312"/>
          <w:color w:val="auto"/>
          <w:spacing w:val="-2"/>
          <w:sz w:val="24"/>
          <w:u w:val="single"/>
        </w:rPr>
        <w:t>采购文件中明确的所属行业</w:t>
      </w:r>
      <w:r>
        <w:rPr>
          <w:rFonts w:hint="eastAsia" w:ascii="仿宋_GB2312" w:hAnsi="仿宋_GB2312" w:eastAsia="仿宋_GB2312" w:cs="仿宋_GB2312"/>
          <w:color w:val="auto"/>
          <w:spacing w:val="-2"/>
          <w:sz w:val="24"/>
        </w:rPr>
        <w:t>）；制造商为（</w:t>
      </w:r>
      <w:r>
        <w:rPr>
          <w:rFonts w:hint="eastAsia" w:ascii="仿宋_GB2312" w:hAnsi="仿宋_GB2312" w:eastAsia="仿宋_GB2312" w:cs="仿宋_GB2312"/>
          <w:color w:val="auto"/>
          <w:spacing w:val="-2"/>
          <w:sz w:val="24"/>
          <w:u w:val="single"/>
        </w:rPr>
        <w:t>企业名称</w:t>
      </w:r>
      <w:r>
        <w:rPr>
          <w:rFonts w:hint="eastAsia" w:ascii="仿宋_GB2312" w:hAnsi="仿宋_GB2312" w:eastAsia="仿宋_GB2312" w:cs="仿宋_GB2312"/>
          <w:color w:val="auto"/>
          <w:spacing w:val="-2"/>
          <w:sz w:val="24"/>
        </w:rPr>
        <w:t>），从业人员</w:t>
      </w:r>
      <w:r>
        <w:rPr>
          <w:rFonts w:hint="eastAsia" w:ascii="仿宋_GB2312" w:hAnsi="仿宋_GB2312" w:eastAsia="仿宋_GB2312" w:cs="仿宋_GB2312"/>
          <w:color w:val="auto"/>
          <w:spacing w:val="-2"/>
          <w:sz w:val="24"/>
          <w:u w:val="single"/>
        </w:rPr>
        <w:t xml:space="preserve">    </w:t>
      </w:r>
      <w:r>
        <w:rPr>
          <w:rFonts w:hint="eastAsia" w:ascii="仿宋_GB2312" w:hAnsi="仿宋_GB2312" w:eastAsia="仿宋_GB2312" w:cs="仿宋_GB2312"/>
          <w:color w:val="auto"/>
          <w:spacing w:val="-2"/>
          <w:sz w:val="24"/>
        </w:rPr>
        <w:t>人，营业收入为</w:t>
      </w:r>
      <w:r>
        <w:rPr>
          <w:rFonts w:hint="eastAsia" w:ascii="仿宋_GB2312" w:hAnsi="仿宋_GB2312" w:eastAsia="仿宋_GB2312" w:cs="仿宋_GB2312"/>
          <w:color w:val="auto"/>
          <w:spacing w:val="-2"/>
          <w:sz w:val="24"/>
          <w:u w:val="single"/>
        </w:rPr>
        <w:tab/>
      </w:r>
      <w:r>
        <w:rPr>
          <w:rFonts w:hint="eastAsia" w:ascii="仿宋_GB2312" w:hAnsi="仿宋_GB2312" w:eastAsia="仿宋_GB2312" w:cs="仿宋_GB2312"/>
          <w:color w:val="auto"/>
          <w:spacing w:val="-2"/>
          <w:sz w:val="24"/>
        </w:rPr>
        <w:t>万元，资产总额为</w:t>
      </w:r>
      <w:r>
        <w:rPr>
          <w:rFonts w:hint="eastAsia" w:ascii="仿宋_GB2312" w:hAnsi="仿宋_GB2312" w:eastAsia="仿宋_GB2312" w:cs="仿宋_GB2312"/>
          <w:color w:val="auto"/>
          <w:spacing w:val="-2"/>
          <w:sz w:val="24"/>
          <w:u w:val="single"/>
        </w:rPr>
        <w:t xml:space="preserve">   </w:t>
      </w:r>
      <w:r>
        <w:rPr>
          <w:rFonts w:hint="eastAsia" w:ascii="仿宋_GB2312" w:hAnsi="仿宋_GB2312" w:eastAsia="仿宋_GB2312" w:cs="仿宋_GB2312"/>
          <w:color w:val="auto"/>
          <w:spacing w:val="-2"/>
          <w:sz w:val="24"/>
        </w:rPr>
        <w:t>万元，属于（</w:t>
      </w:r>
      <w:r>
        <w:rPr>
          <w:rFonts w:hint="eastAsia" w:ascii="仿宋_GB2312" w:hAnsi="仿宋_GB2312" w:eastAsia="仿宋_GB2312" w:cs="仿宋_GB2312"/>
          <w:color w:val="auto"/>
          <w:spacing w:val="-2"/>
          <w:sz w:val="24"/>
          <w:u w:val="single"/>
        </w:rPr>
        <w:t>中型企业、小型企业、微型企业</w:t>
      </w:r>
      <w:r>
        <w:rPr>
          <w:rFonts w:hint="eastAsia" w:ascii="仿宋_GB2312" w:hAnsi="仿宋_GB2312" w:eastAsia="仿宋_GB2312" w:cs="仿宋_GB2312"/>
          <w:color w:val="auto"/>
          <w:spacing w:val="-2"/>
          <w:sz w:val="24"/>
        </w:rPr>
        <w:t>）；</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本企业对上述声明内容的真实性负责。如有虚假，将依法承担相应责任。</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400" w:lineRule="exact"/>
        <w:rPr>
          <w:rFonts w:ascii="仿宋_GB2312" w:hAnsi="仿宋_GB2312" w:eastAsia="仿宋_GB2312" w:cs="仿宋_GB2312"/>
          <w:color w:val="auto"/>
        </w:rPr>
      </w:pPr>
    </w:p>
    <w:p>
      <w:pPr>
        <w:pStyle w:val="2"/>
        <w:spacing w:line="400" w:lineRule="exact"/>
        <w:rPr>
          <w:rFonts w:ascii="仿宋_GB2312" w:hAnsi="仿宋_GB2312" w:eastAsia="仿宋_GB2312" w:cs="仿宋_GB2312"/>
          <w:color w:val="auto"/>
        </w:rPr>
      </w:pPr>
    </w:p>
    <w:p>
      <w:pPr>
        <w:spacing w:line="400" w:lineRule="exact"/>
        <w:rPr>
          <w:rFonts w:ascii="仿宋_GB2312" w:hAnsi="仿宋_GB2312" w:eastAsia="仿宋_GB2312" w:cs="仿宋_GB2312"/>
          <w:color w:val="auto"/>
        </w:rPr>
      </w:pPr>
    </w:p>
    <w:p>
      <w:pPr>
        <w:pStyle w:val="2"/>
        <w:tabs>
          <w:tab w:val="left" w:pos="562"/>
          <w:tab w:val="left" w:pos="3372"/>
          <w:tab w:val="left" w:pos="3653"/>
        </w:tabs>
        <w:spacing w:line="400" w:lineRule="exact"/>
        <w:ind w:left="4200" w:leftChars="20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企业名称（盖章）：</w:t>
      </w:r>
    </w:p>
    <w:p>
      <w:pPr>
        <w:pStyle w:val="2"/>
        <w:tabs>
          <w:tab w:val="left" w:pos="562"/>
          <w:tab w:val="left" w:pos="3372"/>
          <w:tab w:val="left" w:pos="3653"/>
        </w:tabs>
        <w:spacing w:line="400" w:lineRule="exact"/>
        <w:ind w:left="4200" w:leftChars="20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日期：</w:t>
      </w:r>
    </w:p>
    <w:p>
      <w:pPr>
        <w:spacing w:line="400" w:lineRule="exact"/>
        <w:rPr>
          <w:rFonts w:ascii="仿宋_GB2312" w:hAnsi="仿宋_GB2312" w:eastAsia="仿宋_GB2312" w:cs="仿宋_GB2312"/>
          <w:color w:val="auto"/>
        </w:rPr>
      </w:pPr>
    </w:p>
    <w:p>
      <w:pPr>
        <w:pStyle w:val="2"/>
        <w:tabs>
          <w:tab w:val="left" w:pos="562"/>
          <w:tab w:val="left" w:pos="3372"/>
          <w:tab w:val="left" w:pos="3653"/>
        </w:tabs>
        <w:spacing w:line="400" w:lineRule="exact"/>
        <w:jc w:val="left"/>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 xml:space="preserve">   说明：从业人员、营业收入、资产总额填报上一年度数据，无上一年度数据的新成立企业可不填报。</w:t>
      </w:r>
    </w:p>
    <w:p>
      <w:pPr>
        <w:spacing w:after="319" w:afterLines="100" w:line="400" w:lineRule="exact"/>
        <w:jc w:val="center"/>
        <w:outlineLv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r>
        <w:rPr>
          <w:rFonts w:hint="eastAsia" w:ascii="仿宋_GB2312" w:hAnsi="仿宋_GB2312" w:eastAsia="仿宋_GB2312" w:cs="仿宋_GB2312"/>
          <w:color w:val="auto"/>
          <w:sz w:val="28"/>
          <w:szCs w:val="28"/>
          <w:lang w:val="fr-CH"/>
        </w:rPr>
        <w:t>中小企业声明函（工程、服务）</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本公司（联合体）郑重声明，根据《政府采购促进中小企业发展管理办法》（财库﹝2020﹞46 号）的规定，本公司（联合体）参加（</w:t>
      </w:r>
      <w:r>
        <w:rPr>
          <w:rFonts w:hint="eastAsia" w:ascii="仿宋_GB2312" w:hAnsi="仿宋_GB2312" w:eastAsia="仿宋_GB2312" w:cs="仿宋_GB2312"/>
          <w:color w:val="auto"/>
          <w:spacing w:val="-2"/>
          <w:sz w:val="24"/>
          <w:u w:val="single"/>
        </w:rPr>
        <w:t>单位名称</w:t>
      </w:r>
      <w:r>
        <w:rPr>
          <w:rFonts w:hint="eastAsia" w:ascii="仿宋_GB2312" w:hAnsi="仿宋_GB2312" w:eastAsia="仿宋_GB2312" w:cs="仿宋_GB2312"/>
          <w:color w:val="auto"/>
          <w:spacing w:val="-2"/>
          <w:sz w:val="24"/>
        </w:rPr>
        <w:t>）的（</w:t>
      </w:r>
      <w:r>
        <w:rPr>
          <w:rFonts w:hint="eastAsia" w:ascii="仿宋_GB2312" w:hAnsi="仿宋_GB2312" w:eastAsia="仿宋_GB2312" w:cs="仿宋_GB2312"/>
          <w:color w:val="auto"/>
          <w:spacing w:val="-2"/>
          <w:sz w:val="24"/>
          <w:u w:val="single"/>
        </w:rPr>
        <w:t>项目名称</w:t>
      </w:r>
      <w:r>
        <w:rPr>
          <w:rFonts w:hint="eastAsia" w:ascii="仿宋_GB2312" w:hAnsi="仿宋_GB2312" w:eastAsia="仿宋_GB2312" w:cs="仿宋_GB2312"/>
          <w:color w:val="auto"/>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1.（</w:t>
      </w:r>
      <w:r>
        <w:rPr>
          <w:rFonts w:hint="eastAsia" w:ascii="仿宋_GB2312" w:hAnsi="仿宋_GB2312" w:eastAsia="仿宋_GB2312" w:cs="仿宋_GB2312"/>
          <w:color w:val="auto"/>
          <w:spacing w:val="-2"/>
          <w:sz w:val="24"/>
          <w:u w:val="single"/>
        </w:rPr>
        <w:t>标的名称</w:t>
      </w:r>
      <w:r>
        <w:rPr>
          <w:rFonts w:hint="eastAsia" w:ascii="仿宋_GB2312" w:hAnsi="仿宋_GB2312" w:eastAsia="仿宋_GB2312" w:cs="仿宋_GB2312"/>
          <w:color w:val="auto"/>
          <w:spacing w:val="-2"/>
          <w:sz w:val="24"/>
        </w:rPr>
        <w:t>），属于其他未列明行业；承建（承接）企业为（</w:t>
      </w:r>
      <w:r>
        <w:rPr>
          <w:rFonts w:hint="eastAsia" w:ascii="仿宋_GB2312" w:hAnsi="仿宋_GB2312" w:eastAsia="仿宋_GB2312" w:cs="仿宋_GB2312"/>
          <w:color w:val="auto"/>
          <w:spacing w:val="-2"/>
          <w:sz w:val="24"/>
          <w:u w:val="single"/>
        </w:rPr>
        <w:t>企业名称</w:t>
      </w:r>
      <w:r>
        <w:rPr>
          <w:rFonts w:hint="eastAsia" w:ascii="仿宋_GB2312" w:hAnsi="仿宋_GB2312" w:eastAsia="仿宋_GB2312" w:cs="仿宋_GB2312"/>
          <w:color w:val="auto"/>
          <w:spacing w:val="-2"/>
          <w:sz w:val="24"/>
        </w:rPr>
        <w:t>），从业人员</w:t>
      </w:r>
      <w:r>
        <w:rPr>
          <w:rFonts w:hint="eastAsia" w:ascii="仿宋_GB2312" w:hAnsi="仿宋_GB2312" w:eastAsia="仿宋_GB2312" w:cs="仿宋_GB2312"/>
          <w:color w:val="auto"/>
          <w:spacing w:val="-2"/>
          <w:sz w:val="24"/>
          <w:u w:val="single"/>
        </w:rPr>
        <w:tab/>
      </w:r>
      <w:r>
        <w:rPr>
          <w:rFonts w:hint="eastAsia" w:ascii="仿宋_GB2312" w:hAnsi="仿宋_GB2312" w:eastAsia="仿宋_GB2312" w:cs="仿宋_GB2312"/>
          <w:color w:val="auto"/>
          <w:spacing w:val="-2"/>
          <w:sz w:val="24"/>
        </w:rPr>
        <w:t>人，营业收入为</w:t>
      </w:r>
      <w:r>
        <w:rPr>
          <w:rFonts w:hint="eastAsia" w:ascii="仿宋_GB2312" w:hAnsi="仿宋_GB2312" w:eastAsia="仿宋_GB2312" w:cs="仿宋_GB2312"/>
          <w:color w:val="auto"/>
          <w:spacing w:val="-2"/>
          <w:sz w:val="24"/>
          <w:u w:val="single"/>
        </w:rPr>
        <w:tab/>
      </w:r>
      <w:r>
        <w:rPr>
          <w:rFonts w:hint="eastAsia" w:ascii="仿宋_GB2312" w:hAnsi="仿宋_GB2312" w:eastAsia="仿宋_GB2312" w:cs="仿宋_GB2312"/>
          <w:color w:val="auto"/>
          <w:spacing w:val="-2"/>
          <w:sz w:val="24"/>
        </w:rPr>
        <w:t>万元，资产总额为</w:t>
      </w:r>
      <w:r>
        <w:rPr>
          <w:rFonts w:hint="eastAsia" w:ascii="仿宋_GB2312" w:hAnsi="仿宋_GB2312" w:eastAsia="仿宋_GB2312" w:cs="仿宋_GB2312"/>
          <w:color w:val="auto"/>
          <w:spacing w:val="-2"/>
          <w:sz w:val="24"/>
          <w:u w:val="single"/>
        </w:rPr>
        <w:tab/>
      </w:r>
      <w:r>
        <w:rPr>
          <w:rFonts w:hint="eastAsia" w:ascii="仿宋_GB2312" w:hAnsi="仿宋_GB2312" w:eastAsia="仿宋_GB2312" w:cs="仿宋_GB2312"/>
          <w:color w:val="auto"/>
          <w:spacing w:val="-2"/>
          <w:sz w:val="24"/>
        </w:rPr>
        <w:t>万元，属于（</w:t>
      </w:r>
      <w:r>
        <w:rPr>
          <w:rFonts w:hint="eastAsia" w:ascii="仿宋_GB2312" w:hAnsi="仿宋_GB2312" w:eastAsia="仿宋_GB2312" w:cs="仿宋_GB2312"/>
          <w:color w:val="auto"/>
          <w:spacing w:val="-2"/>
          <w:sz w:val="24"/>
          <w:u w:val="single"/>
        </w:rPr>
        <w:t>中型企业、小型企业、微型企业</w:t>
      </w:r>
      <w:r>
        <w:rPr>
          <w:rFonts w:hint="eastAsia" w:ascii="仿宋_GB2312" w:hAnsi="仿宋_GB2312" w:eastAsia="仿宋_GB2312" w:cs="仿宋_GB2312"/>
          <w:color w:val="auto"/>
          <w:spacing w:val="-2"/>
          <w:sz w:val="24"/>
        </w:rPr>
        <w:t>）。</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2.（</w:t>
      </w:r>
      <w:r>
        <w:rPr>
          <w:rFonts w:hint="eastAsia" w:ascii="仿宋_GB2312" w:hAnsi="仿宋_GB2312" w:eastAsia="仿宋_GB2312" w:cs="仿宋_GB2312"/>
          <w:color w:val="auto"/>
          <w:spacing w:val="-2"/>
          <w:sz w:val="24"/>
          <w:u w:val="single"/>
        </w:rPr>
        <w:t>标的名称</w:t>
      </w:r>
      <w:r>
        <w:rPr>
          <w:rFonts w:hint="eastAsia" w:ascii="仿宋_GB2312" w:hAnsi="仿宋_GB2312" w:eastAsia="仿宋_GB2312" w:cs="仿宋_GB2312"/>
          <w:color w:val="auto"/>
          <w:spacing w:val="-2"/>
          <w:sz w:val="24"/>
        </w:rPr>
        <w:t>），属于（</w:t>
      </w:r>
      <w:r>
        <w:rPr>
          <w:rFonts w:hint="eastAsia" w:ascii="仿宋_GB2312" w:hAnsi="仿宋_GB2312" w:eastAsia="仿宋_GB2312" w:cs="仿宋_GB2312"/>
          <w:color w:val="auto"/>
          <w:spacing w:val="-2"/>
          <w:sz w:val="24"/>
          <w:u w:val="single"/>
        </w:rPr>
        <w:t>采购文件中明确的所属行业</w:t>
      </w:r>
      <w:r>
        <w:rPr>
          <w:rFonts w:hint="eastAsia" w:ascii="仿宋_GB2312" w:hAnsi="仿宋_GB2312" w:eastAsia="仿宋_GB2312" w:cs="仿宋_GB2312"/>
          <w:color w:val="auto"/>
          <w:spacing w:val="-2"/>
          <w:sz w:val="24"/>
        </w:rPr>
        <w:t>） ；承建（承接）企业为（</w:t>
      </w:r>
      <w:r>
        <w:rPr>
          <w:rFonts w:hint="eastAsia" w:ascii="仿宋_GB2312" w:hAnsi="仿宋_GB2312" w:eastAsia="仿宋_GB2312" w:cs="仿宋_GB2312"/>
          <w:color w:val="auto"/>
          <w:spacing w:val="-2"/>
          <w:sz w:val="24"/>
          <w:u w:val="single"/>
        </w:rPr>
        <w:t>企业名称</w:t>
      </w:r>
      <w:r>
        <w:rPr>
          <w:rFonts w:hint="eastAsia" w:ascii="仿宋_GB2312" w:hAnsi="仿宋_GB2312" w:eastAsia="仿宋_GB2312" w:cs="仿宋_GB2312"/>
          <w:color w:val="auto"/>
          <w:spacing w:val="-2"/>
          <w:sz w:val="24"/>
        </w:rPr>
        <w:t>），从业人员</w:t>
      </w:r>
      <w:r>
        <w:rPr>
          <w:rFonts w:hint="eastAsia" w:ascii="仿宋_GB2312" w:hAnsi="仿宋_GB2312" w:eastAsia="仿宋_GB2312" w:cs="仿宋_GB2312"/>
          <w:color w:val="auto"/>
          <w:spacing w:val="-2"/>
          <w:sz w:val="24"/>
          <w:u w:val="single"/>
        </w:rPr>
        <w:tab/>
      </w:r>
      <w:r>
        <w:rPr>
          <w:rFonts w:hint="eastAsia" w:ascii="仿宋_GB2312" w:hAnsi="仿宋_GB2312" w:eastAsia="仿宋_GB2312" w:cs="仿宋_GB2312"/>
          <w:color w:val="auto"/>
          <w:spacing w:val="-2"/>
          <w:sz w:val="24"/>
        </w:rPr>
        <w:t>人，营业收入为</w:t>
      </w:r>
      <w:r>
        <w:rPr>
          <w:rFonts w:hint="eastAsia" w:ascii="仿宋_GB2312" w:hAnsi="仿宋_GB2312" w:eastAsia="仿宋_GB2312" w:cs="仿宋_GB2312"/>
          <w:color w:val="auto"/>
          <w:spacing w:val="-2"/>
          <w:sz w:val="24"/>
          <w:u w:val="single"/>
        </w:rPr>
        <w:tab/>
      </w:r>
      <w:r>
        <w:rPr>
          <w:rFonts w:hint="eastAsia" w:ascii="仿宋_GB2312" w:hAnsi="仿宋_GB2312" w:eastAsia="仿宋_GB2312" w:cs="仿宋_GB2312"/>
          <w:color w:val="auto"/>
          <w:spacing w:val="-2"/>
          <w:sz w:val="24"/>
        </w:rPr>
        <w:t>万元，资产总额为</w:t>
      </w:r>
      <w:r>
        <w:rPr>
          <w:rFonts w:hint="eastAsia" w:ascii="仿宋_GB2312" w:hAnsi="仿宋_GB2312" w:eastAsia="仿宋_GB2312" w:cs="仿宋_GB2312"/>
          <w:color w:val="auto"/>
          <w:spacing w:val="-2"/>
          <w:sz w:val="24"/>
          <w:u w:val="single"/>
        </w:rPr>
        <w:tab/>
      </w:r>
      <w:r>
        <w:rPr>
          <w:rFonts w:hint="eastAsia" w:ascii="仿宋_GB2312" w:hAnsi="仿宋_GB2312" w:eastAsia="仿宋_GB2312" w:cs="仿宋_GB2312"/>
          <w:color w:val="auto"/>
          <w:spacing w:val="-2"/>
          <w:sz w:val="24"/>
        </w:rPr>
        <w:t>万元，属于（</w:t>
      </w:r>
      <w:r>
        <w:rPr>
          <w:rFonts w:hint="eastAsia" w:ascii="仿宋_GB2312" w:hAnsi="仿宋_GB2312" w:eastAsia="仿宋_GB2312" w:cs="仿宋_GB2312"/>
          <w:color w:val="auto"/>
          <w:spacing w:val="-2"/>
          <w:sz w:val="24"/>
          <w:u w:val="single"/>
        </w:rPr>
        <w:t>中型企业、小型企业、微型企业</w:t>
      </w:r>
      <w:r>
        <w:rPr>
          <w:rFonts w:hint="eastAsia" w:ascii="仿宋_GB2312" w:hAnsi="仿宋_GB2312" w:eastAsia="仿宋_GB2312" w:cs="仿宋_GB2312"/>
          <w:color w:val="auto"/>
          <w:spacing w:val="-2"/>
          <w:sz w:val="24"/>
        </w:rPr>
        <w:t>）；</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本企业对上述声明内容的真实性负责。如有虚假，将依法承担相应责任。</w:t>
      </w:r>
    </w:p>
    <w:p>
      <w:pPr>
        <w:pStyle w:val="2"/>
        <w:tabs>
          <w:tab w:val="left" w:pos="562"/>
          <w:tab w:val="left" w:pos="3372"/>
          <w:tab w:val="left" w:pos="3653"/>
        </w:tabs>
        <w:spacing w:line="400" w:lineRule="exact"/>
        <w:ind w:firstLine="472" w:firstLineChars="2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400" w:lineRule="exact"/>
        <w:ind w:left="4200" w:leftChars="2000"/>
        <w:rPr>
          <w:rFonts w:ascii="仿宋_GB2312" w:hAnsi="仿宋_GB2312" w:eastAsia="仿宋_GB2312" w:cs="仿宋_GB2312"/>
          <w:color w:val="auto"/>
          <w:spacing w:val="-2"/>
          <w:sz w:val="24"/>
        </w:rPr>
      </w:pPr>
    </w:p>
    <w:p>
      <w:pPr>
        <w:spacing w:line="400" w:lineRule="exact"/>
        <w:rPr>
          <w:rFonts w:ascii="仿宋_GB2312" w:hAnsi="仿宋_GB2312" w:eastAsia="仿宋_GB2312" w:cs="仿宋_GB2312"/>
          <w:color w:val="auto"/>
          <w:spacing w:val="-2"/>
          <w:sz w:val="24"/>
        </w:rPr>
      </w:pPr>
    </w:p>
    <w:p>
      <w:pPr>
        <w:pStyle w:val="2"/>
        <w:spacing w:line="400" w:lineRule="exact"/>
        <w:rPr>
          <w:rFonts w:ascii="仿宋_GB2312" w:hAnsi="仿宋_GB2312" w:eastAsia="仿宋_GB2312" w:cs="仿宋_GB2312"/>
          <w:color w:val="auto"/>
        </w:rPr>
      </w:pPr>
    </w:p>
    <w:p>
      <w:pPr>
        <w:pStyle w:val="2"/>
        <w:tabs>
          <w:tab w:val="left" w:pos="562"/>
          <w:tab w:val="left" w:pos="3372"/>
          <w:tab w:val="left" w:pos="3653"/>
        </w:tabs>
        <w:spacing w:line="400" w:lineRule="exact"/>
        <w:ind w:left="4200" w:leftChars="20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企业名称（盖章）：</w:t>
      </w:r>
    </w:p>
    <w:p>
      <w:pPr>
        <w:pStyle w:val="2"/>
        <w:tabs>
          <w:tab w:val="left" w:pos="562"/>
          <w:tab w:val="left" w:pos="3372"/>
          <w:tab w:val="left" w:pos="3653"/>
        </w:tabs>
        <w:spacing w:line="400" w:lineRule="exact"/>
        <w:ind w:left="4200" w:leftChars="2000"/>
        <w:rPr>
          <w:rFonts w:ascii="仿宋_GB2312" w:hAnsi="仿宋_GB2312" w:eastAsia="仿宋_GB2312" w:cs="仿宋_GB2312"/>
          <w:color w:val="auto"/>
          <w:spacing w:val="-2"/>
          <w:sz w:val="24"/>
        </w:rPr>
      </w:pPr>
      <w:r>
        <w:rPr>
          <w:rFonts w:hint="eastAsia" w:ascii="仿宋_GB2312" w:hAnsi="仿宋_GB2312" w:eastAsia="仿宋_GB2312" w:cs="仿宋_GB2312"/>
          <w:color w:val="auto"/>
          <w:spacing w:val="-2"/>
          <w:sz w:val="24"/>
        </w:rPr>
        <w:t>日期：</w:t>
      </w:r>
    </w:p>
    <w:p>
      <w:pPr>
        <w:pStyle w:val="2"/>
        <w:tabs>
          <w:tab w:val="left" w:pos="562"/>
          <w:tab w:val="left" w:pos="3372"/>
          <w:tab w:val="left" w:pos="3653"/>
        </w:tabs>
        <w:spacing w:line="400" w:lineRule="exact"/>
        <w:rPr>
          <w:rFonts w:ascii="仿宋_GB2312" w:hAnsi="仿宋_GB2312" w:eastAsia="仿宋_GB2312" w:cs="仿宋_GB2312"/>
          <w:color w:val="auto"/>
          <w:spacing w:val="-2"/>
          <w:sz w:val="24"/>
        </w:rPr>
      </w:pPr>
    </w:p>
    <w:p>
      <w:pPr>
        <w:pStyle w:val="2"/>
        <w:tabs>
          <w:tab w:val="left" w:pos="562"/>
          <w:tab w:val="left" w:pos="3372"/>
          <w:tab w:val="left" w:pos="3653"/>
        </w:tabs>
        <w:spacing w:before="30" w:line="400" w:lineRule="exact"/>
        <w:ind w:firstLine="472" w:firstLineChars="200"/>
        <w:rPr>
          <w:rFonts w:ascii="仿宋_GB2312" w:hAnsi="仿宋_GB2312" w:eastAsia="仿宋_GB2312" w:cs="仿宋_GB2312"/>
          <w:color w:val="auto"/>
          <w:sz w:val="24"/>
        </w:rPr>
      </w:pPr>
      <w:r>
        <w:rPr>
          <w:rFonts w:hint="eastAsia" w:ascii="仿宋_GB2312" w:hAnsi="仿宋_GB2312" w:eastAsia="仿宋_GB2312" w:cs="仿宋_GB2312"/>
          <w:color w:val="auto"/>
          <w:spacing w:val="-2"/>
          <w:sz w:val="24"/>
        </w:rPr>
        <w:t>说明：从业人员、营业收入、资产总额填报上一年度数据，无上一年度数据的新成立企业可不填报。</w:t>
      </w:r>
      <w:r>
        <w:rPr>
          <w:rFonts w:hint="eastAsia" w:ascii="仿宋_GB2312" w:hAnsi="仿宋_GB2312" w:eastAsia="仿宋_GB2312" w:cs="仿宋_GB2312"/>
          <w:color w:val="auto"/>
          <w:sz w:val="24"/>
        </w:rPr>
        <w:br w:type="page"/>
      </w:r>
      <w:r>
        <w:rPr>
          <w:rFonts w:hint="eastAsia" w:ascii="仿宋_GB2312" w:hAnsi="仿宋_GB2312" w:eastAsia="仿宋_GB2312" w:cs="仿宋_GB2312"/>
          <w:b/>
          <w:bCs/>
          <w:color w:val="auto"/>
          <w:sz w:val="24"/>
        </w:rPr>
        <w:t>附 2</w:t>
      </w:r>
    </w:p>
    <w:p>
      <w:pPr>
        <w:spacing w:after="319" w:afterLines="100" w:line="400" w:lineRule="exact"/>
        <w:jc w:val="center"/>
        <w:outlineLvl w:val="0"/>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（单位名称）××年面向中小企业预留项目执行情况公告</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根据《政府采购促进中小企业发展管理办法》（财库﹝2020﹞46</w:t>
      </w:r>
      <w:r>
        <w:rPr>
          <w:rFonts w:hint="eastAsia" w:ascii="仿宋_GB2312" w:hAnsi="仿宋_GB2312" w:eastAsia="仿宋_GB2312" w:cs="仿宋_GB2312"/>
          <w:color w:val="auto"/>
          <w:spacing w:val="-47"/>
          <w:sz w:val="24"/>
        </w:rPr>
        <w:t xml:space="preserve"> 号</w:t>
      </w:r>
      <w:r>
        <w:rPr>
          <w:rFonts w:hint="eastAsia" w:ascii="仿宋_GB2312" w:hAnsi="仿宋_GB2312" w:eastAsia="仿宋_GB2312" w:cs="仿宋_GB2312"/>
          <w:color w:val="auto"/>
          <w:spacing w:val="-22"/>
          <w:sz w:val="24"/>
        </w:rPr>
        <w:t>）</w:t>
      </w:r>
      <w:r>
        <w:rPr>
          <w:rFonts w:hint="eastAsia" w:ascii="仿宋_GB2312" w:hAnsi="仿宋_GB2312" w:eastAsia="仿宋_GB2312" w:cs="仿宋_GB2312"/>
          <w:color w:val="auto"/>
          <w:spacing w:val="-7"/>
          <w:sz w:val="24"/>
        </w:rPr>
        <w:t>要求，现对本部门</w:t>
      </w:r>
      <w:r>
        <w:rPr>
          <w:rFonts w:hint="eastAsia" w:ascii="仿宋_GB2312" w:hAnsi="仿宋_GB2312" w:eastAsia="仿宋_GB2312" w:cs="仿宋_GB2312"/>
          <w:color w:val="auto"/>
          <w:spacing w:val="-3"/>
          <w:sz w:val="24"/>
        </w:rPr>
        <w:t>（</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spacing w:val="-7"/>
          <w:sz w:val="24"/>
        </w:rPr>
        <w:t>）</w:t>
      </w:r>
      <w:r>
        <w:rPr>
          <w:rFonts w:hint="eastAsia" w:ascii="仿宋_GB2312" w:hAnsi="仿宋_GB2312" w:eastAsia="仿宋_GB2312" w:cs="仿宋_GB2312"/>
          <w:color w:val="auto"/>
          <w:spacing w:val="-4"/>
          <w:sz w:val="24"/>
        </w:rPr>
        <w:t>××年面向中小企业预留项目执行情况公告如下：</w:t>
      </w:r>
    </w:p>
    <w:p>
      <w:pPr>
        <w:pStyle w:val="2"/>
        <w:tabs>
          <w:tab w:val="left" w:pos="562"/>
          <w:tab w:val="left" w:pos="3372"/>
          <w:tab w:val="left" w:pos="3653"/>
        </w:tabs>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本部门（单位）××年预留项目面向中小企业采购共计××万元，其中，面向小微企业采购××万元，占××%。</w:t>
      </w:r>
    </w:p>
    <w:p>
      <w:pPr>
        <w:pStyle w:val="2"/>
        <w:tabs>
          <w:tab w:val="left" w:pos="562"/>
          <w:tab w:val="left" w:pos="3372"/>
          <w:tab w:val="left" w:pos="3653"/>
        </w:tabs>
        <w:spacing w:line="40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面向中小企业预留项目明细</w:t>
      </w:r>
    </w:p>
    <w:tbl>
      <w:tblPr>
        <w:tblStyle w:val="21"/>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spacing w:line="40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866" w:type="dxa"/>
            <w:vAlign w:val="center"/>
          </w:tcPr>
          <w:p>
            <w:pPr>
              <w:pStyle w:val="32"/>
              <w:spacing w:line="40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项目名称</w:t>
            </w:r>
          </w:p>
        </w:tc>
        <w:tc>
          <w:tcPr>
            <w:tcW w:w="2010" w:type="dxa"/>
            <w:vAlign w:val="center"/>
          </w:tcPr>
          <w:p>
            <w:pPr>
              <w:pStyle w:val="32"/>
              <w:spacing w:line="40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预留选项</w:t>
            </w:r>
          </w:p>
        </w:tc>
        <w:tc>
          <w:tcPr>
            <w:tcW w:w="2296" w:type="dxa"/>
            <w:vAlign w:val="center"/>
          </w:tcPr>
          <w:p>
            <w:pPr>
              <w:pStyle w:val="32"/>
              <w:spacing w:line="40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面向中小企业采购金额</w:t>
            </w:r>
          </w:p>
        </w:tc>
        <w:tc>
          <w:tcPr>
            <w:tcW w:w="1784" w:type="dxa"/>
            <w:vAlign w:val="center"/>
          </w:tcPr>
          <w:p>
            <w:pPr>
              <w:pStyle w:val="32"/>
              <w:spacing w:line="40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2"/>
              <w:spacing w:line="400" w:lineRule="exact"/>
              <w:jc w:val="center"/>
              <w:rPr>
                <w:rFonts w:ascii="仿宋_GB2312" w:hAnsi="仿宋_GB2312" w:eastAsia="仿宋_GB2312" w:cs="仿宋_GB2312"/>
                <w:color w:val="auto"/>
                <w:sz w:val="24"/>
                <w:szCs w:val="24"/>
              </w:rPr>
            </w:pPr>
          </w:p>
        </w:tc>
        <w:tc>
          <w:tcPr>
            <w:tcW w:w="1866" w:type="dxa"/>
            <w:tcBorders>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2010" w:type="dxa"/>
            <w:tcBorders>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（填写“采购项</w:t>
            </w:r>
          </w:p>
        </w:tc>
        <w:tc>
          <w:tcPr>
            <w:tcW w:w="2296" w:type="dxa"/>
            <w:tcBorders>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restart"/>
            <w:vAlign w:val="center"/>
          </w:tcPr>
          <w:p>
            <w:pPr>
              <w:pStyle w:val="32"/>
              <w:spacing w:line="400" w:lineRule="exact"/>
              <w:jc w:val="center"/>
              <w:rPr>
                <w:rFonts w:ascii="仿宋_GB2312" w:hAnsi="仿宋_GB2312" w:eastAsia="仿宋_GB2312" w:cs="仿宋_GB2312"/>
                <w:color w:val="auto"/>
                <w:sz w:val="24"/>
                <w:szCs w:val="24"/>
              </w:rPr>
            </w:pPr>
          </w:p>
          <w:p>
            <w:pPr>
              <w:pStyle w:val="32"/>
              <w:spacing w:line="400" w:lineRule="exact"/>
              <w:jc w:val="center"/>
              <w:rPr>
                <w:rFonts w:ascii="仿宋_GB2312" w:hAnsi="仿宋_GB2312" w:eastAsia="仿宋_GB2312" w:cs="仿宋_GB2312"/>
                <w:color w:val="auto"/>
                <w:sz w:val="24"/>
                <w:szCs w:val="24"/>
              </w:rPr>
            </w:pPr>
          </w:p>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目整体预留”、</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“设置专门采购</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（填写集中采</w:t>
            </w: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包”、“要求以</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购目录以内或</w:t>
            </w: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联合体形式参</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（精确到万元）</w:t>
            </w: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者采购限额标</w:t>
            </w: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加”或者“要求</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准以上的采购项目</w:t>
            </w: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合同分包”，除</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“采购项目全部</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预留”外，还应</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2010"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当填写预留给中</w:t>
            </w:r>
          </w:p>
        </w:tc>
        <w:tc>
          <w:tcPr>
            <w:tcW w:w="2296" w:type="dxa"/>
            <w:tcBorders>
              <w:top w:val="nil"/>
              <w:bottom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c>
          <w:tcPr>
            <w:tcW w:w="1866" w:type="dxa"/>
            <w:tcBorders>
              <w:top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2010" w:type="dxa"/>
            <w:tcBorders>
              <w:top w:val="nil"/>
            </w:tcBorders>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小企业的比例）</w:t>
            </w:r>
          </w:p>
        </w:tc>
        <w:tc>
          <w:tcPr>
            <w:tcW w:w="2296" w:type="dxa"/>
            <w:tcBorders>
              <w:top w:val="nil"/>
            </w:tcBorders>
            <w:vAlign w:val="center"/>
          </w:tcPr>
          <w:p>
            <w:pPr>
              <w:pStyle w:val="32"/>
              <w:spacing w:line="400" w:lineRule="exact"/>
              <w:jc w:val="center"/>
              <w:rPr>
                <w:rFonts w:ascii="仿宋_GB2312" w:hAnsi="仿宋_GB2312" w:eastAsia="仿宋_GB2312" w:cs="仿宋_GB2312"/>
                <w:color w:val="auto"/>
                <w:sz w:val="24"/>
                <w:szCs w:val="24"/>
              </w:rPr>
            </w:pPr>
          </w:p>
        </w:tc>
        <w:tc>
          <w:tcPr>
            <w:tcW w:w="1784" w:type="dxa"/>
            <w:vMerge w:val="continue"/>
            <w:tcBorders>
              <w:top w:val="nil"/>
            </w:tcBorders>
            <w:vAlign w:val="center"/>
          </w:tcPr>
          <w:p>
            <w:pPr>
              <w:spacing w:line="400" w:lineRule="exact"/>
              <w:jc w:val="center"/>
              <w:rPr>
                <w:rFonts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866" w:type="dxa"/>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2010" w:type="dxa"/>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2296" w:type="dxa"/>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784" w:type="dxa"/>
            <w:vAlign w:val="center"/>
          </w:tcPr>
          <w:p>
            <w:pPr>
              <w:pStyle w:val="32"/>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bl>
    <w:p>
      <w:pPr>
        <w:pStyle w:val="2"/>
        <w:tabs>
          <w:tab w:val="left" w:pos="562"/>
          <w:tab w:val="left" w:pos="3372"/>
          <w:tab w:val="left" w:pos="3653"/>
        </w:tabs>
        <w:spacing w:before="128" w:line="400" w:lineRule="exact"/>
        <w:ind w:left="4220" w:right="1843"/>
        <w:rPr>
          <w:rFonts w:ascii="仿宋_GB2312" w:hAnsi="仿宋_GB2312" w:eastAsia="仿宋_GB2312" w:cs="仿宋_GB2312"/>
          <w:color w:val="auto"/>
          <w:sz w:val="24"/>
        </w:rPr>
      </w:pPr>
      <w:r>
        <w:rPr>
          <w:rFonts w:hint="eastAsia" w:ascii="仿宋_GB2312" w:hAnsi="仿宋_GB2312" w:eastAsia="仿宋_GB2312" w:cs="仿宋_GB2312"/>
          <w:color w:val="auto"/>
          <w:sz w:val="24"/>
        </w:rPr>
        <w:t>部门（单位）名称： 、日期：</w:t>
      </w:r>
    </w:p>
    <w:p>
      <w:pPr>
        <w:pStyle w:val="2"/>
        <w:tabs>
          <w:tab w:val="left" w:pos="562"/>
          <w:tab w:val="left" w:pos="3372"/>
          <w:tab w:val="left" w:pos="3653"/>
        </w:tabs>
        <w:spacing w:line="400" w:lineRule="exact"/>
        <w:rPr>
          <w:rFonts w:ascii="仿宋_GB2312" w:hAnsi="仿宋_GB2312" w:eastAsia="仿宋_GB2312" w:cs="仿宋_GB2312"/>
          <w:color w:val="auto"/>
          <w:sz w:val="24"/>
        </w:rPr>
      </w:pPr>
    </w:p>
    <w:p>
      <w:pPr>
        <w:pStyle w:val="18"/>
        <w:spacing w:line="400" w:lineRule="exact"/>
        <w:jc w:val="both"/>
        <w:outlineLvl w:val="9"/>
        <w:rPr>
          <w:rFonts w:ascii="仿宋_GB2312" w:hAnsi="仿宋_GB2312" w:eastAsia="仿宋_GB2312" w:cs="仿宋_GB2312"/>
          <w:color w:val="auto"/>
          <w:sz w:val="24"/>
          <w:szCs w:val="24"/>
        </w:rPr>
      </w:pPr>
    </w:p>
    <w:p>
      <w:pPr>
        <w:tabs>
          <w:tab w:val="left" w:pos="360"/>
        </w:tabs>
        <w:spacing w:line="400" w:lineRule="exact"/>
        <w:outlineLvl w:val="1"/>
        <w:rPr>
          <w:rFonts w:ascii="仿宋_GB2312" w:hAnsi="仿宋_GB2312" w:eastAsia="仿宋_GB2312" w:cs="仿宋_GB2312"/>
          <w:b/>
          <w:bCs/>
          <w:color w:val="auto"/>
          <w:sz w:val="24"/>
        </w:rPr>
      </w:pPr>
      <w:r>
        <w:rPr>
          <w:rFonts w:hint="eastAsia" w:ascii="仿宋_GB2312" w:hAnsi="仿宋_GB2312" w:eastAsia="仿宋_GB2312" w:cs="仿宋_GB2312"/>
          <w:color w:val="auto"/>
          <w:sz w:val="24"/>
        </w:rPr>
        <w:br w:type="page"/>
      </w:r>
      <w:r>
        <w:rPr>
          <w:rFonts w:hint="eastAsia" w:ascii="仿宋_GB2312" w:hAnsi="仿宋_GB2312" w:eastAsia="仿宋_GB2312" w:cs="仿宋_GB2312"/>
          <w:b/>
          <w:bCs/>
          <w:color w:val="auto"/>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spacing w:line="400" w:lineRule="exact"/>
        <w:rPr>
          <w:rFonts w:ascii="仿宋_GB2312" w:hAnsi="仿宋_GB2312" w:eastAsia="仿宋_GB2312" w:cs="仿宋_GB2312"/>
          <w:color w:val="auto"/>
          <w:sz w:val="24"/>
        </w:rPr>
      </w:pPr>
    </w:p>
    <w:p>
      <w:pPr>
        <w:spacing w:after="319" w:afterLines="100" w:line="400" w:lineRule="exact"/>
        <w:jc w:val="center"/>
        <w:outlineLvl w:val="0"/>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关于印发中小企业划型标准规定的通知</w:t>
      </w:r>
    </w:p>
    <w:p>
      <w:pPr>
        <w:spacing w:after="319" w:afterLines="100"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工信部联企业〔2011〕300号</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各省、自治区、直辖市人民政府，国务院各部委、各直属机构及有关单位：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
        <w:spacing w:line="400" w:lineRule="exact"/>
        <w:rPr>
          <w:rFonts w:ascii="仿宋_GB2312" w:hAnsi="仿宋_GB2312" w:eastAsia="仿宋_GB2312" w:cs="仿宋_GB2312"/>
          <w:color w:val="auto"/>
        </w:rPr>
      </w:pPr>
    </w:p>
    <w:p>
      <w:pPr>
        <w:spacing w:line="400" w:lineRule="exact"/>
        <w:ind w:firstLine="480" w:firstLineChars="200"/>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工业和信息化部 国家统计局</w:t>
      </w:r>
    </w:p>
    <w:p>
      <w:pPr>
        <w:spacing w:line="400" w:lineRule="exact"/>
        <w:ind w:firstLine="480" w:firstLineChars="200"/>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国家发展和改革委员会 财政部</w:t>
      </w:r>
    </w:p>
    <w:p>
      <w:pPr>
        <w:spacing w:line="400" w:lineRule="exact"/>
        <w:ind w:firstLine="480" w:firstLineChars="200"/>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二○一一年六月十八日</w:t>
      </w:r>
    </w:p>
    <w:p>
      <w:pPr>
        <w:spacing w:line="400" w:lineRule="exact"/>
        <w:ind w:firstLine="480" w:firstLineChars="200"/>
        <w:rPr>
          <w:rFonts w:ascii="仿宋_GB2312" w:hAnsi="仿宋_GB2312" w:eastAsia="仿宋_GB2312" w:cs="仿宋_GB2312"/>
          <w:color w:val="auto"/>
          <w:sz w:val="24"/>
        </w:rPr>
      </w:pPr>
    </w:p>
    <w:p>
      <w:pPr>
        <w:spacing w:line="400" w:lineRule="exact"/>
        <w:ind w:firstLine="480" w:firstLineChars="200"/>
        <w:rPr>
          <w:rFonts w:ascii="仿宋_GB2312" w:hAnsi="仿宋_GB2312" w:eastAsia="仿宋_GB2312" w:cs="仿宋_GB2312"/>
          <w:color w:val="auto"/>
          <w:sz w:val="24"/>
        </w:rPr>
      </w:pPr>
    </w:p>
    <w:p>
      <w:pPr>
        <w:spacing w:line="400" w:lineRule="exact"/>
        <w:ind w:firstLine="480" w:firstLineChars="200"/>
        <w:rPr>
          <w:rFonts w:ascii="仿宋_GB2312" w:hAnsi="仿宋_GB2312" w:eastAsia="仿宋_GB2312" w:cs="仿宋_GB2312"/>
          <w:color w:val="auto"/>
          <w:sz w:val="24"/>
        </w:rPr>
      </w:pPr>
    </w:p>
    <w:p>
      <w:pPr>
        <w:spacing w:after="319" w:afterLines="100" w:line="400" w:lineRule="exact"/>
        <w:jc w:val="center"/>
        <w:outlineLvl w:val="0"/>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 xml:space="preserve">中小企业划型标准规定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一、根据《中华人民共和国中小企业促进法》和《国务院关于进一步促进中小企业发展的若干意见》(国发〔2009〕36号)，制定本规定。</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二、中小企业划分为中型、小型、微型三种类型，具体标准根据企业从业人员、营业收入、资产总额等指标，结合行业特点制定。</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四、各行业划型标准为：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五、企业类型的划分以统计部门的统计数据为依据。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六、本规定适用于在中华人民共和国境内依法设立的各类所有制和各种组织形式的企业。个体工商户和本规定以外的行业，参照本规定进行划型。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八、本规定由工业和信息化部、国家统计局会同有关部门根据《国民经济行业分类》修订情况和企业发展变化情况适时修订。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九、本规定由工业和信息化部、国家统计局会同有关部门负责解释。 </w:t>
      </w:r>
    </w:p>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十、本规定自发布之日起执行，原国家经贸委、原国家计委、财政部和国家统计局2003年颁布的《中小企业标准暂行规定》同时废止。</w:t>
      </w:r>
    </w:p>
    <w:p>
      <w:pPr>
        <w:spacing w:line="400" w:lineRule="exact"/>
        <w:ind w:firstLine="480" w:firstLineChars="200"/>
        <w:rPr>
          <w:rFonts w:ascii="仿宋_GB2312" w:hAnsi="仿宋_GB2312" w:eastAsia="仿宋_GB2312" w:cs="仿宋_GB2312"/>
          <w:color w:val="auto"/>
          <w:sz w:val="24"/>
        </w:rPr>
      </w:pPr>
    </w:p>
    <w:p>
      <w:pPr>
        <w:tabs>
          <w:tab w:val="left" w:pos="360"/>
        </w:tabs>
        <w:spacing w:line="400" w:lineRule="exact"/>
        <w:outlineLvl w:val="1"/>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3.国家统计局《关于印发〈统计上大中小微型企业划分办法（2017）〉的通知》</w:t>
      </w:r>
    </w:p>
    <w:p>
      <w:pPr>
        <w:widowControl/>
        <w:shd w:val="clear" w:color="auto" w:fill="FFFFFF"/>
        <w:spacing w:line="400" w:lineRule="exact"/>
        <w:jc w:val="center"/>
        <w:rPr>
          <w:rFonts w:ascii="仿宋_GB2312" w:hAnsi="仿宋_GB2312" w:eastAsia="仿宋_GB2312" w:cs="仿宋_GB2312"/>
          <w:b/>
          <w:bCs/>
          <w:color w:val="auto"/>
          <w:kern w:val="0"/>
          <w:sz w:val="24"/>
        </w:rPr>
      </w:pPr>
    </w:p>
    <w:p>
      <w:pPr>
        <w:spacing w:after="319" w:afterLines="100" w:line="400" w:lineRule="exact"/>
        <w:jc w:val="center"/>
        <w:outlineLvl w:val="0"/>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国家统计局关于印发《统计上大中小微型企业划分办法（2017）》的通知</w:t>
      </w:r>
    </w:p>
    <w:p>
      <w:pPr>
        <w:widowControl/>
        <w:shd w:val="clear" w:color="auto" w:fill="FFFFFF"/>
        <w:spacing w:line="400" w:lineRule="exac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p>
      <w:pPr>
        <w:widowControl/>
        <w:shd w:val="clear" w:color="auto" w:fill="FFFFFF"/>
        <w:spacing w:line="400" w:lineRule="exac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各省、自治区、直辖市统计局，新疆生产建设兵团统计局，国务院各有关部门，国家统计局各调查总队： </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pPr>
        <w:widowControl/>
        <w:shd w:val="clear" w:color="auto" w:fill="FFFFFF"/>
        <w:spacing w:line="400" w:lineRule="exact"/>
        <w:ind w:firstLine="48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kern w:val="0"/>
          <w:sz w:val="24"/>
        </w:rPr>
        <w:t>附件：《统计上大中小微型企业划分办法（2017）》修订说明</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p>
      <w:pPr>
        <w:widowControl/>
        <w:shd w:val="clear" w:color="auto" w:fill="FFFFFF"/>
        <w:spacing w:line="400" w:lineRule="exact"/>
        <w:ind w:firstLine="480" w:firstLineChars="200"/>
        <w:jc w:val="righ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国家统计局</w:t>
      </w:r>
    </w:p>
    <w:p>
      <w:pPr>
        <w:widowControl/>
        <w:shd w:val="clear" w:color="auto" w:fill="FFFFFF"/>
        <w:spacing w:line="400" w:lineRule="exact"/>
        <w:ind w:firstLine="480" w:firstLineChars="200"/>
        <w:jc w:val="righ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2017年12月28日</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w:t>
      </w:r>
    </w:p>
    <w:p>
      <w:pPr>
        <w:spacing w:after="319" w:afterLines="100" w:line="400" w:lineRule="exact"/>
        <w:jc w:val="center"/>
        <w:outlineLvl w:val="0"/>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统计上大中小微型企业划分办法（2017）</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二、本办法适用对象为在中华人民共和国境内依法设立的各种组织形式的法人企业或单位。个体工商户参照本办法进行划分。</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五、企业划分由政府综合统计部门根据统计年报每年确定一次，定报统计原则上不进行调整。</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六、本办法自印发之日起执行，国家统计局2011年印发的《统计上大中小微型企业划分办法》（国统字〔2011〕75号）同时废止。</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附表：统计上大中小微型企业划分标准</w:t>
      </w:r>
    </w:p>
    <w:p>
      <w:pPr>
        <w:widowControl/>
        <w:spacing w:line="400" w:lineRule="exact"/>
        <w:jc w:val="left"/>
        <w:rPr>
          <w:rFonts w:ascii="仿宋_GB2312" w:hAnsi="仿宋_GB2312" w:eastAsia="仿宋_GB2312" w:cs="仿宋_GB2312"/>
          <w:color w:val="auto"/>
          <w:kern w:val="0"/>
          <w:sz w:val="24"/>
        </w:rPr>
      </w:pPr>
    </w:p>
    <w:p>
      <w:pPr>
        <w:widowControl/>
        <w:spacing w:line="400" w:lineRule="exac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附表：</w:t>
      </w:r>
    </w:p>
    <w:p>
      <w:pPr>
        <w:spacing w:after="319" w:afterLines="100" w:line="400" w:lineRule="exact"/>
        <w:jc w:val="center"/>
        <w:outlineLvl w:val="0"/>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行业名称</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指标名称</w:t>
            </w:r>
          </w:p>
        </w:tc>
        <w:tc>
          <w:tcPr>
            <w:tcW w:w="727" w:type="dxa"/>
            <w:vAlign w:val="center"/>
          </w:tcPr>
          <w:p>
            <w:pPr>
              <w:widowControl/>
              <w:spacing w:line="40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计量</w:t>
            </w:r>
          </w:p>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单位</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大型</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中型</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小型</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农、林、牧、渔业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Y≥20000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500≤Y＜20000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50≤Y＜500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 *</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300≤X＜1000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20≤X＜300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Y≥40000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2000≤Y＜40000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300≤Y＜2000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Y≥80000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6000≤Y＜80000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300≤Y＜6000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资产总额(Z)</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Z≥80000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5000≤Z＜80000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300≤Z＜5000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批发业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20≤X＜200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5≤X＜20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Y≥40000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5000≤Y＜40000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1000≤Y＜5000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零售业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X≥300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50≤X＜300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10≤X＜50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Y≥20000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500≤Y＜20000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100≤Y＜500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交通运输业 *</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300≤X＜1000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20≤X＜300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Y≥30000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3000≤Y＜30000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200≤Y＜3000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仓储业*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100≤X＜200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20≤X＜100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Y≥30000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1000≤Y＜30000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100≤Y＜1000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邮政业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300≤X＜1000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20≤X＜300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Y≥30000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2000≤Y＜30000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100≤Y＜2000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住宿业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X≥300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100≤X＜300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10≤X＜100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2000≤Y＜10000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100≤Y＜2000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餐饮业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X≥300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100≤X＜300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10≤X＜100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2000≤Y＜10000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100≤Y＜2000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信息传输业 *</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X≥2000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100≤X＜2000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10≤X＜100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1000≤Y＜100000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100≤Y＜1000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软件和信息技术服务业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X≥300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100≤X＜300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10≤X＜100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1000≤Y＜10000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50≤Y＜1000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房地产开发经营</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Y≥200000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1000≤Y＜200000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100≤Y＜1000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资产总额(Z)</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Z≥10000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5000≤Z＜10000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2000≤Z＜5000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物业管理</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300≤X＜1000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100≤X＜300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营业收入(Y)</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Y≥5000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1000≤Y＜5000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500≤Y＜1000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租赁和商务服务业</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X≥300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100≤X＜300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10≤X＜100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仿宋_GB2312" w:hAnsi="仿宋_GB2312" w:eastAsia="仿宋_GB2312" w:cs="仿宋_GB2312"/>
                <w:color w:val="auto"/>
                <w:kern w:val="0"/>
                <w:sz w:val="24"/>
              </w:rPr>
            </w:pP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资产总额(Z)</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Z≥120000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8000≤Z＜120000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100≤Z＜8000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其他未列明行业 *</w:t>
            </w:r>
          </w:p>
        </w:tc>
        <w:tc>
          <w:tcPr>
            <w:tcW w:w="1462"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从业人员(X)</w:t>
            </w:r>
          </w:p>
        </w:tc>
        <w:tc>
          <w:tcPr>
            <w:tcW w:w="727"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w:t>
            </w:r>
          </w:p>
        </w:tc>
        <w:tc>
          <w:tcPr>
            <w:tcW w:w="1011"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X≥300</w:t>
            </w:r>
          </w:p>
        </w:tc>
        <w:tc>
          <w:tcPr>
            <w:tcW w:w="1664"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100≤X＜300</w:t>
            </w:r>
          </w:p>
        </w:tc>
        <w:tc>
          <w:tcPr>
            <w:tcW w:w="1446"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10≤X＜100</w:t>
            </w:r>
          </w:p>
        </w:tc>
        <w:tc>
          <w:tcPr>
            <w:tcW w:w="793" w:type="dxa"/>
            <w:vAlign w:val="center"/>
          </w:tcPr>
          <w:p>
            <w:pPr>
              <w:widowControl/>
              <w:spacing w:line="40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X＜10</w:t>
            </w:r>
          </w:p>
        </w:tc>
      </w:tr>
    </w:tbl>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说明：</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1.大型、中型和小型企业须同时满足所列指标的下限，否则下划一档；微型企业只须满足所列指标中的一项即可。</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0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400" w:lineRule="exact"/>
        <w:rPr>
          <w:rFonts w:ascii="仿宋_GB2312" w:hAnsi="仿宋_GB2312" w:eastAsia="仿宋_GB2312" w:cs="仿宋_GB2312"/>
          <w:color w:val="auto"/>
          <w:sz w:val="24"/>
        </w:rPr>
      </w:pPr>
    </w:p>
    <w:p>
      <w:pPr>
        <w:pStyle w:val="18"/>
        <w:spacing w:line="400" w:lineRule="exact"/>
        <w:outlineLvl w:val="9"/>
        <w:rPr>
          <w:rFonts w:ascii="仿宋_GB2312" w:hAnsi="仿宋_GB2312" w:eastAsia="仿宋_GB2312" w:cs="仿宋_GB2312"/>
          <w:color w:val="auto"/>
          <w:sz w:val="24"/>
          <w:szCs w:val="24"/>
        </w:rPr>
      </w:pPr>
    </w:p>
    <w:p>
      <w:pPr>
        <w:tabs>
          <w:tab w:val="left" w:pos="360"/>
        </w:tabs>
        <w:spacing w:line="400" w:lineRule="exact"/>
        <w:outlineLvl w:val="1"/>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r>
        <w:rPr>
          <w:rFonts w:hint="eastAsia" w:ascii="仿宋_GB2312" w:hAnsi="仿宋_GB2312" w:eastAsia="仿宋_GB2312" w:cs="仿宋_GB2312"/>
          <w:b/>
          <w:bCs/>
          <w:color w:val="auto"/>
          <w:sz w:val="24"/>
        </w:rPr>
        <w:t>4.财政部、民政部、中国残联《关于促进残疾人就业政府采购政策的通知》（财库〔2017〕141 号）</w:t>
      </w:r>
    </w:p>
    <w:p>
      <w:pPr>
        <w:shd w:val="clear" w:color="auto" w:fill="FFFFFF"/>
        <w:spacing w:line="400" w:lineRule="exact"/>
        <w:rPr>
          <w:rFonts w:ascii="仿宋_GB2312" w:hAnsi="仿宋_GB2312" w:eastAsia="仿宋_GB2312" w:cs="仿宋_GB2312"/>
          <w:bCs/>
          <w:color w:val="auto"/>
          <w:sz w:val="24"/>
        </w:rPr>
      </w:pPr>
    </w:p>
    <w:p>
      <w:pPr>
        <w:spacing w:after="319" w:afterLines="100" w:line="400" w:lineRule="exact"/>
        <w:jc w:val="center"/>
        <w:outlineLvl w:val="0"/>
        <w:rPr>
          <w:rFonts w:ascii="仿宋_GB2312" w:hAnsi="仿宋_GB2312" w:eastAsia="仿宋_GB2312" w:cs="仿宋_GB2312"/>
          <w:color w:val="auto"/>
          <w:sz w:val="28"/>
          <w:szCs w:val="28"/>
          <w:lang w:val="fr-CH"/>
        </w:rPr>
      </w:pPr>
      <w:r>
        <w:rPr>
          <w:rFonts w:hint="eastAsia" w:ascii="仿宋_GB2312" w:hAnsi="仿宋_GB2312" w:eastAsia="仿宋_GB2312" w:cs="仿宋_GB2312"/>
          <w:color w:val="auto"/>
          <w:sz w:val="28"/>
          <w:szCs w:val="28"/>
          <w:lang w:val="fr-CH"/>
        </w:rPr>
        <w:t>关于促进残疾人就业政府采购政策的通知</w:t>
      </w:r>
    </w:p>
    <w:p>
      <w:pPr>
        <w:pStyle w:val="17"/>
        <w:shd w:val="clear" w:color="auto" w:fill="FFFFFF"/>
        <w:spacing w:before="0" w:beforeAutospacing="0" w:after="0" w:afterAutospacing="0" w:line="400" w:lineRule="exact"/>
        <w:ind w:firstLine="480"/>
        <w:jc w:val="center"/>
        <w:rPr>
          <w:rFonts w:ascii="仿宋_GB2312" w:hAnsi="仿宋_GB2312" w:eastAsia="仿宋_GB2312" w:cs="仿宋_GB2312"/>
          <w:color w:val="auto"/>
        </w:rPr>
      </w:pPr>
      <w:r>
        <w:rPr>
          <w:rFonts w:hint="eastAsia" w:ascii="仿宋_GB2312" w:hAnsi="仿宋_GB2312" w:eastAsia="仿宋_GB2312" w:cs="仿宋_GB2312"/>
          <w:color w:val="auto"/>
        </w:rPr>
        <w:t>财库〔2017〕141号</w:t>
      </w:r>
    </w:p>
    <w:p>
      <w:pPr>
        <w:pStyle w:val="17"/>
        <w:shd w:val="clear" w:color="auto" w:fill="FFFFFF"/>
        <w:spacing w:before="0" w:beforeAutospacing="0" w:after="0" w:afterAutospacing="0" w:line="400" w:lineRule="exact"/>
        <w:ind w:firstLine="480"/>
        <w:jc w:val="center"/>
        <w:rPr>
          <w:rFonts w:ascii="仿宋_GB2312" w:hAnsi="仿宋_GB2312" w:eastAsia="仿宋_GB2312" w:cs="仿宋_GB2312"/>
          <w:color w:val="auto"/>
        </w:rPr>
      </w:pPr>
    </w:p>
    <w:p>
      <w:pPr>
        <w:pStyle w:val="17"/>
        <w:shd w:val="clear" w:color="auto" w:fill="FFFFFF"/>
        <w:spacing w:before="0" w:beforeAutospacing="0" w:after="0" w:afterAutospacing="0" w:line="400" w:lineRule="exact"/>
        <w:rPr>
          <w:rFonts w:ascii="仿宋_GB2312" w:hAnsi="仿宋_GB2312" w:eastAsia="仿宋_GB2312" w:cs="仿宋_GB2312"/>
          <w:color w:val="auto"/>
        </w:rPr>
      </w:pPr>
      <w:r>
        <w:rPr>
          <w:rFonts w:hint="eastAsia" w:ascii="仿宋_GB2312" w:hAnsi="仿宋_GB2312" w:eastAsia="仿宋_GB2312" w:cs="仿宋_GB2312"/>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一、享受政府采购支持政策的残疾人福利性单位应当同时满足以下条件：</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（一）安置的残疾人占本单位在职职工人数的比例不低于25%（含25%），并且安置的残疾人人数不少于10人（含10人）；</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（二）依法与安置的每位残疾人签订了一年以上（含一年）的劳动合同或服务协议；</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rPr>
        <w:t>七、本通知自2017年10月1日起执行。</w:t>
      </w:r>
    </w:p>
    <w:p>
      <w:pPr>
        <w:pStyle w:val="17"/>
        <w:shd w:val="clear" w:color="auto" w:fill="FFFFFF"/>
        <w:spacing w:before="0" w:beforeAutospacing="0" w:after="0" w:afterAutospacing="0" w:line="400" w:lineRule="exact"/>
        <w:ind w:firstLine="480" w:firstLineChars="200"/>
        <w:rPr>
          <w:rFonts w:ascii="仿宋_GB2312" w:hAnsi="仿宋_GB2312" w:eastAsia="仿宋_GB2312" w:cs="仿宋_GB2312"/>
          <w:color w:val="auto"/>
        </w:rPr>
      </w:pPr>
    </w:p>
    <w:p>
      <w:pPr>
        <w:pStyle w:val="17"/>
        <w:shd w:val="clear" w:color="auto" w:fill="FFFFFF"/>
        <w:spacing w:before="0" w:beforeAutospacing="0" w:after="0" w:afterAutospacing="0" w:line="400" w:lineRule="exact"/>
        <w:ind w:firstLine="48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财政部 民政部 中国残疾人联合会</w:t>
      </w:r>
    </w:p>
    <w:p>
      <w:pPr>
        <w:pStyle w:val="17"/>
        <w:shd w:val="clear" w:color="auto" w:fill="FFFFFF"/>
        <w:spacing w:before="0" w:beforeAutospacing="0" w:after="0" w:afterAutospacing="0" w:line="400" w:lineRule="exact"/>
        <w:ind w:firstLine="480" w:firstLineChars="200"/>
        <w:jc w:val="right"/>
        <w:rPr>
          <w:rFonts w:ascii="仿宋_GB2312" w:hAnsi="仿宋_GB2312" w:eastAsia="仿宋_GB2312" w:cs="仿宋_GB2312"/>
          <w:color w:val="auto"/>
        </w:rPr>
      </w:pPr>
      <w:r>
        <w:rPr>
          <w:rFonts w:hint="eastAsia" w:ascii="仿宋_GB2312" w:hAnsi="仿宋_GB2312" w:eastAsia="仿宋_GB2312" w:cs="仿宋_GB2312"/>
          <w:color w:val="auto"/>
        </w:rPr>
        <w:t>2017年8月22日</w:t>
      </w:r>
    </w:p>
    <w:p>
      <w:pPr>
        <w:pStyle w:val="17"/>
        <w:shd w:val="clear" w:color="auto" w:fill="FFFFFF"/>
        <w:spacing w:before="0" w:beforeAutospacing="0" w:after="0" w:afterAutospacing="0" w:line="400" w:lineRule="exact"/>
        <w:ind w:firstLine="480" w:firstLineChars="200"/>
        <w:jc w:val="right"/>
        <w:rPr>
          <w:rFonts w:ascii="仿宋_GB2312" w:hAnsi="仿宋_GB2312" w:eastAsia="仿宋_GB2312" w:cs="仿宋_GB2312"/>
          <w:color w:val="auto"/>
        </w:rPr>
      </w:pPr>
    </w:p>
    <w:p>
      <w:pPr>
        <w:pStyle w:val="34"/>
        <w:shd w:val="clear" w:color="auto" w:fill="FFFFFF"/>
        <w:spacing w:before="0" w:beforeAutospacing="0" w:after="0" w:afterAutospacing="0" w:line="400" w:lineRule="exact"/>
        <w:jc w:val="both"/>
        <w:rPr>
          <w:rFonts w:ascii="仿宋_GB2312" w:hAnsi="仿宋_GB2312" w:eastAsia="仿宋_GB2312" w:cs="仿宋_GB2312"/>
          <w:color w:val="auto"/>
        </w:rPr>
      </w:pPr>
    </w:p>
    <w:p>
      <w:pPr>
        <w:pStyle w:val="34"/>
        <w:shd w:val="clear" w:color="auto" w:fill="FFFFFF"/>
        <w:spacing w:before="0" w:beforeAutospacing="0" w:after="0" w:afterAutospacing="0" w:line="400" w:lineRule="exact"/>
        <w:jc w:val="both"/>
        <w:rPr>
          <w:rFonts w:ascii="仿宋_GB2312" w:hAnsi="仿宋_GB2312" w:eastAsia="仿宋_GB2312" w:cs="仿宋_GB2312"/>
          <w:color w:val="auto"/>
        </w:rPr>
      </w:pPr>
      <w:r>
        <w:rPr>
          <w:rFonts w:hint="eastAsia" w:ascii="仿宋_GB2312" w:hAnsi="仿宋_GB2312" w:eastAsia="仿宋_GB2312" w:cs="仿宋_GB2312"/>
          <w:color w:val="auto"/>
        </w:rPr>
        <w:t>附件：</w:t>
      </w:r>
    </w:p>
    <w:p>
      <w:pPr>
        <w:pStyle w:val="34"/>
        <w:shd w:val="clear" w:color="auto" w:fill="FFFFFF"/>
        <w:spacing w:before="0" w:beforeAutospacing="0" w:after="0" w:afterAutospacing="0" w:line="400" w:lineRule="exact"/>
        <w:ind w:firstLine="560" w:firstLineChars="200"/>
        <w:jc w:val="center"/>
        <w:outlineLvl w:val="0"/>
        <w:rPr>
          <w:rFonts w:ascii="仿宋_GB2312" w:hAnsi="仿宋_GB2312" w:eastAsia="仿宋_GB2312" w:cs="仿宋_GB2312"/>
          <w:color w:val="auto"/>
          <w:kern w:val="2"/>
          <w:sz w:val="28"/>
          <w:szCs w:val="28"/>
          <w:lang w:val="fr-CH"/>
        </w:rPr>
      </w:pPr>
      <w:r>
        <w:rPr>
          <w:rFonts w:hint="eastAsia" w:ascii="仿宋_GB2312" w:hAnsi="仿宋_GB2312" w:eastAsia="仿宋_GB2312" w:cs="仿宋_GB2312"/>
          <w:color w:val="auto"/>
          <w:kern w:val="2"/>
          <w:sz w:val="28"/>
          <w:szCs w:val="28"/>
          <w:lang w:val="fr-CH"/>
        </w:rPr>
        <w:t>残疾人福利性单位声明函</w:t>
      </w:r>
    </w:p>
    <w:p>
      <w:pPr>
        <w:pStyle w:val="34"/>
        <w:shd w:val="clear" w:color="auto" w:fill="FFFFFF"/>
        <w:spacing w:before="0" w:beforeAutospacing="0" w:after="0" w:afterAutospacing="0" w:line="400" w:lineRule="exact"/>
        <w:ind w:firstLine="480" w:firstLineChars="200"/>
        <w:jc w:val="both"/>
        <w:rPr>
          <w:rFonts w:ascii="仿宋_GB2312" w:hAnsi="仿宋_GB2312" w:eastAsia="仿宋_GB2312" w:cs="仿宋_GB2312"/>
          <w:color w:val="auto"/>
        </w:rPr>
      </w:pPr>
    </w:p>
    <w:p>
      <w:pPr>
        <w:pStyle w:val="34"/>
        <w:shd w:val="clear" w:color="auto" w:fill="FFFFFF"/>
        <w:spacing w:before="0" w:beforeAutospacing="0" w:after="0" w:afterAutospacing="0" w:line="400" w:lineRule="exact"/>
        <w:ind w:firstLine="480" w:firstLineChars="200"/>
        <w:jc w:val="both"/>
        <w:rPr>
          <w:rFonts w:ascii="仿宋_GB2312" w:hAnsi="仿宋_GB2312" w:eastAsia="仿宋_GB2312" w:cs="仿宋_GB2312"/>
          <w:color w:val="auto"/>
        </w:rPr>
      </w:pPr>
      <w:r>
        <w:rPr>
          <w:rStyle w:val="27"/>
          <w:rFonts w:hint="eastAsia" w:ascii="仿宋_GB2312" w:hAnsi="仿宋_GB2312" w:eastAsia="仿宋_GB2312" w:cs="仿宋_GB2312"/>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hd w:val="clear" w:color="auto" w:fill="FFFFFF"/>
        <w:spacing w:before="0" w:beforeAutospacing="0" w:after="0" w:afterAutospacing="0" w:line="400" w:lineRule="exact"/>
        <w:ind w:firstLine="480" w:firstLineChars="200"/>
        <w:jc w:val="both"/>
        <w:rPr>
          <w:rFonts w:ascii="仿宋_GB2312" w:hAnsi="仿宋_GB2312" w:eastAsia="仿宋_GB2312" w:cs="仿宋_GB2312"/>
          <w:color w:val="auto"/>
        </w:rPr>
      </w:pPr>
      <w:r>
        <w:rPr>
          <w:rStyle w:val="27"/>
          <w:rFonts w:hint="eastAsia" w:ascii="仿宋_GB2312" w:hAnsi="仿宋_GB2312" w:eastAsia="仿宋_GB2312" w:cs="仿宋_GB2312"/>
          <w:color w:val="auto"/>
        </w:rPr>
        <w:t>本单位对上述声明的真实性负责。如有虚假，将依法承担相应责任。</w:t>
      </w:r>
    </w:p>
    <w:p>
      <w:pPr>
        <w:pStyle w:val="34"/>
        <w:shd w:val="clear" w:color="auto" w:fill="FFFFFF"/>
        <w:spacing w:before="0" w:beforeAutospacing="0" w:after="0" w:afterAutospacing="0" w:line="400" w:lineRule="exact"/>
        <w:ind w:firstLine="480"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投标人已知悉《关于促进残疾人就业政府采购政策的通知》（财库〔2017〕141 号）的规定，承诺提供的声明函内容是真实的，如提供声明函内容不实，则依法追究相关法律责任。</w:t>
      </w:r>
    </w:p>
    <w:p>
      <w:pPr>
        <w:pStyle w:val="34"/>
        <w:shd w:val="clear" w:color="auto" w:fill="FFFFFF"/>
        <w:spacing w:before="0" w:beforeAutospacing="0" w:after="0" w:afterAutospacing="0" w:line="400" w:lineRule="exact"/>
        <w:ind w:firstLine="480" w:firstLineChars="200"/>
        <w:jc w:val="both"/>
        <w:rPr>
          <w:rFonts w:ascii="仿宋_GB2312" w:hAnsi="仿宋_GB2312" w:eastAsia="仿宋_GB2312" w:cs="仿宋_GB2312"/>
          <w:color w:val="auto"/>
        </w:rPr>
      </w:pPr>
    </w:p>
    <w:p>
      <w:pPr>
        <w:pStyle w:val="34"/>
        <w:shd w:val="clear" w:color="auto" w:fill="FFFFFF"/>
        <w:spacing w:before="0" w:beforeAutospacing="0" w:after="0" w:afterAutospacing="0" w:line="400" w:lineRule="exact"/>
        <w:ind w:firstLine="480" w:firstLineChars="200"/>
        <w:jc w:val="both"/>
        <w:rPr>
          <w:rFonts w:ascii="仿宋_GB2312" w:hAnsi="仿宋_GB2312" w:eastAsia="仿宋_GB2312" w:cs="仿宋_GB2312"/>
          <w:color w:val="auto"/>
        </w:rPr>
      </w:pPr>
    </w:p>
    <w:p>
      <w:pPr>
        <w:pStyle w:val="34"/>
        <w:shd w:val="clear" w:color="auto" w:fill="FFFFFF"/>
        <w:spacing w:before="0" w:beforeAutospacing="0" w:after="0" w:afterAutospacing="0" w:line="400" w:lineRule="exact"/>
        <w:ind w:firstLine="480" w:firstLineChars="200"/>
        <w:jc w:val="both"/>
        <w:rPr>
          <w:rFonts w:ascii="仿宋_GB2312" w:hAnsi="仿宋_GB2312" w:eastAsia="仿宋_GB2312" w:cs="仿宋_GB2312"/>
          <w:color w:val="auto"/>
        </w:rPr>
      </w:pPr>
    </w:p>
    <w:p>
      <w:pPr>
        <w:pStyle w:val="34"/>
        <w:shd w:val="clear" w:color="auto" w:fill="FFFFFF"/>
        <w:spacing w:before="0" w:beforeAutospacing="0" w:after="0" w:afterAutospacing="0" w:line="400" w:lineRule="exact"/>
        <w:ind w:right="2100" w:rightChars="1000"/>
        <w:jc w:val="right"/>
        <w:rPr>
          <w:rFonts w:ascii="仿宋_GB2312" w:hAnsi="仿宋_GB2312" w:eastAsia="仿宋_GB2312" w:cs="仿宋_GB2312"/>
          <w:color w:val="auto"/>
        </w:rPr>
      </w:pPr>
      <w:r>
        <w:rPr>
          <w:rStyle w:val="27"/>
          <w:rFonts w:hint="eastAsia" w:ascii="仿宋_GB2312" w:hAnsi="仿宋_GB2312" w:eastAsia="仿宋_GB2312" w:cs="仿宋_GB2312"/>
          <w:color w:val="auto"/>
        </w:rPr>
        <w:t>单位名称（盖章）：</w:t>
      </w:r>
    </w:p>
    <w:p>
      <w:pPr>
        <w:pStyle w:val="34"/>
        <w:shd w:val="clear" w:color="auto" w:fill="FFFFFF"/>
        <w:spacing w:before="0" w:beforeAutospacing="0" w:after="0" w:afterAutospacing="0" w:line="400" w:lineRule="exact"/>
        <w:ind w:right="2100" w:rightChars="1000"/>
        <w:jc w:val="right"/>
        <w:rPr>
          <w:rFonts w:ascii="仿宋_GB2312" w:hAnsi="仿宋_GB2312" w:eastAsia="仿宋_GB2312" w:cs="仿宋_GB2312"/>
          <w:color w:val="auto"/>
          <w:lang w:val="fr-CH"/>
        </w:rPr>
      </w:pPr>
      <w:r>
        <w:rPr>
          <w:rStyle w:val="27"/>
          <w:rFonts w:hint="eastAsia" w:ascii="仿宋_GB2312" w:hAnsi="仿宋_GB2312" w:eastAsia="仿宋_GB2312" w:cs="仿宋_GB2312"/>
          <w:color w:val="auto"/>
        </w:rPr>
        <w:t>日 期：</w:t>
      </w:r>
    </w:p>
    <w:p>
      <w:pPr>
        <w:tabs>
          <w:tab w:val="left" w:pos="640"/>
          <w:tab w:val="left" w:pos="1260"/>
          <w:tab w:val="left" w:pos="1418"/>
        </w:tabs>
        <w:spacing w:line="400" w:lineRule="exact"/>
        <w:ind w:right="-420" w:rightChars="-200"/>
        <w:rPr>
          <w:rFonts w:ascii="仿宋_GB2312" w:hAnsi="仿宋_GB2312" w:eastAsia="仿宋_GB2312" w:cs="仿宋_GB2312"/>
          <w:color w:val="auto"/>
          <w:sz w:val="24"/>
          <w:lang w:val="fr-CH"/>
        </w:rPr>
      </w:pPr>
    </w:p>
    <w:p>
      <w:pPr>
        <w:spacing w:line="400" w:lineRule="exact"/>
        <w:rPr>
          <w:rFonts w:ascii="仿宋_GB2312" w:hAnsi="仿宋_GB2312" w:eastAsia="仿宋_GB2312" w:cs="仿宋_GB2312"/>
          <w:color w:val="auto"/>
        </w:rPr>
      </w:pPr>
    </w:p>
    <w:p>
      <w:pPr>
        <w:spacing w:line="400" w:lineRule="exact"/>
        <w:rPr>
          <w:rFonts w:ascii="仿宋_GB2312" w:hAnsi="仿宋_GB2312" w:eastAsia="仿宋_GB2312" w:cs="仿宋_GB2312"/>
          <w:color w:val="auto"/>
        </w:rPr>
      </w:pPr>
    </w:p>
    <w:sectPr>
      <w:headerReference r:id="rId7" w:type="default"/>
      <w:footerReference r:id="rId8" w:type="default"/>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8</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3YTBkMmRiYWU4ODM1YTczNTM1ZGVmMTYzNjFiOTIifQ=="/>
  </w:docVars>
  <w:rsids>
    <w:rsidRoot w:val="00EC3C65"/>
    <w:rsid w:val="00006475"/>
    <w:rsid w:val="001768A0"/>
    <w:rsid w:val="001A5739"/>
    <w:rsid w:val="00301663"/>
    <w:rsid w:val="00324CC2"/>
    <w:rsid w:val="003E331E"/>
    <w:rsid w:val="003F417C"/>
    <w:rsid w:val="005005E2"/>
    <w:rsid w:val="006304DC"/>
    <w:rsid w:val="00630C73"/>
    <w:rsid w:val="00634B45"/>
    <w:rsid w:val="0065795B"/>
    <w:rsid w:val="00660EE1"/>
    <w:rsid w:val="006A5E51"/>
    <w:rsid w:val="0073692C"/>
    <w:rsid w:val="00A060C8"/>
    <w:rsid w:val="00A7696A"/>
    <w:rsid w:val="00B830C3"/>
    <w:rsid w:val="00BC4D5F"/>
    <w:rsid w:val="00CA1656"/>
    <w:rsid w:val="00D76997"/>
    <w:rsid w:val="00DC208B"/>
    <w:rsid w:val="00E87A5F"/>
    <w:rsid w:val="00EC27FF"/>
    <w:rsid w:val="00EC3C65"/>
    <w:rsid w:val="00F81369"/>
    <w:rsid w:val="012D2227"/>
    <w:rsid w:val="019A3B52"/>
    <w:rsid w:val="01D405B1"/>
    <w:rsid w:val="02072294"/>
    <w:rsid w:val="024E4B4B"/>
    <w:rsid w:val="02775E4F"/>
    <w:rsid w:val="02873BB9"/>
    <w:rsid w:val="02B349AE"/>
    <w:rsid w:val="02C107AA"/>
    <w:rsid w:val="02EA4873"/>
    <w:rsid w:val="033C0D43"/>
    <w:rsid w:val="039B012D"/>
    <w:rsid w:val="03AC3B74"/>
    <w:rsid w:val="03AE53E3"/>
    <w:rsid w:val="04390EE3"/>
    <w:rsid w:val="04936845"/>
    <w:rsid w:val="05476ED2"/>
    <w:rsid w:val="057448C8"/>
    <w:rsid w:val="05920CD3"/>
    <w:rsid w:val="07456165"/>
    <w:rsid w:val="07E76828"/>
    <w:rsid w:val="08303203"/>
    <w:rsid w:val="087370B9"/>
    <w:rsid w:val="089A2355"/>
    <w:rsid w:val="091837BC"/>
    <w:rsid w:val="09ED224F"/>
    <w:rsid w:val="0A2C39C3"/>
    <w:rsid w:val="0A392818"/>
    <w:rsid w:val="0A692F6B"/>
    <w:rsid w:val="0A6A0048"/>
    <w:rsid w:val="0AC41E4E"/>
    <w:rsid w:val="0B0E2460"/>
    <w:rsid w:val="0BE502CE"/>
    <w:rsid w:val="0BF16C73"/>
    <w:rsid w:val="0CB358A1"/>
    <w:rsid w:val="0D8E6743"/>
    <w:rsid w:val="0DE93979"/>
    <w:rsid w:val="0E56244E"/>
    <w:rsid w:val="0E8611C8"/>
    <w:rsid w:val="0E905A81"/>
    <w:rsid w:val="0ECF2202"/>
    <w:rsid w:val="0ED3682C"/>
    <w:rsid w:val="0F26713F"/>
    <w:rsid w:val="0F7F00F1"/>
    <w:rsid w:val="0F9B1B75"/>
    <w:rsid w:val="10276347"/>
    <w:rsid w:val="10EF74F9"/>
    <w:rsid w:val="114E054D"/>
    <w:rsid w:val="119359ED"/>
    <w:rsid w:val="119C142F"/>
    <w:rsid w:val="11CE35B2"/>
    <w:rsid w:val="12906AB9"/>
    <w:rsid w:val="12B865C0"/>
    <w:rsid w:val="14292F25"/>
    <w:rsid w:val="14EF1875"/>
    <w:rsid w:val="15190004"/>
    <w:rsid w:val="15363948"/>
    <w:rsid w:val="15406575"/>
    <w:rsid w:val="15A46B04"/>
    <w:rsid w:val="15C04A37"/>
    <w:rsid w:val="15E62B49"/>
    <w:rsid w:val="16817418"/>
    <w:rsid w:val="16B9389A"/>
    <w:rsid w:val="174E78BD"/>
    <w:rsid w:val="1767428D"/>
    <w:rsid w:val="17AE7E39"/>
    <w:rsid w:val="182061EA"/>
    <w:rsid w:val="18463837"/>
    <w:rsid w:val="18BC6353"/>
    <w:rsid w:val="18D314AE"/>
    <w:rsid w:val="18D31E0A"/>
    <w:rsid w:val="190D49C0"/>
    <w:rsid w:val="196071E6"/>
    <w:rsid w:val="19E159F4"/>
    <w:rsid w:val="1AD32329"/>
    <w:rsid w:val="1B0E4543"/>
    <w:rsid w:val="1B3C158C"/>
    <w:rsid w:val="1B4353B8"/>
    <w:rsid w:val="1B7C407F"/>
    <w:rsid w:val="1B944F25"/>
    <w:rsid w:val="1C1D0DED"/>
    <w:rsid w:val="1C232EEF"/>
    <w:rsid w:val="1C2344FA"/>
    <w:rsid w:val="1C311B1C"/>
    <w:rsid w:val="1C460B0A"/>
    <w:rsid w:val="1D57667F"/>
    <w:rsid w:val="1D9E3217"/>
    <w:rsid w:val="1DA5166B"/>
    <w:rsid w:val="1DBD0118"/>
    <w:rsid w:val="1DBE6B30"/>
    <w:rsid w:val="1E1C490C"/>
    <w:rsid w:val="1E4569AA"/>
    <w:rsid w:val="1E5107BC"/>
    <w:rsid w:val="1E876FC3"/>
    <w:rsid w:val="1E933BB9"/>
    <w:rsid w:val="1FEB0844"/>
    <w:rsid w:val="202D296B"/>
    <w:rsid w:val="20947775"/>
    <w:rsid w:val="20F639E9"/>
    <w:rsid w:val="21A578DD"/>
    <w:rsid w:val="21C803EB"/>
    <w:rsid w:val="228026A7"/>
    <w:rsid w:val="22851A21"/>
    <w:rsid w:val="2308609F"/>
    <w:rsid w:val="23621A53"/>
    <w:rsid w:val="238C21A7"/>
    <w:rsid w:val="253B1F59"/>
    <w:rsid w:val="25910727"/>
    <w:rsid w:val="25A85672"/>
    <w:rsid w:val="261A4BC0"/>
    <w:rsid w:val="267D7507"/>
    <w:rsid w:val="268E631A"/>
    <w:rsid w:val="26A57561"/>
    <w:rsid w:val="27A230C7"/>
    <w:rsid w:val="27D20E0F"/>
    <w:rsid w:val="27F9448F"/>
    <w:rsid w:val="2835035F"/>
    <w:rsid w:val="28C23B33"/>
    <w:rsid w:val="296B53DE"/>
    <w:rsid w:val="29AA742B"/>
    <w:rsid w:val="2A76793C"/>
    <w:rsid w:val="2B070753"/>
    <w:rsid w:val="2B6FC51D"/>
    <w:rsid w:val="2B764DDC"/>
    <w:rsid w:val="2CE06694"/>
    <w:rsid w:val="2CE61358"/>
    <w:rsid w:val="2CFFE160"/>
    <w:rsid w:val="2D3D2B16"/>
    <w:rsid w:val="2D9278AF"/>
    <w:rsid w:val="2DCF110D"/>
    <w:rsid w:val="2E063C32"/>
    <w:rsid w:val="2ECE6063"/>
    <w:rsid w:val="2EE401B3"/>
    <w:rsid w:val="2F7793F2"/>
    <w:rsid w:val="2FF0079F"/>
    <w:rsid w:val="302400EF"/>
    <w:rsid w:val="30D61D01"/>
    <w:rsid w:val="313034EA"/>
    <w:rsid w:val="31CA10E6"/>
    <w:rsid w:val="31DA5230"/>
    <w:rsid w:val="32483F63"/>
    <w:rsid w:val="32A27B35"/>
    <w:rsid w:val="32C8600D"/>
    <w:rsid w:val="333472C1"/>
    <w:rsid w:val="34926DF8"/>
    <w:rsid w:val="35AF758C"/>
    <w:rsid w:val="35B93AAE"/>
    <w:rsid w:val="35E6061B"/>
    <w:rsid w:val="366D7761"/>
    <w:rsid w:val="36850D49"/>
    <w:rsid w:val="36A90F2F"/>
    <w:rsid w:val="36AC3C67"/>
    <w:rsid w:val="36BF8007"/>
    <w:rsid w:val="36CB555D"/>
    <w:rsid w:val="3776777C"/>
    <w:rsid w:val="37BFDFC3"/>
    <w:rsid w:val="37FF254B"/>
    <w:rsid w:val="37FF6CB1"/>
    <w:rsid w:val="38C43424"/>
    <w:rsid w:val="38F808AB"/>
    <w:rsid w:val="38FF62E1"/>
    <w:rsid w:val="3931057C"/>
    <w:rsid w:val="396BC8A9"/>
    <w:rsid w:val="39B645E5"/>
    <w:rsid w:val="3A5C3ADB"/>
    <w:rsid w:val="3A650D01"/>
    <w:rsid w:val="3AB96E83"/>
    <w:rsid w:val="3AD32BC5"/>
    <w:rsid w:val="3B294724"/>
    <w:rsid w:val="3B334A39"/>
    <w:rsid w:val="3B342C87"/>
    <w:rsid w:val="3B5D2174"/>
    <w:rsid w:val="3B8D6AEC"/>
    <w:rsid w:val="3BFF23C6"/>
    <w:rsid w:val="3C2E3495"/>
    <w:rsid w:val="3C9E39FD"/>
    <w:rsid w:val="3CBD0327"/>
    <w:rsid w:val="3CC72F54"/>
    <w:rsid w:val="3CEE39B3"/>
    <w:rsid w:val="3D7F6C8E"/>
    <w:rsid w:val="3DB37775"/>
    <w:rsid w:val="3EEFB64F"/>
    <w:rsid w:val="3EFE5BE5"/>
    <w:rsid w:val="3F7846AF"/>
    <w:rsid w:val="3F7D0FEB"/>
    <w:rsid w:val="3FB1AE7A"/>
    <w:rsid w:val="3FD76BB4"/>
    <w:rsid w:val="3FFD0478"/>
    <w:rsid w:val="3FFF8729"/>
    <w:rsid w:val="406D4CE6"/>
    <w:rsid w:val="40DE6ABE"/>
    <w:rsid w:val="40EB210B"/>
    <w:rsid w:val="41032072"/>
    <w:rsid w:val="411A5B22"/>
    <w:rsid w:val="41A27F5D"/>
    <w:rsid w:val="42097EFD"/>
    <w:rsid w:val="421D4D59"/>
    <w:rsid w:val="42A90964"/>
    <w:rsid w:val="43170066"/>
    <w:rsid w:val="432A7860"/>
    <w:rsid w:val="434F15AD"/>
    <w:rsid w:val="43834A37"/>
    <w:rsid w:val="43FCB9B9"/>
    <w:rsid w:val="443F29F6"/>
    <w:rsid w:val="4456696C"/>
    <w:rsid w:val="452A7168"/>
    <w:rsid w:val="459C5147"/>
    <w:rsid w:val="45BB3838"/>
    <w:rsid w:val="46AB11F1"/>
    <w:rsid w:val="47A0314F"/>
    <w:rsid w:val="482A0F65"/>
    <w:rsid w:val="48335D86"/>
    <w:rsid w:val="4847426C"/>
    <w:rsid w:val="488949B7"/>
    <w:rsid w:val="489759EB"/>
    <w:rsid w:val="48AE479D"/>
    <w:rsid w:val="48EBC79F"/>
    <w:rsid w:val="4954287D"/>
    <w:rsid w:val="49D00F6E"/>
    <w:rsid w:val="4B0215FB"/>
    <w:rsid w:val="4C3C2CD2"/>
    <w:rsid w:val="4CA83414"/>
    <w:rsid w:val="4CBD3A2C"/>
    <w:rsid w:val="4D2834AF"/>
    <w:rsid w:val="4D541E1B"/>
    <w:rsid w:val="4D782049"/>
    <w:rsid w:val="4DD824CD"/>
    <w:rsid w:val="4E383A52"/>
    <w:rsid w:val="4F5148FF"/>
    <w:rsid w:val="4F7D2AC4"/>
    <w:rsid w:val="4FF86E3D"/>
    <w:rsid w:val="51826DFB"/>
    <w:rsid w:val="51D734BF"/>
    <w:rsid w:val="523A78CD"/>
    <w:rsid w:val="53DC087F"/>
    <w:rsid w:val="544F35D4"/>
    <w:rsid w:val="54684BC5"/>
    <w:rsid w:val="54DB5397"/>
    <w:rsid w:val="5500083F"/>
    <w:rsid w:val="56BF4B95"/>
    <w:rsid w:val="57956634"/>
    <w:rsid w:val="57F687AD"/>
    <w:rsid w:val="57FF34A0"/>
    <w:rsid w:val="585F44EA"/>
    <w:rsid w:val="59D22C0A"/>
    <w:rsid w:val="5A513967"/>
    <w:rsid w:val="5A5A47D7"/>
    <w:rsid w:val="5A872F32"/>
    <w:rsid w:val="5AB411C4"/>
    <w:rsid w:val="5AF25A2F"/>
    <w:rsid w:val="5BA0525E"/>
    <w:rsid w:val="5BC30933"/>
    <w:rsid w:val="5C5D3B6B"/>
    <w:rsid w:val="5C902F0B"/>
    <w:rsid w:val="5D162263"/>
    <w:rsid w:val="5D177188"/>
    <w:rsid w:val="5D6A66B4"/>
    <w:rsid w:val="5DA545EC"/>
    <w:rsid w:val="5DF69ED8"/>
    <w:rsid w:val="5EC944B6"/>
    <w:rsid w:val="5EF0A77A"/>
    <w:rsid w:val="5F3F0281"/>
    <w:rsid w:val="5FEA2932"/>
    <w:rsid w:val="5FF76DFD"/>
    <w:rsid w:val="609452E7"/>
    <w:rsid w:val="61FC4B9F"/>
    <w:rsid w:val="63203117"/>
    <w:rsid w:val="639C0FD0"/>
    <w:rsid w:val="6493527C"/>
    <w:rsid w:val="6525440C"/>
    <w:rsid w:val="654B50E5"/>
    <w:rsid w:val="65BA51DB"/>
    <w:rsid w:val="65FF0D84"/>
    <w:rsid w:val="67ED7463"/>
    <w:rsid w:val="68975621"/>
    <w:rsid w:val="68B44204"/>
    <w:rsid w:val="68F16B0A"/>
    <w:rsid w:val="69747710"/>
    <w:rsid w:val="69AEE0D0"/>
    <w:rsid w:val="6A9171FD"/>
    <w:rsid w:val="6B19231D"/>
    <w:rsid w:val="6B39476E"/>
    <w:rsid w:val="6BB3A4CD"/>
    <w:rsid w:val="6BBF8DDD"/>
    <w:rsid w:val="6BD335A9"/>
    <w:rsid w:val="6C356DE5"/>
    <w:rsid w:val="6C4A7611"/>
    <w:rsid w:val="6C5555D7"/>
    <w:rsid w:val="6CB73B9C"/>
    <w:rsid w:val="6CFB0D6C"/>
    <w:rsid w:val="6D260D22"/>
    <w:rsid w:val="6D766839"/>
    <w:rsid w:val="6D8D3218"/>
    <w:rsid w:val="6DAB4C2F"/>
    <w:rsid w:val="6DAD4F9F"/>
    <w:rsid w:val="6DDE30B4"/>
    <w:rsid w:val="6DDEFA52"/>
    <w:rsid w:val="6DFC480B"/>
    <w:rsid w:val="6E9216CD"/>
    <w:rsid w:val="6EAA71E8"/>
    <w:rsid w:val="6EDB783C"/>
    <w:rsid w:val="6EE756FF"/>
    <w:rsid w:val="6F723A97"/>
    <w:rsid w:val="6F8A4678"/>
    <w:rsid w:val="6FA0237A"/>
    <w:rsid w:val="6FAF2519"/>
    <w:rsid w:val="6FDF2B21"/>
    <w:rsid w:val="6FEC382A"/>
    <w:rsid w:val="6FF4F72F"/>
    <w:rsid w:val="70775D93"/>
    <w:rsid w:val="70BD03E1"/>
    <w:rsid w:val="7161057A"/>
    <w:rsid w:val="732C6762"/>
    <w:rsid w:val="733760DC"/>
    <w:rsid w:val="734C0DB6"/>
    <w:rsid w:val="738CC4CB"/>
    <w:rsid w:val="74447249"/>
    <w:rsid w:val="746F7950"/>
    <w:rsid w:val="749D3FBF"/>
    <w:rsid w:val="7614708F"/>
    <w:rsid w:val="77374F56"/>
    <w:rsid w:val="777E56A6"/>
    <w:rsid w:val="77C664A7"/>
    <w:rsid w:val="77F72123"/>
    <w:rsid w:val="786224CF"/>
    <w:rsid w:val="787E7C64"/>
    <w:rsid w:val="7886649D"/>
    <w:rsid w:val="788F3A2D"/>
    <w:rsid w:val="78C35D83"/>
    <w:rsid w:val="78F244F2"/>
    <w:rsid w:val="79CD0EA3"/>
    <w:rsid w:val="79DB12C6"/>
    <w:rsid w:val="7A52471D"/>
    <w:rsid w:val="7A88301C"/>
    <w:rsid w:val="7A8A76B9"/>
    <w:rsid w:val="7AF78D52"/>
    <w:rsid w:val="7AFF3793"/>
    <w:rsid w:val="7B1B3E90"/>
    <w:rsid w:val="7B346280"/>
    <w:rsid w:val="7B585393"/>
    <w:rsid w:val="7B5856D7"/>
    <w:rsid w:val="7B7B214C"/>
    <w:rsid w:val="7BEF7A75"/>
    <w:rsid w:val="7BFF0EAB"/>
    <w:rsid w:val="7C016B85"/>
    <w:rsid w:val="7C0B683D"/>
    <w:rsid w:val="7D1D8225"/>
    <w:rsid w:val="7D2E4F98"/>
    <w:rsid w:val="7D35519A"/>
    <w:rsid w:val="7DA7073A"/>
    <w:rsid w:val="7DBB3A98"/>
    <w:rsid w:val="7DEFC706"/>
    <w:rsid w:val="7DF181FA"/>
    <w:rsid w:val="7DF7188F"/>
    <w:rsid w:val="7DFF25D3"/>
    <w:rsid w:val="7E34379F"/>
    <w:rsid w:val="7E5D0039"/>
    <w:rsid w:val="7EAA16AC"/>
    <w:rsid w:val="7EFB73C2"/>
    <w:rsid w:val="7EFE1AFE"/>
    <w:rsid w:val="7EFF03B0"/>
    <w:rsid w:val="7F3F6575"/>
    <w:rsid w:val="7F7784DA"/>
    <w:rsid w:val="7F77B8C1"/>
    <w:rsid w:val="7FE5C558"/>
    <w:rsid w:val="7FE75BA8"/>
    <w:rsid w:val="7FE76623"/>
    <w:rsid w:val="7FF34A54"/>
    <w:rsid w:val="7FF50DBE"/>
    <w:rsid w:val="7FF7DE67"/>
    <w:rsid w:val="7FFE60C1"/>
    <w:rsid w:val="9FAFDA58"/>
    <w:rsid w:val="BABBA57E"/>
    <w:rsid w:val="BB7F62F7"/>
    <w:rsid w:val="BBDFE684"/>
    <w:rsid w:val="BBF708CC"/>
    <w:rsid w:val="BD17C19F"/>
    <w:rsid w:val="BD7F2A3D"/>
    <w:rsid w:val="BEBB3CD9"/>
    <w:rsid w:val="BEF374FD"/>
    <w:rsid w:val="BFBD0BE1"/>
    <w:rsid w:val="BFEE3B97"/>
    <w:rsid w:val="BFFF21CD"/>
    <w:rsid w:val="CDB6A86A"/>
    <w:rsid w:val="CEEF1BBD"/>
    <w:rsid w:val="CFDFAB23"/>
    <w:rsid w:val="D0DB908D"/>
    <w:rsid w:val="D6F7B0F8"/>
    <w:rsid w:val="DBE595FF"/>
    <w:rsid w:val="DD8DC27C"/>
    <w:rsid w:val="DDDF91FC"/>
    <w:rsid w:val="DDEE082D"/>
    <w:rsid w:val="DEFD08F8"/>
    <w:rsid w:val="DEFE1469"/>
    <w:rsid w:val="DFE613CA"/>
    <w:rsid w:val="DFF70FBB"/>
    <w:rsid w:val="E7FF7A9F"/>
    <w:rsid w:val="EAF4AE6E"/>
    <w:rsid w:val="EB9B0D82"/>
    <w:rsid w:val="EFD7FDEC"/>
    <w:rsid w:val="EFFF842A"/>
    <w:rsid w:val="F3AE9266"/>
    <w:rsid w:val="F7FB4FDC"/>
    <w:rsid w:val="FA37D324"/>
    <w:rsid w:val="FBB6F37D"/>
    <w:rsid w:val="FBFF7D1C"/>
    <w:rsid w:val="FBFFE65F"/>
    <w:rsid w:val="FC4F95C2"/>
    <w:rsid w:val="FDD165C5"/>
    <w:rsid w:val="FDF3B137"/>
    <w:rsid w:val="FDFB261E"/>
    <w:rsid w:val="FE0DB779"/>
    <w:rsid w:val="FEEFB601"/>
    <w:rsid w:val="FEFF028B"/>
    <w:rsid w:val="FF0E5660"/>
    <w:rsid w:val="FF59F815"/>
    <w:rsid w:val="FF67FB5A"/>
    <w:rsid w:val="FFB5ED8E"/>
    <w:rsid w:val="FFBDF241"/>
    <w:rsid w:val="FFFD7401"/>
    <w:rsid w:val="FFFFA5CD"/>
    <w:rsid w:val="FFFFE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Normal Indent"/>
    <w:basedOn w:val="1"/>
    <w:qFormat/>
    <w:uiPriority w:val="0"/>
    <w:pPr>
      <w:ind w:firstLine="420" w:firstLineChars="200"/>
    </w:pPr>
    <w:rPr>
      <w:szCs w:val="20"/>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40"/>
    <w:unhideWhenUsed/>
    <w:qFormat/>
    <w:uiPriority w:val="0"/>
    <w:pPr>
      <w:jc w:val="left"/>
    </w:p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unhideWhenUsed/>
    <w:qFormat/>
    <w:uiPriority w:val="99"/>
    <w:rPr>
      <w:kern w:val="0"/>
      <w:sz w:val="18"/>
      <w:szCs w:val="18"/>
    </w:rPr>
  </w:style>
  <w:style w:type="paragraph" w:styleId="14">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annotation subject"/>
    <w:basedOn w:val="8"/>
    <w:next w:val="8"/>
    <w:link w:val="41"/>
    <w:qFormat/>
    <w:uiPriority w:val="0"/>
    <w:rPr>
      <w:b/>
      <w:bCs/>
    </w:rPr>
  </w:style>
  <w:style w:type="paragraph" w:styleId="20">
    <w:name w:val="Body Text First Indent 2"/>
    <w:basedOn w:val="9"/>
    <w:qFormat/>
    <w:uiPriority w:val="0"/>
    <w:pPr>
      <w:ind w:firstLine="420"/>
    </w:pPr>
  </w:style>
  <w:style w:type="character" w:styleId="23">
    <w:name w:val="page number"/>
    <w:qFormat/>
    <w:uiPriority w:val="0"/>
  </w:style>
  <w:style w:type="character" w:styleId="24">
    <w:name w:val="annotation reference"/>
    <w:qFormat/>
    <w:uiPriority w:val="0"/>
    <w:rPr>
      <w:sz w:val="21"/>
      <w:szCs w:val="21"/>
    </w:rPr>
  </w:style>
  <w:style w:type="character" w:customStyle="1" w:styleId="25">
    <w:name w:val="标题 1 字符"/>
    <w:link w:val="3"/>
    <w:qFormat/>
    <w:uiPriority w:val="0"/>
    <w:rPr>
      <w:b/>
      <w:kern w:val="44"/>
      <w:sz w:val="44"/>
    </w:rPr>
  </w:style>
  <w:style w:type="character" w:customStyle="1" w:styleId="26">
    <w:name w:val="页眉 字符"/>
    <w:link w:val="15"/>
    <w:qFormat/>
    <w:uiPriority w:val="0"/>
    <w:rPr>
      <w:kern w:val="2"/>
      <w:sz w:val="18"/>
      <w:szCs w:val="18"/>
    </w:rPr>
  </w:style>
  <w:style w:type="character" w:customStyle="1" w:styleId="27">
    <w:name w:val="qowt-font5-gb2312"/>
    <w:qFormat/>
    <w:uiPriority w:val="0"/>
  </w:style>
  <w:style w:type="paragraph" w:customStyle="1" w:styleId="28">
    <w:name w:val="正文格式"/>
    <w:basedOn w:val="9"/>
    <w:qFormat/>
    <w:uiPriority w:val="99"/>
    <w:pPr>
      <w:spacing w:after="0" w:line="360" w:lineRule="auto"/>
      <w:ind w:left="0" w:leftChars="0" w:firstLine="600"/>
    </w:pPr>
    <w:rPr>
      <w:rFonts w:eastAsia="仿宋_GB2312"/>
      <w:sz w:val="30"/>
      <w:szCs w:val="30"/>
    </w:rPr>
  </w:style>
  <w:style w:type="paragraph" w:customStyle="1" w:styleId="29">
    <w:name w:val="（）列表模式"/>
    <w:basedOn w:val="1"/>
    <w:qFormat/>
    <w:uiPriority w:val="0"/>
    <w:pPr>
      <w:tabs>
        <w:tab w:val="left" w:pos="960"/>
        <w:tab w:val="left" w:pos="1470"/>
      </w:tabs>
      <w:spacing w:line="360" w:lineRule="auto"/>
      <w:ind w:left="1470" w:hanging="420"/>
    </w:pPr>
    <w:rPr>
      <w:sz w:val="24"/>
      <w:szCs w:val="20"/>
    </w:rPr>
  </w:style>
  <w:style w:type="paragraph" w:customStyle="1" w:styleId="30">
    <w:name w:val="_Style 1"/>
    <w:basedOn w:val="1"/>
    <w:next w:val="1"/>
    <w:qFormat/>
    <w:uiPriority w:val="99"/>
    <w:pPr>
      <w:ind w:firstLine="420" w:firstLineChars="200"/>
    </w:pPr>
  </w:style>
  <w:style w:type="paragraph" w:customStyle="1" w:styleId="3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2">
    <w:name w:val="Table Paragraph"/>
    <w:basedOn w:val="1"/>
    <w:qFormat/>
    <w:uiPriority w:val="0"/>
    <w:pPr>
      <w:autoSpaceDE w:val="0"/>
      <w:autoSpaceDN w:val="0"/>
      <w:jc w:val="left"/>
    </w:pPr>
    <w:rPr>
      <w:rFonts w:ascii="宋体" w:hAnsi="宋体" w:cs="宋体"/>
      <w:kern w:val="0"/>
      <w:sz w:val="22"/>
      <w:szCs w:val="22"/>
    </w:rPr>
  </w:style>
  <w:style w:type="paragraph" w:styleId="33">
    <w:name w:val="List Paragraph"/>
    <w:basedOn w:val="1"/>
    <w:qFormat/>
    <w:uiPriority w:val="34"/>
    <w:pPr>
      <w:ind w:firstLine="420" w:firstLineChars="200"/>
    </w:pPr>
  </w:style>
  <w:style w:type="paragraph" w:customStyle="1" w:styleId="34">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p0"/>
    <w:basedOn w:val="1"/>
    <w:qFormat/>
    <w:uiPriority w:val="0"/>
    <w:rPr>
      <w:rFonts w:ascii="Calibri" w:hAnsi="Calibri" w:cs="宋体"/>
      <w:szCs w:val="21"/>
    </w:rPr>
  </w:style>
  <w:style w:type="paragraph" w:customStyle="1" w:styleId="36">
    <w:name w:val="列出段落1"/>
    <w:basedOn w:val="1"/>
    <w:qFormat/>
    <w:uiPriority w:val="34"/>
    <w:pPr>
      <w:ind w:firstLine="420" w:firstLineChars="200"/>
    </w:pPr>
  </w:style>
  <w:style w:type="paragraph" w:customStyle="1" w:styleId="37">
    <w:name w:val="正文 A"/>
    <w:qFormat/>
    <w:uiPriority w:val="0"/>
    <w:pPr>
      <w:widowControl w:val="0"/>
      <w:jc w:val="both"/>
    </w:pPr>
    <w:rPr>
      <w:rFonts w:ascii="Times New Roman" w:hAnsi="Times New Roman" w:eastAsia="Times New Roman" w:cs="Calibri"/>
      <w:color w:val="000000"/>
      <w:kern w:val="2"/>
      <w:sz w:val="21"/>
      <w:szCs w:val="21"/>
      <w:lang w:val="en-US" w:eastAsia="zh-CN" w:bidi="ar-SA"/>
    </w:rPr>
  </w:style>
  <w:style w:type="paragraph" w:customStyle="1" w:styleId="38">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Hyperlink.0"/>
    <w:qFormat/>
    <w:uiPriority w:val="0"/>
    <w:rPr>
      <w:rFonts w:ascii="宋体" w:hAnsi="宋体" w:eastAsia="宋体" w:cs="宋体"/>
      <w:lang w:val="en-US" w:eastAsia="zh-TW"/>
    </w:rPr>
  </w:style>
  <w:style w:type="character" w:customStyle="1" w:styleId="40">
    <w:name w:val="批注文字 字符"/>
    <w:basedOn w:val="22"/>
    <w:link w:val="8"/>
    <w:qFormat/>
    <w:uiPriority w:val="0"/>
    <w:rPr>
      <w:kern w:val="2"/>
      <w:sz w:val="21"/>
      <w:szCs w:val="24"/>
    </w:rPr>
  </w:style>
  <w:style w:type="character" w:customStyle="1" w:styleId="41">
    <w:name w:val="批注主题 字符"/>
    <w:basedOn w:val="40"/>
    <w:link w:val="1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6299</Words>
  <Characters>35909</Characters>
  <Lines>299</Lines>
  <Paragraphs>84</Paragraphs>
  <TotalTime>19</TotalTime>
  <ScaleCrop>false</ScaleCrop>
  <LinksUpToDate>false</LinksUpToDate>
  <CharactersWithSpaces>42124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2023-03-23T08:31:00Z</dcterms:created>
  <dc:creator>hp</dc:creator>
  <cp:lastModifiedBy>黎俊</cp:lastModifiedBy>
  <dcterms:modified xsi:type="dcterms:W3CDTF">2023-09-12T04:40:21Z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C0AF8E51F3F443A287E1ADC6A12BFC8F</vt:lpwstr>
  </property>
</Properties>
</file>