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beforeLines="0" w:afterLines="0" w:line="560" w:lineRule="exact"/>
        <w:jc w:val="left"/>
        <w:textAlignment w:val="auto"/>
        <w:rPr>
          <w:rFonts w:hint="default" w:ascii="Times New Roman" w:hAnsi="Times New Roman" w:eastAsia="仿宋"/>
          <w:b/>
          <w:kern w:val="44"/>
          <w:sz w:val="32"/>
          <w:szCs w:val="32"/>
          <w:highlight w:val="none"/>
        </w:rPr>
      </w:pPr>
      <w:r>
        <w:rPr>
          <w:rFonts w:hint="eastAsia" w:ascii="黑体" w:hAnsi="黑体" w:eastAsia="黑体" w:cs="黑体"/>
          <w:b w:val="0"/>
          <w:color w:val="auto"/>
          <w:kern w:val="44"/>
          <w:sz w:val="32"/>
          <w:szCs w:val="32"/>
          <w:highlight w:val="none"/>
        </w:rPr>
        <w:t>附件2</w:t>
      </w:r>
    </w:p>
    <w:p>
      <w:pPr>
        <w:keepNext w:val="0"/>
        <w:keepLines w:val="0"/>
        <w:pageBreakBefore w:val="0"/>
        <w:kinsoku/>
        <w:overflowPunct/>
        <w:topLinePunct w:val="0"/>
        <w:autoSpaceDE/>
        <w:autoSpaceDN/>
        <w:bidi w:val="0"/>
        <w:adjustRightInd/>
        <w:spacing w:beforeLines="0" w:after="0" w:afterLines="0" w:line="560" w:lineRule="exact"/>
        <w:ind w:firstLine="0" w:firstLineChars="0"/>
        <w:jc w:val="center"/>
        <w:textAlignment w:val="auto"/>
        <w:outlineLvl w:val="0"/>
        <w:rPr>
          <w:rFonts w:hint="eastAsia" w:ascii="黑体" w:hAnsi="黑体" w:eastAsia="黑体" w:cs="黑体"/>
          <w:b w:val="0"/>
          <w:bCs w:val="0"/>
          <w:color w:val="auto"/>
          <w:kern w:val="44"/>
          <w:sz w:val="32"/>
          <w:szCs w:val="32"/>
          <w:highlight w:val="none"/>
        </w:rPr>
      </w:pPr>
      <w:r>
        <w:rPr>
          <w:rFonts w:hint="eastAsia" w:ascii="黑体" w:hAnsi="黑体" w:eastAsia="黑体" w:cs="黑体"/>
          <w:b w:val="0"/>
          <w:bCs w:val="0"/>
          <w:color w:val="auto"/>
          <w:kern w:val="44"/>
          <w:sz w:val="32"/>
          <w:szCs w:val="32"/>
          <w:highlight w:val="none"/>
        </w:rPr>
        <w:t>香港工程建设领域专业机构在前海合作区备案申请表</w:t>
      </w:r>
    </w:p>
    <w:tbl>
      <w:tblPr>
        <w:tblStyle w:val="7"/>
        <w:tblW w:w="9497" w:type="dxa"/>
        <w:jc w:val="center"/>
        <w:tblLayout w:type="fixed"/>
        <w:tblCellMar>
          <w:top w:w="0" w:type="dxa"/>
          <w:left w:w="108" w:type="dxa"/>
          <w:bottom w:w="0" w:type="dxa"/>
          <w:right w:w="108" w:type="dxa"/>
        </w:tblCellMar>
      </w:tblPr>
      <w:tblGrid>
        <w:gridCol w:w="1505"/>
        <w:gridCol w:w="913"/>
        <w:gridCol w:w="2425"/>
        <w:gridCol w:w="2279"/>
        <w:gridCol w:w="2375"/>
      </w:tblGrid>
      <w:tr>
        <w:tblPrEx>
          <w:tblCellMar>
            <w:top w:w="0" w:type="dxa"/>
            <w:left w:w="108" w:type="dxa"/>
            <w:bottom w:w="0" w:type="dxa"/>
            <w:right w:w="108" w:type="dxa"/>
          </w:tblCellMar>
        </w:tblPrEx>
        <w:trPr>
          <w:trHeight w:val="397" w:hRule="atLeast"/>
          <w:jc w:val="center"/>
        </w:trPr>
        <w:tc>
          <w:tcPr>
            <w:tcW w:w="1505" w:type="dxa"/>
            <w:vMerge w:val="restart"/>
            <w:tcBorders>
              <w:top w:val="single" w:color="auto" w:sz="2" w:space="0"/>
              <w:left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机构名称</w:t>
            </w:r>
          </w:p>
        </w:tc>
        <w:tc>
          <w:tcPr>
            <w:tcW w:w="913"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中文</w:t>
            </w:r>
          </w:p>
        </w:tc>
        <w:tc>
          <w:tcPr>
            <w:tcW w:w="2425"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香港商业登记号</w:t>
            </w:r>
          </w:p>
        </w:tc>
        <w:tc>
          <w:tcPr>
            <w:tcW w:w="2375"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1505"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913"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英文</w:t>
            </w:r>
          </w:p>
        </w:tc>
        <w:tc>
          <w:tcPr>
            <w:tcW w:w="2425"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香港商业登记地址</w:t>
            </w:r>
          </w:p>
        </w:tc>
        <w:tc>
          <w:tcPr>
            <w:tcW w:w="2375"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生效日期</w:t>
            </w:r>
          </w:p>
        </w:tc>
        <w:tc>
          <w:tcPr>
            <w:tcW w:w="242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届满日期</w:t>
            </w:r>
          </w:p>
        </w:tc>
        <w:tc>
          <w:tcPr>
            <w:tcW w:w="237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rPr>
              <w:t>香港办公地址</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联系电话（含区号）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电子邮箱</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传真（含区号）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专业机构荣誉</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bookmarkStart w:id="0" w:name="_GoBack"/>
            <w:bookmarkEnd w:id="0"/>
            <w:r>
              <w:rPr>
                <w:rFonts w:hint="eastAsia" w:ascii="仿宋_GB2312" w:hAnsi="仿宋_GB2312" w:eastAsia="仿宋_GB2312" w:cs="仿宋_GB2312"/>
                <w:bCs/>
                <w:color w:val="auto"/>
                <w:kern w:val="0"/>
                <w:sz w:val="24"/>
                <w:szCs w:val="24"/>
                <w:highlight w:val="none"/>
              </w:rPr>
              <w:t>（若有）</w:t>
            </w:r>
          </w:p>
        </w:tc>
        <w:tc>
          <w:tcPr>
            <w:tcW w:w="7079"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1505" w:type="dxa"/>
            <w:vMerge w:val="restart"/>
            <w:tcBorders>
              <w:top w:val="nil"/>
              <w:left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机构负责人</w:t>
            </w:r>
          </w:p>
        </w:tc>
        <w:tc>
          <w:tcPr>
            <w:tcW w:w="91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中文</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性别</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1505"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91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英文</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eastAsia="zh-CN"/>
              </w:rPr>
              <w:t>职务</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香港居民身份证号</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来往内地通行证号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150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2147483648" w:afterLines="-2147483648" w:line="240" w:lineRule="auto"/>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机构驻</w:t>
            </w:r>
            <w:r>
              <w:rPr>
                <w:rFonts w:hint="eastAsia" w:ascii="仿宋_GB2312" w:hAnsi="仿宋_GB2312" w:eastAsia="仿宋_GB2312" w:cs="仿宋_GB2312"/>
                <w:bCs/>
                <w:color w:val="auto"/>
                <w:kern w:val="0"/>
                <w:sz w:val="24"/>
                <w:szCs w:val="24"/>
                <w:highlight w:val="none"/>
                <w:lang w:eastAsia="zh-CN"/>
              </w:rPr>
              <w:t>前海</w:t>
            </w:r>
            <w:r>
              <w:rPr>
                <w:rFonts w:hint="eastAsia" w:ascii="仿宋_GB2312" w:hAnsi="仿宋_GB2312" w:eastAsia="仿宋_GB2312" w:cs="仿宋_GB2312"/>
                <w:bCs/>
                <w:color w:val="auto"/>
                <w:kern w:val="0"/>
                <w:sz w:val="24"/>
                <w:szCs w:val="24"/>
                <w:highlight w:val="none"/>
              </w:rPr>
              <w:t>负责人</w:t>
            </w:r>
          </w:p>
        </w:tc>
        <w:tc>
          <w:tcPr>
            <w:tcW w:w="9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中文</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性别</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1505"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英文</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职务</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eastAsia="zh-CN"/>
              </w:rPr>
              <w:t>香港居民身份证号</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来往内地通行证号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联系电话（含区号）</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移动电话（含区号）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电子邮箱</w:t>
            </w:r>
          </w:p>
        </w:tc>
        <w:tc>
          <w:tcPr>
            <w:tcW w:w="24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传真（含区号）</w:t>
            </w:r>
          </w:p>
        </w:tc>
        <w:tc>
          <w:tcPr>
            <w:tcW w:w="23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通讯地址</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1483"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备案申请授权人姓名</w:t>
            </w:r>
          </w:p>
        </w:tc>
        <w:tc>
          <w:tcPr>
            <w:tcW w:w="2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c>
          <w:tcPr>
            <w:tcW w:w="22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3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48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企业职业责任专业保险是否覆盖大湾区内地城市</w:t>
            </w:r>
          </w:p>
        </w:tc>
        <w:tc>
          <w:tcPr>
            <w:tcW w:w="465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afterLines="0" w:line="560" w:lineRule="exact"/>
              <w:ind w:left="0" w:leftChars="0" w:firstLine="0" w:firstLineChars="0"/>
              <w:jc w:val="lef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是</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否</w:t>
            </w:r>
          </w:p>
        </w:tc>
      </w:tr>
      <w:tr>
        <w:tblPrEx>
          <w:tblCellMar>
            <w:top w:w="0" w:type="dxa"/>
            <w:left w:w="108" w:type="dxa"/>
            <w:bottom w:w="0" w:type="dxa"/>
            <w:right w:w="108" w:type="dxa"/>
          </w:tblCellMar>
        </w:tblPrEx>
        <w:trPr>
          <w:trHeight w:val="397" w:hRule="atLeast"/>
          <w:jc w:val="center"/>
        </w:trPr>
        <w:tc>
          <w:tcPr>
            <w:tcW w:w="48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是否同时申请</w:t>
            </w:r>
            <w:r>
              <w:rPr>
                <w:rFonts w:hint="eastAsia" w:ascii="仿宋_GB2312" w:hAnsi="仿宋_GB2312" w:eastAsia="仿宋_GB2312" w:cs="仿宋_GB2312"/>
                <w:bCs/>
                <w:color w:val="auto"/>
                <w:kern w:val="0"/>
                <w:sz w:val="24"/>
                <w:szCs w:val="24"/>
                <w:highlight w:val="none"/>
                <w:lang w:val="en-US" w:eastAsia="zh-CN"/>
              </w:rPr>
              <w:t>广东省住建厅</w:t>
            </w:r>
            <w:r>
              <w:rPr>
                <w:rFonts w:hint="eastAsia" w:ascii="仿宋_GB2312" w:hAnsi="仿宋_GB2312" w:eastAsia="仿宋_GB2312" w:cs="仿宋_GB2312"/>
                <w:bCs/>
                <w:color w:val="auto"/>
                <w:kern w:val="0"/>
                <w:sz w:val="24"/>
                <w:szCs w:val="24"/>
                <w:highlight w:val="none"/>
                <w:lang w:eastAsia="zh-CN"/>
              </w:rPr>
              <w:t>备案</w:t>
            </w:r>
          </w:p>
        </w:tc>
        <w:tc>
          <w:tcPr>
            <w:tcW w:w="465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afterLines="0" w:line="560" w:lineRule="exact"/>
              <w:ind w:left="0" w:leftChars="0" w:firstLine="0" w:firstLineChars="0"/>
              <w:jc w:val="lef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是</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否</w:t>
            </w: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在港所属认可名册/名单（参见附件1）</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□建筑及有关顾问公司遴选委员会顾问公司名单（AACSB）</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□工程及有关顾问公司遴选委员会顾问公司名单（EACSB）</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□认可公共工程承建商名册</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□认可公共工程物料供应商及专门承造商名册</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sz w:val="20"/>
                <w:szCs w:val="20"/>
                <w:highlight w:val="none"/>
              </w:rPr>
            </w:pPr>
            <w:r>
              <w:rPr>
                <w:rFonts w:hint="eastAsia" w:ascii="仿宋_GB2312" w:hAnsi="仿宋_GB2312" w:eastAsia="仿宋_GB2312" w:cs="仿宋_GB2312"/>
                <w:bCs/>
                <w:color w:val="auto"/>
                <w:kern w:val="0"/>
                <w:sz w:val="24"/>
                <w:szCs w:val="24"/>
                <w:highlight w:val="none"/>
              </w:rPr>
              <w:t>类别</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 xml:space="preserve">_____________           </w:t>
            </w:r>
            <w:r>
              <w:rPr>
                <w:rFonts w:hint="eastAsia" w:ascii="仿宋_GB2312" w:hAnsi="仿宋_GB2312" w:eastAsia="仿宋_GB2312" w:cs="仿宋_GB2312"/>
                <w:bCs/>
                <w:color w:val="auto"/>
                <w:kern w:val="0"/>
                <w:sz w:val="24"/>
                <w:szCs w:val="24"/>
                <w:highlight w:val="none"/>
              </w:rPr>
              <w:t>组别</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_____________</w:t>
            </w: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拟申请</w:t>
            </w:r>
            <w:r>
              <w:rPr>
                <w:rFonts w:hint="eastAsia" w:ascii="仿宋_GB2312" w:hAnsi="仿宋_GB2312" w:eastAsia="仿宋_GB2312" w:cs="仿宋_GB2312"/>
                <w:bCs/>
                <w:color w:val="auto"/>
                <w:kern w:val="0"/>
                <w:sz w:val="24"/>
                <w:szCs w:val="24"/>
                <w:highlight w:val="none"/>
                <w:lang w:eastAsia="zh-CN"/>
              </w:rPr>
              <w:t>前海</w:t>
            </w:r>
            <w:r>
              <w:rPr>
                <w:rFonts w:hint="eastAsia" w:ascii="仿宋_GB2312" w:hAnsi="仿宋_GB2312" w:eastAsia="仿宋_GB2312" w:cs="仿宋_GB2312"/>
                <w:bCs/>
                <w:color w:val="auto"/>
                <w:kern w:val="0"/>
                <w:sz w:val="24"/>
                <w:szCs w:val="24"/>
                <w:highlight w:val="none"/>
              </w:rPr>
              <w:t>备案业务范围及资质等级（参见附件1）</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拟申请广东省住建厅</w:t>
            </w:r>
            <w:r>
              <w:rPr>
                <w:rFonts w:hint="eastAsia" w:ascii="仿宋_GB2312" w:hAnsi="仿宋_GB2312" w:eastAsia="仿宋_GB2312" w:cs="仿宋_GB2312"/>
                <w:bCs/>
                <w:color w:val="auto"/>
                <w:kern w:val="0"/>
                <w:sz w:val="24"/>
                <w:szCs w:val="24"/>
                <w:highlight w:val="none"/>
              </w:rPr>
              <w:t>备案业务范围及资质等级</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rPr>
              <w:t>执业专业人士</w:t>
            </w:r>
            <w:r>
              <w:rPr>
                <w:rFonts w:hint="eastAsia" w:ascii="仿宋_GB2312" w:hAnsi="仿宋_GB2312" w:eastAsia="仿宋_GB2312" w:cs="仿宋_GB2312"/>
                <w:bCs/>
                <w:color w:val="auto"/>
                <w:kern w:val="0"/>
                <w:sz w:val="24"/>
                <w:szCs w:val="24"/>
                <w:highlight w:val="none"/>
                <w:lang w:eastAsia="zh-CN"/>
              </w:rPr>
              <w:t>情况</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（执业专业类型、人数）</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lang w:eastAsia="zh-CN"/>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专业机构代表性业绩（若有）</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包含</w:t>
            </w:r>
            <w:r>
              <w:rPr>
                <w:rFonts w:hint="eastAsia" w:ascii="仿宋_GB2312" w:hAnsi="仿宋_GB2312" w:eastAsia="仿宋_GB2312" w:cs="仿宋_GB2312"/>
                <w:bCs/>
                <w:color w:val="auto"/>
                <w:kern w:val="0"/>
                <w:sz w:val="24"/>
                <w:szCs w:val="24"/>
                <w:highlight w:val="none"/>
              </w:rPr>
              <w:t>项目名称、</w:t>
            </w:r>
            <w:r>
              <w:rPr>
                <w:rFonts w:hint="eastAsia" w:ascii="仿宋_GB2312" w:hAnsi="仿宋_GB2312" w:eastAsia="仿宋_GB2312" w:cs="仿宋_GB2312"/>
                <w:bCs/>
                <w:color w:val="auto"/>
                <w:kern w:val="0"/>
                <w:sz w:val="24"/>
                <w:szCs w:val="24"/>
                <w:highlight w:val="none"/>
                <w:lang w:eastAsia="zh-CN"/>
              </w:rPr>
              <w:t>项目地址、服务内容、工程合同额、完成时间，</w:t>
            </w:r>
            <w:r>
              <w:rPr>
                <w:rFonts w:hint="eastAsia" w:ascii="仿宋_GB2312" w:hAnsi="仿宋_GB2312" w:eastAsia="仿宋_GB2312" w:cs="仿宋_GB2312"/>
                <w:bCs/>
                <w:color w:val="auto"/>
                <w:kern w:val="0"/>
                <w:sz w:val="24"/>
                <w:szCs w:val="24"/>
                <w:highlight w:val="none"/>
              </w:rPr>
              <w:t>可附页）</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在前海开展项目情况（若有）</w:t>
            </w:r>
          </w:p>
        </w:tc>
        <w:tc>
          <w:tcPr>
            <w:tcW w:w="7079" w:type="dxa"/>
            <w:gridSpan w:val="3"/>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eastAsia="zh-CN"/>
              </w:rPr>
              <w:t>包含</w:t>
            </w:r>
            <w:r>
              <w:rPr>
                <w:rFonts w:hint="eastAsia" w:ascii="仿宋_GB2312" w:hAnsi="仿宋_GB2312" w:eastAsia="仿宋_GB2312" w:cs="仿宋_GB2312"/>
                <w:bCs/>
                <w:color w:val="auto"/>
                <w:kern w:val="0"/>
                <w:sz w:val="24"/>
                <w:szCs w:val="24"/>
                <w:highlight w:val="none"/>
              </w:rPr>
              <w:t>项目名称、</w:t>
            </w:r>
            <w:r>
              <w:rPr>
                <w:rFonts w:hint="eastAsia" w:ascii="仿宋_GB2312" w:hAnsi="仿宋_GB2312" w:eastAsia="仿宋_GB2312" w:cs="仿宋_GB2312"/>
                <w:bCs/>
                <w:color w:val="auto"/>
                <w:kern w:val="0"/>
                <w:sz w:val="24"/>
                <w:szCs w:val="24"/>
                <w:highlight w:val="none"/>
                <w:lang w:eastAsia="zh-CN"/>
              </w:rPr>
              <w:t>项目地址、服务内容、工程合同额、完成时间，</w:t>
            </w:r>
            <w:r>
              <w:rPr>
                <w:rFonts w:hint="eastAsia" w:ascii="仿宋_GB2312" w:hAnsi="仿宋_GB2312" w:eastAsia="仿宋_GB2312" w:cs="仿宋_GB2312"/>
                <w:bCs/>
                <w:color w:val="auto"/>
                <w:kern w:val="0"/>
                <w:sz w:val="24"/>
                <w:szCs w:val="24"/>
                <w:highlight w:val="none"/>
              </w:rPr>
              <w:t>可附页）</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获取内地注册资格情况（若有）</w:t>
            </w:r>
          </w:p>
        </w:tc>
        <w:tc>
          <w:tcPr>
            <w:tcW w:w="70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97" w:hRule="atLeast"/>
          <w:jc w:val="center"/>
        </w:trPr>
        <w:tc>
          <w:tcPr>
            <w:tcW w:w="949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480" w:firstLineChars="200"/>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本机构对申请表内容及其附件材料的真实性负责，如有虚假，愿承担由此产生的一切法律后果。</w:t>
            </w:r>
          </w:p>
          <w:p>
            <w:pPr>
              <w:keepNext w:val="0"/>
              <w:keepLines w:val="0"/>
              <w:pageBreakBefore w:val="0"/>
              <w:widowControl/>
              <w:kinsoku/>
              <w:overflowPunct/>
              <w:topLinePunct w:val="0"/>
              <w:autoSpaceDE/>
              <w:autoSpaceDN/>
              <w:bidi w:val="0"/>
              <w:adjustRightInd/>
              <w:spacing w:beforeLines="0" w:afterLines="0" w:line="560" w:lineRule="exact"/>
              <w:ind w:firstLine="480" w:firstLineChars="200"/>
              <w:jc w:val="both"/>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eastAsia="zh-CN"/>
              </w:rPr>
              <w:t>机构负责</w:t>
            </w:r>
            <w:r>
              <w:rPr>
                <w:rFonts w:hint="eastAsia" w:ascii="仿宋_GB2312" w:hAnsi="仿宋_GB2312" w:eastAsia="仿宋_GB2312" w:cs="仿宋_GB2312"/>
                <w:bCs/>
                <w:color w:val="auto"/>
                <w:kern w:val="0"/>
                <w:sz w:val="24"/>
                <w:szCs w:val="24"/>
                <w:highlight w:val="none"/>
              </w:rPr>
              <w:t>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 w:hAnsi="仿宋" w:eastAsia="仿宋" w:cs="仿宋"/>
                <w:color w:val="000000"/>
                <w:kern w:val="0"/>
                <w:sz w:val="20"/>
                <w:szCs w:val="20"/>
                <w:highlight w:val="none"/>
                <w:lang w:val="en-US" w:eastAsia="zh-CN"/>
              </w:rPr>
              <w:t xml:space="preserve">                         </w:t>
            </w:r>
            <w:r>
              <w:rPr>
                <w:rFonts w:hint="eastAsia" w:ascii="仿宋_GB2312" w:hAnsi="仿宋_GB2312" w:eastAsia="仿宋_GB2312" w:cs="仿宋_GB2312"/>
                <w:bCs/>
                <w:color w:val="auto"/>
                <w:kern w:val="0"/>
                <w:sz w:val="24"/>
                <w:szCs w:val="24"/>
                <w:highlight w:val="none"/>
                <w:lang w:val="en-US" w:eastAsia="zh-CN"/>
              </w:rPr>
              <w:t>机构（印章）：</w:t>
            </w:r>
          </w:p>
          <w:p>
            <w:pPr>
              <w:keepNext w:val="0"/>
              <w:keepLines w:val="0"/>
              <w:pageBreakBefore w:val="0"/>
              <w:widowControl/>
              <w:kinsoku/>
              <w:overflowPunct/>
              <w:topLinePunct w:val="0"/>
              <w:autoSpaceDE/>
              <w:autoSpaceDN/>
              <w:bidi w:val="0"/>
              <w:adjustRightInd/>
              <w:spacing w:beforeLines="0" w:afterLines="0" w:line="560" w:lineRule="exact"/>
              <w:ind w:firstLine="480" w:firstLineChars="200"/>
              <w:jc w:val="both"/>
              <w:textAlignment w:val="auto"/>
              <w:rPr>
                <w:rFonts w:hint="eastAsia" w:ascii="仿宋" w:hAnsi="仿宋" w:eastAsia="仿宋" w:cs="仿宋"/>
                <w:color w:val="000000"/>
                <w:kern w:val="0"/>
                <w:sz w:val="20"/>
                <w:szCs w:val="20"/>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 xml:space="preserve">              </w:t>
            </w:r>
            <w:r>
              <w:rPr>
                <w:rFonts w:hint="default" w:ascii="仿宋_GB2312" w:hAnsi="仿宋_GB2312" w:eastAsia="仿宋_GB2312" w:cs="仿宋_GB2312"/>
                <w:bCs/>
                <w:color w:val="auto"/>
                <w:kern w:val="0"/>
                <w:sz w:val="24"/>
                <w:szCs w:val="24"/>
                <w:highlight w:val="none"/>
                <w:lang w:eastAsia="zh-CN"/>
              </w:rPr>
              <w:t xml:space="preserve">  </w:t>
            </w:r>
          </w:p>
          <w:p>
            <w:pPr>
              <w:keepNext w:val="0"/>
              <w:keepLines w:val="0"/>
              <w:pageBreakBefore w:val="0"/>
              <w:widowControl/>
              <w:kinsoku/>
              <w:overflowPunct/>
              <w:topLinePunct w:val="0"/>
              <w:autoSpaceDE/>
              <w:autoSpaceDN/>
              <w:bidi w:val="0"/>
              <w:adjustRightInd/>
              <w:spacing w:beforeLines="0" w:afterLines="0" w:line="560" w:lineRule="exact"/>
              <w:ind w:firstLine="7680" w:firstLineChars="3200"/>
              <w:jc w:val="right"/>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年   月   日</w:t>
            </w:r>
          </w:p>
        </w:tc>
      </w:tr>
      <w:tr>
        <w:tblPrEx>
          <w:tblCellMar>
            <w:top w:w="0" w:type="dxa"/>
            <w:left w:w="108" w:type="dxa"/>
            <w:bottom w:w="0" w:type="dxa"/>
            <w:right w:w="108" w:type="dxa"/>
          </w:tblCellMar>
        </w:tblPrEx>
        <w:trPr>
          <w:trHeight w:val="397" w:hRule="atLeast"/>
          <w:jc w:val="center"/>
        </w:trPr>
        <w:tc>
          <w:tcPr>
            <w:tcW w:w="2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0" w:firstLineChars="0"/>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前海管理局备案意见</w:t>
            </w:r>
          </w:p>
        </w:tc>
        <w:tc>
          <w:tcPr>
            <w:tcW w:w="7079" w:type="dxa"/>
            <w:gridSpan w:val="3"/>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rPr>
              <w:t>□</w:t>
            </w:r>
            <w:r>
              <w:rPr>
                <w:rFonts w:hint="eastAsia" w:ascii="仿宋_GB2312" w:hAnsi="仿宋_GB2312" w:eastAsia="仿宋_GB2312" w:cs="仿宋_GB2312"/>
                <w:bCs/>
                <w:color w:val="auto"/>
                <w:kern w:val="0"/>
                <w:sz w:val="24"/>
                <w:szCs w:val="24"/>
                <w:highlight w:val="none"/>
              </w:rPr>
              <w:t>予以备案</w:t>
            </w:r>
          </w:p>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hint="eastAsia" w:ascii="仿宋" w:hAnsi="仿宋" w:eastAsia="仿宋" w:cs="仿宋"/>
                <w:color w:val="000000"/>
                <w:kern w:val="0"/>
                <w:sz w:val="20"/>
                <w:szCs w:val="20"/>
                <w:highlight w:val="none"/>
                <w:lang w:eastAsia="zh-CN"/>
              </w:rPr>
            </w:pPr>
            <w:r>
              <w:rPr>
                <w:rFonts w:hint="eastAsia" w:ascii="仿宋" w:hAnsi="仿宋" w:eastAsia="仿宋" w:cs="仿宋"/>
                <w:color w:val="000000"/>
                <w:kern w:val="0"/>
                <w:sz w:val="20"/>
                <w:szCs w:val="20"/>
                <w:highlight w:val="none"/>
              </w:rPr>
              <w:t>□</w:t>
            </w:r>
            <w:r>
              <w:rPr>
                <w:rFonts w:hint="eastAsia" w:ascii="仿宋_GB2312" w:hAnsi="仿宋_GB2312" w:eastAsia="仿宋_GB2312" w:cs="仿宋_GB2312"/>
                <w:bCs/>
                <w:color w:val="auto"/>
                <w:kern w:val="0"/>
                <w:sz w:val="24"/>
                <w:szCs w:val="24"/>
                <w:highlight w:val="none"/>
              </w:rPr>
              <w:t>不予备案理由</w:t>
            </w:r>
            <w:r>
              <w:rPr>
                <w:rFonts w:hint="eastAsia" w:ascii="仿宋" w:hAnsi="仿宋" w:eastAsia="仿宋" w:cs="仿宋"/>
                <w:color w:val="000000"/>
                <w:kern w:val="0"/>
                <w:sz w:val="20"/>
                <w:szCs w:val="20"/>
                <w:highlight w:val="none"/>
              </w:rPr>
              <w:t>：</w:t>
            </w:r>
            <w:r>
              <w:rPr>
                <w:rFonts w:ascii="Times New Roman" w:hAnsi="Times New Roman" w:eastAsia="仿宋" w:cs="宋体"/>
                <w:kern w:val="0"/>
                <w:sz w:val="20"/>
                <w:highlight w:val="none"/>
              </w:rPr>
              <w:t>________________________________________</w:t>
            </w:r>
          </w:p>
          <w:p>
            <w:pPr>
              <w:keepNext w:val="0"/>
              <w:keepLines w:val="0"/>
              <w:pageBreakBefore w:val="0"/>
              <w:widowControl/>
              <w:kinsoku/>
              <w:overflowPunct/>
              <w:topLinePunct w:val="0"/>
              <w:autoSpaceDE/>
              <w:autoSpaceDN/>
              <w:bidi w:val="0"/>
              <w:adjustRightInd/>
              <w:spacing w:beforeLines="0" w:afterLines="0" w:line="560" w:lineRule="exact"/>
              <w:ind w:firstLine="2800" w:firstLineChars="1400"/>
              <w:textAlignment w:val="auto"/>
              <w:rPr>
                <w:rFonts w:hint="eastAsia" w:ascii="仿宋" w:hAnsi="仿宋" w:eastAsia="仿宋" w:cs="仿宋"/>
                <w:color w:val="000000"/>
                <w:kern w:val="0"/>
                <w:sz w:val="20"/>
                <w:szCs w:val="20"/>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3360" w:firstLineChars="1400"/>
              <w:jc w:val="right"/>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（前海管理局公章）</w:t>
            </w:r>
          </w:p>
          <w:p>
            <w:pPr>
              <w:keepNext w:val="0"/>
              <w:keepLines w:val="0"/>
              <w:pageBreakBefore w:val="0"/>
              <w:widowControl/>
              <w:kinsoku/>
              <w:overflowPunct/>
              <w:topLinePunct w:val="0"/>
              <w:autoSpaceDE/>
              <w:autoSpaceDN/>
              <w:bidi w:val="0"/>
              <w:adjustRightInd/>
              <w:spacing w:beforeLines="0" w:afterLines="0" w:line="560" w:lineRule="exact"/>
              <w:ind w:firstLine="0" w:firstLineChars="0"/>
              <w:jc w:val="right"/>
              <w:textAlignment w:val="auto"/>
              <w:rPr>
                <w:rFonts w:hint="eastAsia" w:ascii="仿宋" w:hAnsi="仿宋" w:eastAsia="仿宋" w:cs="仿宋"/>
                <w:color w:val="000000"/>
                <w:kern w:val="0"/>
                <w:sz w:val="20"/>
                <w:szCs w:val="20"/>
                <w:highlight w:val="none"/>
              </w:rPr>
            </w:pPr>
            <w:r>
              <w:rPr>
                <w:rFonts w:hint="eastAsia" w:ascii="仿宋_GB2312" w:hAnsi="仿宋_GB2312" w:eastAsia="仿宋_GB2312" w:cs="仿宋_GB2312"/>
                <w:bCs/>
                <w:color w:val="auto"/>
                <w:kern w:val="0"/>
                <w:sz w:val="24"/>
                <w:szCs w:val="24"/>
                <w:highlight w:val="none"/>
              </w:rPr>
              <w:t xml:space="preserve">    年   月   日</w:t>
            </w:r>
          </w:p>
        </w:tc>
      </w:tr>
    </w:tbl>
    <w:p>
      <w:pPr>
        <w:pStyle w:val="2"/>
        <w:spacing w:after="0" w:line="560" w:lineRule="exact"/>
        <w:ind w:firstLine="0"/>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bidi="ar-SA"/>
        </w:rPr>
        <w:t>注：符合《广东省住房和城乡建设厅香港工程建设咨询企业和专业人士在粤港澳大湾区内地城市开业执业试点管理暂行办法》备案条件的香港专业机构，可在申请表中勾选广东省住建厅备案，提交申请材料后可同步办理广东省住房和城乡建设厅备案。</w:t>
      </w:r>
    </w:p>
    <w:p>
      <w:pPr>
        <w:keepNext w:val="0"/>
        <w:keepLines w:val="0"/>
        <w:pageBreakBefore w:val="0"/>
        <w:widowControl/>
        <w:kinsoku/>
        <w:overflowPunct/>
        <w:topLinePunct w:val="0"/>
        <w:autoSpaceDE/>
        <w:autoSpaceDN/>
        <w:bidi w:val="0"/>
        <w:adjustRightInd/>
        <w:spacing w:beforeLines="0" w:afterLines="0" w:line="560" w:lineRule="exact"/>
        <w:jc w:val="left"/>
        <w:textAlignment w:val="auto"/>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5UJ+bm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l1cuzRj8zT7SyJlJGmPs&#10;PU1H95u1mHYxLdC/55z18P7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uVCfm5gEAAMcD&#10;AAAOAAAAAAAAAAEAIAAAAB8BAABkcnMvZTJvRG9jLnhtbFBLBQYAAAAABgAGAFkBAAB3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7E11"/>
    <w:rsid w:val="0119785A"/>
    <w:rsid w:val="050C733F"/>
    <w:rsid w:val="0A247833"/>
    <w:rsid w:val="0D3F2828"/>
    <w:rsid w:val="0DB90694"/>
    <w:rsid w:val="0F5229B3"/>
    <w:rsid w:val="11771034"/>
    <w:rsid w:val="120C1397"/>
    <w:rsid w:val="154B51FC"/>
    <w:rsid w:val="15C13A51"/>
    <w:rsid w:val="16E939A4"/>
    <w:rsid w:val="190B4923"/>
    <w:rsid w:val="1ADD406C"/>
    <w:rsid w:val="1CB70180"/>
    <w:rsid w:val="1CF7505E"/>
    <w:rsid w:val="1E376B1E"/>
    <w:rsid w:val="1F4202D5"/>
    <w:rsid w:val="1F996F14"/>
    <w:rsid w:val="1FAB7D05"/>
    <w:rsid w:val="24B50134"/>
    <w:rsid w:val="25684F30"/>
    <w:rsid w:val="25BC7BF5"/>
    <w:rsid w:val="26687B6F"/>
    <w:rsid w:val="280C3C41"/>
    <w:rsid w:val="29626771"/>
    <w:rsid w:val="2A71254F"/>
    <w:rsid w:val="2B536F21"/>
    <w:rsid w:val="2CD74B1F"/>
    <w:rsid w:val="2EC056BC"/>
    <w:rsid w:val="2EC7148F"/>
    <w:rsid w:val="2F5C22BF"/>
    <w:rsid w:val="32D260EE"/>
    <w:rsid w:val="33064F68"/>
    <w:rsid w:val="33E13725"/>
    <w:rsid w:val="34673F86"/>
    <w:rsid w:val="3557388E"/>
    <w:rsid w:val="35EF1588"/>
    <w:rsid w:val="372C276F"/>
    <w:rsid w:val="3748403E"/>
    <w:rsid w:val="37A40EB4"/>
    <w:rsid w:val="38CD76BE"/>
    <w:rsid w:val="39FB232E"/>
    <w:rsid w:val="3A8A2E97"/>
    <w:rsid w:val="3AC7657F"/>
    <w:rsid w:val="3AED5139"/>
    <w:rsid w:val="3B5A1306"/>
    <w:rsid w:val="3B6C3655"/>
    <w:rsid w:val="3B980E56"/>
    <w:rsid w:val="3BDF4602"/>
    <w:rsid w:val="3D2A7F67"/>
    <w:rsid w:val="3E6215A5"/>
    <w:rsid w:val="3EC42287"/>
    <w:rsid w:val="3F85F6F3"/>
    <w:rsid w:val="3FE20986"/>
    <w:rsid w:val="40BA658D"/>
    <w:rsid w:val="420D0A6A"/>
    <w:rsid w:val="43B225EF"/>
    <w:rsid w:val="447575C8"/>
    <w:rsid w:val="486F2CE2"/>
    <w:rsid w:val="48B34F35"/>
    <w:rsid w:val="4ABD70AF"/>
    <w:rsid w:val="520F53AD"/>
    <w:rsid w:val="522C5820"/>
    <w:rsid w:val="5560426E"/>
    <w:rsid w:val="55E8347F"/>
    <w:rsid w:val="56182499"/>
    <w:rsid w:val="578B0095"/>
    <w:rsid w:val="5B854EF7"/>
    <w:rsid w:val="5C5006F0"/>
    <w:rsid w:val="5CD0011F"/>
    <w:rsid w:val="5D140643"/>
    <w:rsid w:val="5E9B6C18"/>
    <w:rsid w:val="5F191CBF"/>
    <w:rsid w:val="633565CF"/>
    <w:rsid w:val="63D11445"/>
    <w:rsid w:val="63DA03E2"/>
    <w:rsid w:val="65AFA4CE"/>
    <w:rsid w:val="6B850073"/>
    <w:rsid w:val="6C9C34F1"/>
    <w:rsid w:val="6D7E141C"/>
    <w:rsid w:val="73F34743"/>
    <w:rsid w:val="749A05DB"/>
    <w:rsid w:val="74DE3380"/>
    <w:rsid w:val="76B15747"/>
    <w:rsid w:val="77FB1AE2"/>
    <w:rsid w:val="78684277"/>
    <w:rsid w:val="78DD7D0C"/>
    <w:rsid w:val="797F2051"/>
    <w:rsid w:val="7A304404"/>
    <w:rsid w:val="7CA95D92"/>
    <w:rsid w:val="7CAD4798"/>
    <w:rsid w:val="7CFB24D1"/>
    <w:rsid w:val="7DFCE0F6"/>
    <w:rsid w:val="7EB7736F"/>
    <w:rsid w:val="7EFA7860"/>
    <w:rsid w:val="7F9F4595"/>
    <w:rsid w:val="7FFCD5A1"/>
    <w:rsid w:val="BE9F3A83"/>
    <w:rsid w:val="C7F7A54E"/>
    <w:rsid w:val="CCF95DB3"/>
    <w:rsid w:val="CFFB7345"/>
    <w:rsid w:val="D65977A3"/>
    <w:rsid w:val="DB476748"/>
    <w:rsid w:val="DFBFCF5B"/>
    <w:rsid w:val="EBFEECFC"/>
    <w:rsid w:val="EBFFF6D4"/>
    <w:rsid w:val="FDFFBE14"/>
    <w:rsid w:val="FFFD2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513"/>
        <w:tab w:val="right" w:pos="902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Normal (Web)"/>
    <w:basedOn w:val="1"/>
    <w:qFormat/>
    <w:uiPriority w:val="0"/>
    <w:pPr>
      <w:wordWrap w:val="0"/>
      <w:jc w:val="left"/>
    </w:pPr>
    <w:rPr>
      <w:rFonts w:ascii="Calibri" w:hAnsi="Calibri" w:eastAsia="宋体" w:cs="Times New Roman"/>
      <w:kern w:val="0"/>
      <w:sz w:val="24"/>
      <w:szCs w:val="24"/>
    </w:rPr>
  </w:style>
  <w:style w:type="character" w:styleId="9">
    <w:name w:val="Hyperlink"/>
    <w:basedOn w:val="8"/>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2023-05-26T01:20:00Z</dcterms:created>
  <dc:creator>chenxh</dc:creator>
  <cp:lastModifiedBy>陆飞</cp:lastModifiedBy>
  <dcterms:modified xsi:type="dcterms:W3CDTF">2023-06-25T01:37:41Z</dcterms:modified>
  <dc:title>深圳市司法局关于反馈《深圳前海深港现代服务业合作区香港工程建设领域专业机构执业备案管理办法（修订送审稿）》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A3B7E02DF0E149EA9A09C3CD00356A5E</vt:lpwstr>
  </property>
</Properties>
</file>