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黑体简体" w:hAnsi="方正黑体简体" w:eastAsia="方正黑体简体" w:cs="方正黑体简体"/>
          <w:bCs/>
          <w:sz w:val="32"/>
          <w:szCs w:val="32"/>
        </w:rPr>
      </w:pPr>
      <w:r>
        <w:rPr>
          <w:rFonts w:hint="eastAsia" w:ascii="方正黑体简体" w:hAnsi="方正黑体简体" w:eastAsia="方正黑体简体" w:cs="方正黑体简体"/>
          <w:bCs/>
          <w:sz w:val="32"/>
          <w:szCs w:val="32"/>
        </w:rPr>
        <w:t>附件2</w:t>
      </w:r>
    </w:p>
    <w:p>
      <w:pPr>
        <w:pStyle w:val="2"/>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9"/>
        <w:ind w:firstLine="420"/>
        <w:rPr>
          <w:rFonts w:ascii="宋体" w:hAnsi="宋体" w:cs="宋体"/>
        </w:rPr>
      </w:pPr>
    </w:p>
    <w:p>
      <w:pPr>
        <w:pStyle w:val="29"/>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招标编号：QH2023054</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9"/>
        <w:ind w:firstLine="420"/>
        <w:rPr>
          <w:rFonts w:ascii="宋体" w:hAnsi="宋体" w:cs="宋体"/>
        </w:rPr>
      </w:pPr>
    </w:p>
    <w:p>
      <w:pPr>
        <w:pStyle w:val="29"/>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w:t>
      </w:r>
      <w:r>
        <w:rPr>
          <w:rFonts w:hint="eastAsia"/>
          <w:b/>
          <w:sz w:val="36"/>
          <w:szCs w:val="36"/>
        </w:rPr>
        <w:t>2023年第一批前海港澳导游及领队执业管理事务性工作服务</w:t>
      </w:r>
    </w:p>
    <w:p>
      <w:pPr>
        <w:ind w:firstLine="3264" w:firstLineChars="739"/>
        <w:rPr>
          <w:rFonts w:ascii="宋体" w:hAnsi="宋体" w:cs="宋体"/>
          <w:b/>
          <w:sz w:val="44"/>
        </w:rPr>
      </w:pPr>
    </w:p>
    <w:p>
      <w:pPr>
        <w:pStyle w:val="29"/>
        <w:ind w:firstLine="0" w:firstLineChars="0"/>
        <w:rPr>
          <w:rFonts w:ascii="宋体" w:hAnsi="宋体" w:cs="宋体"/>
        </w:rPr>
      </w:pPr>
    </w:p>
    <w:p>
      <w:pPr>
        <w:rPr>
          <w:rFonts w:ascii="宋体" w:hAnsi="宋体" w:cs="宋体"/>
          <w:b/>
          <w:sz w:val="44"/>
        </w:rPr>
      </w:pPr>
    </w:p>
    <w:p>
      <w:pPr>
        <w:pStyle w:val="2"/>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2023年5月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二、《深圳经济特区政府采购条例实施细则》第七十六条 供应商有下列行为之一的，由主管部门记入供应商诚信档案并作出以下处罚：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四、《深圳经济特区政府采购条例实施细则》第七十九条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五、《深圳经济特区政府采购条例实施细则》第八十一条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7"/>
        <w:tabs>
          <w:tab w:val="right" w:leader="dot" w:pos="8306"/>
        </w:tabs>
        <w:spacing w:line="480" w:lineRule="auto"/>
        <w:rPr>
          <w:b/>
          <w:bCs/>
          <w:sz w:val="24"/>
          <w:szCs w:val="32"/>
        </w:rPr>
      </w:pPr>
    </w:p>
    <w:p>
      <w:pPr>
        <w:pStyle w:val="17"/>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16</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29</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35</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39</w:t>
      </w:r>
      <w:r>
        <w:rPr>
          <w:rFonts w:hint="eastAsia" w:ascii="宋体" w:hAnsi="宋体" w:cs="宋体"/>
          <w:b/>
          <w:bCs/>
          <w:sz w:val="24"/>
        </w:rPr>
        <w:fldChar w:fldCharType="end"/>
      </w:r>
      <w:r>
        <w:rPr>
          <w:rFonts w:hint="eastAsia" w:ascii="宋体" w:hAnsi="宋体" w:cs="宋体"/>
          <w:b/>
          <w:bCs/>
          <w:sz w:val="24"/>
        </w:rPr>
        <w:fldChar w:fldCharType="end"/>
      </w:r>
    </w:p>
    <w:p>
      <w:pPr>
        <w:pStyle w:val="17"/>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61</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highlight w:val="cyan"/>
        </w:rPr>
      </w:pPr>
    </w:p>
    <w:p>
      <w:pPr>
        <w:spacing w:line="360" w:lineRule="auto"/>
        <w:ind w:firstLine="480" w:firstLineChars="200"/>
        <w:jc w:val="left"/>
        <w:rPr>
          <w:rFonts w:ascii="宋体" w:hAnsi="宋体" w:cs="宋体"/>
          <w:sz w:val="24"/>
        </w:rPr>
      </w:pPr>
      <w:r>
        <w:rPr>
          <w:rFonts w:hint="eastAsia" w:ascii="宋体" w:hAnsi="宋体" w:cs="宋体"/>
          <w:sz w:val="24"/>
        </w:rPr>
        <w:t>2023年第一批前海港澳导游及领队执业管理事务性工作服务（招标编号：</w:t>
      </w:r>
      <w:r>
        <w:rPr>
          <w:rFonts w:ascii="宋体" w:hAnsi="宋体" w:cs="宋体"/>
          <w:sz w:val="24"/>
        </w:rPr>
        <w:t>QH2023054</w:t>
      </w:r>
      <w:r>
        <w:rPr>
          <w:rFonts w:hint="eastAsia" w:ascii="宋体" w:hAnsi="宋体" w:cs="宋体"/>
          <w:sz w:val="24"/>
        </w:rPr>
        <w:t>）采用公开征集供应商简易招标方式采购，欢迎符合投标人资格要求的专业供应商积极参加投标。</w:t>
      </w:r>
    </w:p>
    <w:tbl>
      <w:tblPr>
        <w:tblStyle w:val="22"/>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招标文件编号</w:t>
            </w:r>
          </w:p>
        </w:tc>
        <w:tc>
          <w:tcPr>
            <w:tcW w:w="7015" w:type="dxa"/>
            <w:vAlign w:val="center"/>
          </w:tcPr>
          <w:p>
            <w:pPr>
              <w:spacing w:line="360" w:lineRule="auto"/>
              <w:rPr>
                <w:rFonts w:ascii="宋体" w:hAnsi="宋体" w:cs="宋体"/>
                <w:sz w:val="24"/>
              </w:rPr>
            </w:pPr>
            <w:r>
              <w:rPr>
                <w:rFonts w:ascii="宋体" w:hAnsi="宋体" w:cs="宋体"/>
                <w:sz w:val="24"/>
              </w:rPr>
              <w:t>QH2023054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2023年第一批前海港澳导游及领队执业管理事务性工作服务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29"/>
              <w:ind w:firstLine="0" w:firstLineChars="0"/>
              <w:rPr>
                <w:b/>
                <w:bCs/>
                <w:sz w:val="24"/>
                <w:szCs w:val="24"/>
              </w:rPr>
            </w:pPr>
            <w:r>
              <w:rPr>
                <w:rFonts w:hint="eastAsia"/>
                <w:b/>
                <w:bCs/>
                <w:sz w:val="24"/>
                <w:szCs w:val="24"/>
              </w:rPr>
              <w:t>项目背景：</w:t>
            </w:r>
          </w:p>
          <w:p>
            <w:pPr>
              <w:pStyle w:val="29"/>
              <w:ind w:firstLine="480"/>
              <w:rPr>
                <w:bCs/>
                <w:sz w:val="24"/>
                <w:szCs w:val="24"/>
              </w:rPr>
            </w:pPr>
            <w:r>
              <w:rPr>
                <w:rFonts w:hint="eastAsia"/>
                <w:bCs/>
                <w:sz w:val="24"/>
                <w:szCs w:val="24"/>
              </w:rPr>
              <w:t>为进一步扩大前海深港现代服务业合作区（以下简称前海合作区）对香港特别行政区、澳门特别行政区（以下简称港澳）服务领域开放，推动前海合作区内港澳及境外人士执业便利化，促进港澳导游及领队等旅游从业人员便捷有序来前海提供服务，根据《深圳市推进港澳导游及领队在深便利执业工作方案》《深圳前海深港现代服务业合作区港澳导游及领队执业备案暂行规定》要求，采购单位将组织开展2023年第一批前海港澳导游及领队执业管理事务性工作服务项目采购。</w:t>
            </w:r>
          </w:p>
          <w:p>
            <w:pPr>
              <w:pStyle w:val="29"/>
              <w:ind w:firstLine="0" w:firstLineChars="0"/>
              <w:rPr>
                <w:b/>
                <w:bCs/>
                <w:sz w:val="24"/>
                <w:szCs w:val="24"/>
              </w:rPr>
            </w:pPr>
            <w:r>
              <w:rPr>
                <w:rFonts w:hint="eastAsia"/>
                <w:b/>
                <w:bCs/>
                <w:sz w:val="24"/>
                <w:szCs w:val="24"/>
              </w:rPr>
              <w:t>项目内容：</w:t>
            </w:r>
          </w:p>
          <w:p>
            <w:pPr>
              <w:spacing w:line="560" w:lineRule="exact"/>
              <w:ind w:firstLine="480" w:firstLineChars="200"/>
              <w:rPr>
                <w:sz w:val="24"/>
              </w:rPr>
            </w:pPr>
            <w:r>
              <w:rPr>
                <w:rFonts w:hint="eastAsia"/>
                <w:sz w:val="24"/>
              </w:rPr>
              <w:t>完成2023年第一批（共100名）前海港澳导游及领队执业岗前培训及认证，负责2023年第一批（共100名）前海港澳导游及领队执业管理事务性工作。须根据《深圳前海深港现代服务业合作区港澳导游及领队执业备案暂行规定》及本项目内容，完成以下工作。</w:t>
            </w:r>
          </w:p>
          <w:p>
            <w:pPr>
              <w:spacing w:line="560" w:lineRule="exact"/>
              <w:ind w:firstLine="480" w:firstLineChars="200"/>
              <w:rPr>
                <w:sz w:val="24"/>
              </w:rPr>
            </w:pPr>
            <w:r>
              <w:rPr>
                <w:rFonts w:hint="eastAsia"/>
                <w:sz w:val="24"/>
              </w:rPr>
              <w:t>（一）协助完成港澳导游及领队执业岗前培训及认证工作。包括：1.调研前海合作区内旅行社注册经营及港澳导游签约基本情况；2.配合梳理横琴合作区港澳导游及领队执业培训的有关经验；3.配合完成前海合作区旅游景点的导游词撰写及涉前海培训教材（非出版物）的编制；4.港澳导游及领队执业的岗前理论和实务培训；5.配合组织港澳导游报名参训、协助组织宣讲会、邀请培训及认证专家等。</w:t>
            </w:r>
          </w:p>
          <w:p>
            <w:pPr>
              <w:spacing w:line="560" w:lineRule="exact"/>
              <w:ind w:firstLine="480" w:firstLineChars="200"/>
              <w:rPr>
                <w:sz w:val="24"/>
              </w:rPr>
            </w:pPr>
            <w:r>
              <w:rPr>
                <w:rFonts w:hint="eastAsia"/>
                <w:sz w:val="24"/>
              </w:rPr>
              <w:t>（二）负责港澳导游及领队执业管理等事务性工作。包括：1.港澳导游及领队的报名初审、培训有关资料初审；2.配合发送港澳导游及领队的培训轮候通知；3.配合设计和寄发港澳导游及领队认证备案证书；4.配合全流程的宣传推广、沟通对接和备案归档等；5.保障线上培训考核会务等工作。</w:t>
            </w:r>
          </w:p>
          <w:p>
            <w:pPr>
              <w:spacing w:line="560" w:lineRule="exact"/>
              <w:ind w:firstLine="480" w:firstLineChars="200"/>
              <w:rPr>
                <w:sz w:val="24"/>
              </w:rPr>
            </w:pPr>
            <w:r>
              <w:rPr>
                <w:rFonts w:hint="eastAsia"/>
                <w:sz w:val="24"/>
              </w:rPr>
              <w:t>（三）结合政策要求和时间计划，协助甲方完善港澳导游及领队执业培训时间安排、培训方式调整等其他辅助工作。包括：1.按照培训时长24小时（理论培训16小时、前海实训8小时，安排在3个工作日进行）执行，具体时间可视疫情等情况调整。2.按照培训要求，采取线上方式进行港澳导游及领队的执业资格培训，具体形式可视疫情等情况调整。3.根据工作需要，本期最终接收培训的港澳导游及领队总人数100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360" w:lineRule="auto"/>
              <w:rPr>
                <w:rFonts w:ascii="宋体" w:hAnsi="宋体" w:cs="宋体"/>
                <w:sz w:val="24"/>
              </w:rPr>
            </w:pPr>
            <w:r>
              <w:rPr>
                <w:rFonts w:hint="eastAsia" w:ascii="宋体" w:hAnsi="宋体" w:cs="宋体"/>
                <w:sz w:val="24"/>
              </w:rPr>
              <w:t>¥240000.00（人民币）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2023年</w:t>
            </w:r>
            <w:r>
              <w:rPr>
                <w:rFonts w:ascii="宋体" w:hAnsi="宋体" w:cs="宋体"/>
                <w:b/>
                <w:kern w:val="0"/>
                <w:sz w:val="24"/>
                <w:lang w:bidi="ar"/>
              </w:rPr>
              <w:t>5</w:t>
            </w:r>
            <w:r>
              <w:rPr>
                <w:rFonts w:hint="eastAsia" w:ascii="宋体" w:hAnsi="宋体" w:cs="宋体"/>
                <w:b/>
                <w:kern w:val="0"/>
                <w:sz w:val="24"/>
                <w:lang w:bidi="ar"/>
              </w:rPr>
              <w:t>月</w:t>
            </w:r>
            <w:r>
              <w:rPr>
                <w:rFonts w:ascii="宋体" w:hAnsi="宋体" w:cs="宋体"/>
                <w:b/>
                <w:kern w:val="0"/>
                <w:sz w:val="24"/>
                <w:lang w:bidi="ar"/>
              </w:rPr>
              <w:t>15</w:t>
            </w:r>
            <w:r>
              <w:rPr>
                <w:rFonts w:hint="eastAsia" w:ascii="宋体" w:hAnsi="宋体" w:cs="宋体"/>
                <w:b/>
                <w:kern w:val="0"/>
                <w:sz w:val="24"/>
                <w:lang w:bidi="ar"/>
              </w:rPr>
              <w:t>日上午</w:t>
            </w:r>
            <w:r>
              <w:rPr>
                <w:rFonts w:ascii="宋体" w:hAnsi="宋体" w:cs="宋体"/>
                <w:b/>
                <w:kern w:val="0"/>
                <w:sz w:val="24"/>
                <w:lang w:bidi="ar"/>
              </w:rPr>
              <w:t>09</w:t>
            </w:r>
            <w:r>
              <w:rPr>
                <w:rFonts w:hint="eastAsia" w:ascii="宋体" w:hAnsi="宋体" w:cs="宋体"/>
                <w:b/>
                <w:kern w:val="0"/>
                <w:sz w:val="24"/>
                <w:lang w:bidi="ar"/>
              </w:rPr>
              <w:t>：30时（北京时间）前送达（现场递交或邮寄）</w:t>
            </w:r>
            <w:r>
              <w:rPr>
                <w:rFonts w:hint="eastAsia" w:ascii="宋体" w:hAnsi="宋体" w:cs="宋体"/>
                <w:kern w:val="0"/>
                <w:sz w:val="24"/>
                <w:lang w:bidi="ar"/>
              </w:rPr>
              <w:t>至</w:t>
            </w:r>
            <w:r>
              <w:rPr>
                <w:rFonts w:hint="eastAsia" w:ascii="宋体" w:hAnsi="宋体" w:cs="宋体"/>
                <w:b/>
                <w:kern w:val="0"/>
                <w:sz w:val="24"/>
                <w:lang w:bidi="ar"/>
              </w:rPr>
              <w:t xml:space="preserve">前海大厦T1栋 </w:t>
            </w:r>
            <w:r>
              <w:rPr>
                <w:rFonts w:ascii="宋体" w:hAnsi="宋体" w:cs="宋体"/>
                <w:b/>
                <w:kern w:val="0"/>
                <w:sz w:val="24"/>
                <w:lang w:bidi="ar"/>
              </w:rPr>
              <w:t>2505</w:t>
            </w:r>
            <w:r>
              <w:rPr>
                <w:rFonts w:hint="eastAsia" w:ascii="宋体" w:hAnsi="宋体" w:cs="宋体"/>
                <w:b/>
                <w:kern w:val="0"/>
                <w:sz w:val="24"/>
                <w:lang w:bidi="ar"/>
              </w:rPr>
              <w:t>室。</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联系人：</w:t>
            </w:r>
            <w:r>
              <w:rPr>
                <w:rFonts w:hint="eastAsia" w:ascii="宋体" w:hAnsi="宋体" w:cs="宋体"/>
                <w:kern w:val="0"/>
                <w:sz w:val="24"/>
              </w:rPr>
              <w:t>余主任</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联系电话：</w:t>
            </w:r>
            <w:r>
              <w:rPr>
                <w:rFonts w:hint="eastAsia" w:ascii="宋体" w:hAnsi="宋体" w:cs="宋体"/>
                <w:kern w:val="0"/>
                <w:sz w:val="24"/>
              </w:rPr>
              <w:t>0755-88105108</w:t>
            </w:r>
          </w:p>
          <w:p>
            <w:pPr>
              <w:widowControl/>
              <w:jc w:val="left"/>
              <w:rPr>
                <w:rFonts w:ascii="宋体" w:hAnsi="宋体" w:cs="宋体"/>
                <w:kern w:val="0"/>
                <w:sz w:val="24"/>
              </w:rPr>
            </w:pPr>
            <w:r>
              <w:rPr>
                <w:rFonts w:hint="eastAsia" w:ascii="宋体" w:hAnsi="宋体" w:cs="宋体"/>
                <w:sz w:val="24"/>
                <w:lang w:bidi="ar"/>
              </w:rPr>
              <w:t>注：如需现场谈判，投标人需在评标半小时内到达评标现场。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在中华人民共和国境内注册的具有独立法人资格或具有独立承担民事责任的能力的其它组织（提供营业证照或社会团体法人登记证或事业单位法人证等证明复印件加盖投标人公章）。</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本费用为固定总价费，报价包含专业服务费、项目执行过程中专业人员为项目所发生的所有费用（包括并不限于差旅费、住宿费、餐费、交通费、资料费、调研费、通信费、税费等相关费用）及后期费用。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人：余主任</w:t>
            </w:r>
          </w:p>
          <w:p>
            <w:pPr>
              <w:spacing w:line="360" w:lineRule="auto"/>
              <w:rPr>
                <w:rFonts w:ascii="宋体" w:hAnsi="宋体" w:cs="宋体"/>
                <w:kern w:val="0"/>
                <w:sz w:val="24"/>
              </w:rPr>
            </w:pPr>
            <w:r>
              <w:rPr>
                <w:rFonts w:hint="eastAsia" w:ascii="宋体" w:hAnsi="宋体" w:cs="宋体"/>
                <w:kern w:val="0"/>
                <w:sz w:val="24"/>
              </w:rPr>
              <w:t>电      话： 0755-88105108</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 深圳交易咨询集团有限公司</w:t>
            </w:r>
          </w:p>
          <w:p>
            <w:pPr>
              <w:spacing w:line="360" w:lineRule="auto"/>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360" w:lineRule="auto"/>
              <w:rPr>
                <w:rFonts w:ascii="宋体" w:hAnsi="宋体" w:cs="宋体"/>
                <w:kern w:val="0"/>
                <w:sz w:val="24"/>
              </w:rPr>
            </w:pPr>
            <w:r>
              <w:rPr>
                <w:rFonts w:hint="eastAsia" w:ascii="宋体" w:hAnsi="宋体" w:cs="宋体"/>
                <w:kern w:val="0"/>
                <w:sz w:val="24"/>
              </w:rPr>
              <w:t>联  系  人：黎先生、温先生</w:t>
            </w:r>
          </w:p>
          <w:p>
            <w:pPr>
              <w:spacing w:line="360" w:lineRule="auto"/>
              <w:rPr>
                <w:rFonts w:ascii="宋体" w:hAnsi="宋体" w:cs="宋体"/>
                <w:kern w:val="0"/>
                <w:sz w:val="24"/>
              </w:rPr>
            </w:pPr>
            <w:r>
              <w:rPr>
                <w:rFonts w:hint="eastAsia" w:ascii="宋体" w:hAnsi="宋体" w:cs="宋体"/>
                <w:kern w:val="0"/>
                <w:sz w:val="24"/>
              </w:rPr>
              <w:t>电      话：1</w:t>
            </w:r>
            <w:r>
              <w:rPr>
                <w:rFonts w:ascii="宋体" w:hAnsi="宋体" w:cs="宋体"/>
                <w:kern w:val="0"/>
                <w:sz w:val="24"/>
              </w:rPr>
              <w:t>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2023年5月8日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3" w:name="_Toc16734"/>
      <w:r>
        <w:rPr>
          <w:rFonts w:hint="eastAsia" w:ascii="宋体" w:hAnsi="宋体" w:cs="宋体"/>
          <w:b/>
          <w:bCs/>
          <w:sz w:val="24"/>
        </w:rPr>
        <w:t>投标须知</w:t>
      </w:r>
      <w:bookmarkEnd w:id="3"/>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1、本项目是深圳市前海深港现代服务业合作区管理局的2023年第一批前海港澳导游及领队执业管理事务性工作服务。</w:t>
      </w:r>
    </w:p>
    <w:p>
      <w:pPr>
        <w:spacing w:line="360" w:lineRule="auto"/>
        <w:ind w:firstLine="480" w:firstLineChars="200"/>
        <w:rPr>
          <w:rFonts w:ascii="宋体" w:hAnsi="宋体" w:cs="宋体"/>
          <w:sz w:val="24"/>
        </w:rPr>
      </w:pPr>
      <w:r>
        <w:rPr>
          <w:rFonts w:hint="eastAsia" w:ascii="宋体" w:hAnsi="宋体" w:cs="宋体"/>
          <w:sz w:val="24"/>
        </w:rPr>
        <w:t>2、本项目不属于深圳市2023—2024年集中采购目录，根据《中华人民共和国政府采购法》、《深圳经济特区采购条例》的有关规定，深圳交易咨询集团有限公司受深圳市前海深港现代服务业合作区管理局委托组织采购，本次采购公开征集供应商，报名且符合招标文件初审的供应商满足3家或3家以上的，采用综合评分法的方式进行；不足3家的，将重新发布采购公告。重新公告后仍不足3家的：报名且符合招标文件初审的供应商在两家或两家以上，采用综合评分法的方式进行。</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3"/>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费用为固定总价费，报价包含专业服务费、项目执行过程中专业人员为项目所发生的所有费用（包括并不限于差旅费、住宿费、餐费、交通费、资料费、调研费、通信费、税费等相关费用）及后期费用。投标人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12、供应商应在规定的时间内现场提交投标文件，采购代理机构在投标截止时间前半小时开始接收投标文件。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4"/>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4"/>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4"/>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5"/>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2"/>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highlight w:val="yellow"/>
        </w:rPr>
      </w:pPr>
      <w:r>
        <w:rPr>
          <w:rFonts w:hint="eastAsia" w:ascii="宋体" w:hAnsi="宋体" w:cs="宋体"/>
          <w:sz w:val="24"/>
        </w:rPr>
        <w:t>银行</w:t>
      </w:r>
      <w:r>
        <w:rPr>
          <w:rFonts w:ascii="宋体" w:hAnsi="宋体" w:cs="宋体"/>
          <w:sz w:val="24"/>
        </w:rPr>
        <w:t>账</w:t>
      </w:r>
      <w:r>
        <w:rPr>
          <w:rFonts w:hint="eastAsia" w:ascii="宋体" w:hAnsi="宋体" w:cs="宋体"/>
          <w:sz w:val="24"/>
        </w:rPr>
        <w:t>号：平安银行深圳江苏大厦支行</w:t>
      </w:r>
    </w:p>
    <w:p>
      <w:pPr>
        <w:spacing w:line="360" w:lineRule="auto"/>
        <w:rPr>
          <w:rFonts w:ascii="宋体" w:hAnsi="宋体" w:cs="宋体"/>
          <w:b/>
          <w:bCs/>
          <w:sz w:val="24"/>
        </w:rPr>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w:t>
      </w:r>
      <w:r>
        <w:rPr>
          <w:rFonts w:ascii="宋体" w:hAnsi="宋体" w:cs="宋体"/>
          <w:sz w:val="24"/>
        </w:rPr>
        <w:t>11002982389701</w:t>
      </w:r>
      <w:r>
        <w:rPr>
          <w:rFonts w:hint="eastAsia" w:ascii="宋体" w:hAnsi="宋体" w:cs="宋体"/>
          <w:sz w:val="24"/>
        </w:rPr>
        <w:t>（用于支付中标服务费）</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4" w:name="_Toc18857"/>
      <w:r>
        <w:rPr>
          <w:rFonts w:hint="eastAsia" w:ascii="宋体" w:hAnsi="宋体" w:cs="宋体"/>
          <w:b/>
          <w:bCs/>
          <w:sz w:val="24"/>
        </w:rPr>
        <w:t>评标程序</w:t>
      </w:r>
      <w:bookmarkEnd w:id="4"/>
    </w:p>
    <w:p>
      <w:pPr>
        <w:spacing w:line="360" w:lineRule="auto"/>
        <w:ind w:firstLine="480" w:firstLineChars="200"/>
        <w:rPr>
          <w:rFonts w:ascii="宋体" w:hAnsi="宋体" w:cs="宋体"/>
          <w:sz w:val="24"/>
        </w:rPr>
      </w:pPr>
      <w:r>
        <w:rPr>
          <w:rFonts w:hint="eastAsia" w:ascii="宋体" w:hAnsi="宋体" w:cs="宋体"/>
          <w:sz w:val="24"/>
        </w:rPr>
        <w:t>一、依法成立评审委员会。</w:t>
      </w:r>
      <w:r>
        <w:rPr>
          <w:rFonts w:cs="宋体"/>
        </w:rPr>
        <w:t>评审委员会由招标代理在深圳市政府采购评审专家库中抽取专家，人数要求为按采购单位内部管理规定简易招标：不少于3人（单数），其中专家人数不得少于小组总人数的三分之二。（即专家人数不少于2人），评审委员会在开标开始前一天组成</w:t>
      </w:r>
      <w:r>
        <w:rPr>
          <w:rFonts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二、参加会议人员：项目负责代表、评审委员会成员、监督部门代表。</w:t>
      </w:r>
    </w:p>
    <w:p>
      <w:pPr>
        <w:spacing w:line="360" w:lineRule="auto"/>
        <w:ind w:firstLine="480" w:firstLineChars="200"/>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四、报名截止时间：2023年5月15日上午09：30时（北京时间）。</w:t>
      </w:r>
    </w:p>
    <w:p>
      <w:pPr>
        <w:spacing w:line="360" w:lineRule="auto"/>
        <w:ind w:firstLine="480" w:firstLineChars="200"/>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五、投标文件的递交。投标人应将投标文件正本和副本密封，并标明项目编号、招标项目名称及“正本”或“副本”。投标文件提交到采购单位指定办公室（前海大厦T1栋</w:t>
      </w:r>
      <w:r>
        <w:rPr>
          <w:rFonts w:ascii="宋体" w:hAnsi="宋体" w:cs="宋体"/>
          <w:sz w:val="24"/>
        </w:rPr>
        <w:t>2505</w:t>
      </w:r>
      <w:r>
        <w:rPr>
          <w:rFonts w:hint="eastAsia" w:ascii="宋体" w:hAnsi="宋体" w:cs="宋体"/>
          <w:sz w:val="24"/>
        </w:rPr>
        <w:t>室），由采购单位工作人员接收投标人递交的投标文件，投标人应在2023年5月15日上午09：30时（北京时间）前送达（现场递交或邮寄）。截标后不再接收任何投标文件。</w:t>
      </w:r>
    </w:p>
    <w:p>
      <w:pPr>
        <w:spacing w:line="360" w:lineRule="auto"/>
        <w:ind w:firstLine="480" w:firstLineChars="200"/>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ind w:firstLine="480" w:firstLineChars="200"/>
        <w:rPr>
          <w:rFonts w:ascii="宋体" w:hAnsi="宋体" w:cs="宋体"/>
          <w:sz w:val="24"/>
        </w:rPr>
      </w:pPr>
      <w:r>
        <w:rPr>
          <w:rFonts w:hint="eastAsia" w:ascii="宋体" w:hAnsi="宋体" w:cs="宋体"/>
          <w:sz w:val="24"/>
        </w:rPr>
        <w:t>七、投标文件的资格审查。开标后，招标机构（或授权评标委员会）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采用谈判的情况：评审委员会将与投标供应商进行谈判。</w:t>
      </w:r>
    </w:p>
    <w:p>
      <w:pPr>
        <w:spacing w:line="560" w:lineRule="exact"/>
        <w:ind w:firstLine="480" w:firstLineChars="200"/>
        <w:rPr>
          <w:rFonts w:ascii="宋体" w:hAnsi="宋体" w:cs="宋体"/>
          <w:sz w:val="24"/>
        </w:rPr>
      </w:pPr>
      <w:r>
        <w:rPr>
          <w:rFonts w:hint="eastAsia" w:ascii="宋体" w:hAnsi="宋体" w:cs="宋体"/>
          <w:sz w:val="24"/>
        </w:rPr>
        <w:t>5.1 供应商在谈判时由项目负责人与评审委员会进行谈判；</w:t>
      </w:r>
    </w:p>
    <w:p>
      <w:pPr>
        <w:spacing w:line="560" w:lineRule="exact"/>
        <w:ind w:firstLine="480" w:firstLineChars="200"/>
        <w:rPr>
          <w:rFonts w:ascii="宋体" w:hAnsi="宋体" w:cs="宋体"/>
          <w:sz w:val="24"/>
        </w:rPr>
      </w:pPr>
      <w:r>
        <w:rPr>
          <w:rFonts w:hint="eastAsia" w:ascii="宋体" w:hAnsi="宋体" w:cs="宋体"/>
          <w:sz w:val="24"/>
        </w:rPr>
        <w:t>5.2 原则上成交价应为最初报价的95%。</w:t>
      </w:r>
    </w:p>
    <w:p>
      <w:pPr>
        <w:spacing w:line="560" w:lineRule="exact"/>
        <w:ind w:firstLine="480" w:firstLineChars="200"/>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ind w:firstLine="480" w:firstLineChars="200"/>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ind w:firstLine="480" w:firstLineChars="200"/>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635"/>
      <w:r>
        <w:rPr>
          <w:rFonts w:hint="eastAsia" w:ascii="宋体" w:hAnsi="宋体" w:cs="宋体"/>
          <w:b/>
          <w:bCs/>
          <w:sz w:val="24"/>
        </w:rPr>
        <w:t>合同格式及合同条款</w:t>
      </w:r>
      <w:bookmarkEnd w:id="5"/>
    </w:p>
    <w:p>
      <w:pPr>
        <w:spacing w:line="360" w:lineRule="auto"/>
        <w:ind w:firstLine="470" w:firstLineChars="196"/>
        <w:jc w:val="center"/>
        <w:rPr>
          <w:rFonts w:ascii="宋体" w:hAnsi="宋体" w:cs="宋体"/>
          <w:sz w:val="24"/>
        </w:rPr>
      </w:pPr>
      <w:bookmarkStart w:id="6" w:name="_Toc73521680"/>
      <w:bookmarkStart w:id="7" w:name="_Toc73518163"/>
      <w:bookmarkStart w:id="8" w:name="_Toc73517685"/>
      <w:bookmarkStart w:id="9" w:name="_Toc100052414"/>
      <w:bookmarkStart w:id="10" w:name="_Toc101074886"/>
      <w:bookmarkStart w:id="11" w:name="_Toc73521592"/>
      <w:bookmarkStart w:id="12" w:name="_Toc84303603"/>
    </w:p>
    <w:bookmarkEnd w:id="6"/>
    <w:bookmarkEnd w:id="7"/>
    <w:bookmarkEnd w:id="8"/>
    <w:bookmarkEnd w:id="9"/>
    <w:bookmarkEnd w:id="10"/>
    <w:bookmarkEnd w:id="11"/>
    <w:bookmarkEnd w:id="12"/>
    <w:p>
      <w:pPr>
        <w:spacing w:line="360" w:lineRule="auto"/>
        <w:ind w:firstLine="470" w:firstLineChars="196"/>
        <w:rPr>
          <w:rFonts w:ascii="宋体" w:hAnsi="宋体" w:cs="宋体"/>
          <w:sz w:val="24"/>
        </w:rPr>
      </w:pPr>
    </w:p>
    <w:p>
      <w:pPr>
        <w:pStyle w:val="29"/>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9"/>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9"/>
        <w:spacing w:line="360" w:lineRule="auto"/>
        <w:ind w:left="1470" w:right="1470" w:firstLine="482"/>
        <w:jc w:val="center"/>
        <w:rPr>
          <w:rFonts w:ascii="宋体" w:hAnsi="宋体" w:cs="宋体"/>
          <w:b/>
          <w:sz w:val="24"/>
          <w:szCs w:val="24"/>
        </w:rPr>
      </w:pP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9"/>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rPr>
          <w:rFonts w:ascii="宋体" w:hAnsi="宋体" w:cs="宋体"/>
          <w:b/>
          <w:sz w:val="28"/>
          <w:szCs w:val="28"/>
        </w:rPr>
      </w:pPr>
      <w:bookmarkStart w:id="13" w:name="_Hlk126695682"/>
      <w:r>
        <w:rPr>
          <w:rFonts w:hint="eastAsia" w:ascii="宋体" w:hAnsi="宋体" w:cs="宋体"/>
          <w:b/>
          <w:sz w:val="28"/>
          <w:szCs w:val="28"/>
        </w:rPr>
        <w:t>2023年第一批前海港澳导游及领队执业管理事务性工作服务</w:t>
      </w:r>
    </w:p>
    <w:p>
      <w:pPr>
        <w:spacing w:line="360" w:lineRule="auto"/>
        <w:jc w:val="center"/>
        <w:rPr>
          <w:rFonts w:ascii="宋体" w:hAnsi="宋体" w:cs="宋体"/>
          <w:b/>
          <w:sz w:val="28"/>
          <w:szCs w:val="28"/>
        </w:rPr>
      </w:pPr>
      <w:r>
        <w:rPr>
          <w:rFonts w:hint="eastAsia" w:ascii="宋体" w:hAnsi="宋体" w:cs="宋体"/>
          <w:b/>
          <w:sz w:val="28"/>
          <w:szCs w:val="28"/>
        </w:rPr>
        <w:t>委托合同</w:t>
      </w:r>
    </w:p>
    <w:bookmarkEnd w:id="13"/>
    <w:p>
      <w:pPr>
        <w:spacing w:line="360" w:lineRule="auto"/>
        <w:rPr>
          <w:rFonts w:ascii="宋体" w:hAnsi="宋体" w:cs="宋体"/>
          <w:sz w:val="24"/>
        </w:rPr>
      </w:pPr>
      <w:r>
        <w:rPr>
          <w:rFonts w:hint="eastAsia" w:ascii="宋体" w:hAnsi="宋体" w:cs="宋体"/>
          <w:sz w:val="24"/>
        </w:rPr>
        <w:t xml:space="preserve"> </w:t>
      </w:r>
    </w:p>
    <w:p>
      <w:pPr>
        <w:pStyle w:val="29"/>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2023年第一批前海港澳导游及领队执业管理事务性工作服务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二〇二三年  月</w:t>
      </w:r>
    </w:p>
    <w:p>
      <w:pPr>
        <w:spacing w:line="360" w:lineRule="auto"/>
        <w:ind w:firstLine="482" w:firstLineChars="200"/>
        <w:rPr>
          <w:rFonts w:ascii="宋体" w:hAnsi="宋体"/>
          <w:sz w:val="22"/>
          <w:szCs w:val="21"/>
        </w:rPr>
      </w:pPr>
      <w:r>
        <w:rPr>
          <w:rFonts w:hint="eastAsia" w:ascii="宋体" w:hAnsi="宋体" w:cs="宋体"/>
          <w:b/>
          <w:bCs/>
          <w:sz w:val="24"/>
        </w:rPr>
        <w:br w:type="page"/>
      </w:r>
      <w:r>
        <w:rPr>
          <w:rFonts w:hint="eastAsia" w:ascii="宋体" w:hAnsi="宋体"/>
          <w:sz w:val="22"/>
          <w:szCs w:val="21"/>
        </w:rPr>
        <w:t>甲方：深圳市前海深港现代服务业合作区管理局</w:t>
      </w:r>
    </w:p>
    <w:p>
      <w:pPr>
        <w:spacing w:line="360" w:lineRule="auto"/>
        <w:ind w:firstLine="440" w:firstLineChars="200"/>
        <w:rPr>
          <w:rFonts w:ascii="宋体" w:hAnsi="宋体"/>
          <w:sz w:val="22"/>
          <w:szCs w:val="21"/>
        </w:rPr>
      </w:pPr>
      <w:r>
        <w:rPr>
          <w:rFonts w:hint="eastAsia" w:ascii="宋体" w:hAnsi="宋体"/>
          <w:sz w:val="22"/>
          <w:szCs w:val="21"/>
        </w:rPr>
        <w:t>地址：深圳市</w:t>
      </w:r>
      <w:r>
        <w:rPr>
          <w:rFonts w:ascii="宋体" w:hAnsi="宋体"/>
          <w:sz w:val="22"/>
          <w:szCs w:val="21"/>
        </w:rPr>
        <w:t>桂湾五路123号</w:t>
      </w:r>
    </w:p>
    <w:p>
      <w:pPr>
        <w:spacing w:after="12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乙方：</w:t>
      </w:r>
    </w:p>
    <w:p>
      <w:pPr>
        <w:spacing w:line="360" w:lineRule="auto"/>
        <w:ind w:firstLine="440" w:firstLineChars="200"/>
        <w:rPr>
          <w:rFonts w:ascii="宋体" w:hAnsi="宋体"/>
          <w:sz w:val="22"/>
          <w:szCs w:val="21"/>
        </w:rPr>
      </w:pPr>
      <w:r>
        <w:rPr>
          <w:rFonts w:hint="eastAsia" w:ascii="宋体" w:hAnsi="宋体"/>
          <w:sz w:val="22"/>
          <w:szCs w:val="21"/>
        </w:rPr>
        <w:t>地址：</w:t>
      </w:r>
      <w:r>
        <w:rPr>
          <w:rFonts w:ascii="宋体" w:hAnsi="宋体"/>
          <w:sz w:val="22"/>
          <w:szCs w:val="21"/>
        </w:rPr>
        <w:t xml:space="preserve">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根据《中华人民共和国</w:t>
      </w:r>
      <w:r>
        <w:rPr>
          <w:rFonts w:ascii="宋体" w:hAnsi="宋体"/>
          <w:sz w:val="22"/>
          <w:szCs w:val="21"/>
        </w:rPr>
        <w:t>民法典</w:t>
      </w:r>
      <w:r>
        <w:rPr>
          <w:rFonts w:hint="eastAsia" w:ascii="宋体" w:hAnsi="宋体"/>
          <w:sz w:val="22"/>
          <w:szCs w:val="21"/>
        </w:rPr>
        <w:t>》等法律、法规的相关规定，经友好协商，甲乙双方就甲方委托乙方承担</w:t>
      </w:r>
      <w:r>
        <w:rPr>
          <w:rFonts w:ascii="宋体" w:hAnsi="宋体"/>
          <w:sz w:val="22"/>
          <w:szCs w:val="21"/>
          <w:u w:val="single"/>
        </w:rPr>
        <w:t>2023年第一批前海港澳导游及领队执业管理事务性工作服务</w:t>
      </w:r>
      <w:r>
        <w:rPr>
          <w:rFonts w:hint="eastAsia" w:ascii="宋体" w:hAnsi="宋体"/>
          <w:sz w:val="22"/>
          <w:szCs w:val="21"/>
          <w:u w:val="single"/>
        </w:rPr>
        <w:t>项目</w:t>
      </w:r>
      <w:r>
        <w:rPr>
          <w:rFonts w:hint="eastAsia" w:ascii="宋体" w:hAnsi="宋体"/>
          <w:sz w:val="22"/>
          <w:szCs w:val="21"/>
        </w:rPr>
        <w:t>（以下简称“本项目”）工作事宜达成一致，约定如下：</w:t>
      </w:r>
    </w:p>
    <w:p>
      <w:pPr>
        <w:spacing w:line="360" w:lineRule="auto"/>
        <w:ind w:firstLine="442" w:firstLineChars="200"/>
        <w:rPr>
          <w:rFonts w:ascii="宋体" w:hAnsi="宋体"/>
          <w:b/>
          <w:bCs/>
          <w:sz w:val="22"/>
          <w:szCs w:val="21"/>
        </w:rPr>
      </w:pPr>
      <w:r>
        <w:rPr>
          <w:rFonts w:hint="eastAsia" w:ascii="宋体" w:hAnsi="宋体"/>
          <w:b/>
          <w:bCs/>
          <w:sz w:val="22"/>
          <w:szCs w:val="21"/>
        </w:rPr>
        <w:t>一、项目内容</w:t>
      </w:r>
    </w:p>
    <w:p>
      <w:pPr>
        <w:numPr>
          <w:ilvl w:val="255"/>
          <w:numId w:val="0"/>
        </w:numPr>
        <w:spacing w:line="360" w:lineRule="auto"/>
        <w:ind w:firstLine="442" w:firstLineChars="200"/>
        <w:jc w:val="left"/>
        <w:rPr>
          <w:rFonts w:ascii="宋体" w:hAnsi="宋体"/>
          <w:b/>
          <w:bCs/>
          <w:sz w:val="22"/>
          <w:szCs w:val="21"/>
        </w:rPr>
      </w:pPr>
      <w:r>
        <w:rPr>
          <w:rFonts w:hint="eastAsia" w:ascii="宋体" w:hAnsi="宋体"/>
          <w:b/>
          <w:bCs/>
          <w:sz w:val="22"/>
          <w:szCs w:val="21"/>
        </w:rPr>
        <w:t>（一）项目背景</w:t>
      </w:r>
    </w:p>
    <w:p>
      <w:pPr>
        <w:spacing w:line="360" w:lineRule="auto"/>
        <w:ind w:firstLine="440" w:firstLineChars="200"/>
        <w:rPr>
          <w:rFonts w:ascii="宋体" w:hAnsi="宋体"/>
          <w:sz w:val="22"/>
          <w:szCs w:val="21"/>
        </w:rPr>
      </w:pPr>
      <w:r>
        <w:rPr>
          <w:rFonts w:hint="eastAsia" w:ascii="宋体" w:hAnsi="宋体"/>
          <w:sz w:val="22"/>
          <w:szCs w:val="21"/>
        </w:rPr>
        <w:t>为进一步扩大前海深港现代服务业合作区（以下简称前海合作区）对香港特别行政区、澳门特别行政区（以下简称港澳）服务领域开放，推动前海合作区内港澳及境外人士执业便利化，促进港澳导游及领队等旅游从业人员便捷有序来前海提供服务，根据《深圳市推进港澳导游及领队在深便利执业工作方案》《深圳前海深港现代服务业合作区港澳导游及领队执业备案暂行规定》要求，采购单位将组织开展2023年第一批前海港澳导游及领队执业管理事务性工作服务项目。</w:t>
      </w:r>
    </w:p>
    <w:p>
      <w:pPr>
        <w:numPr>
          <w:ilvl w:val="255"/>
          <w:numId w:val="0"/>
        </w:numPr>
        <w:spacing w:line="360" w:lineRule="auto"/>
        <w:ind w:firstLine="442" w:firstLineChars="200"/>
        <w:jc w:val="left"/>
        <w:rPr>
          <w:rFonts w:ascii="宋体" w:hAnsi="宋体"/>
          <w:b/>
          <w:bCs/>
          <w:sz w:val="22"/>
          <w:szCs w:val="21"/>
          <w:lang w:val="zh-CN"/>
        </w:rPr>
      </w:pPr>
      <w:r>
        <w:rPr>
          <w:rFonts w:hint="eastAsia" w:ascii="宋体" w:hAnsi="宋体"/>
          <w:b/>
          <w:sz w:val="22"/>
          <w:szCs w:val="21"/>
        </w:rPr>
        <w:t>（二）</w:t>
      </w:r>
      <w:r>
        <w:rPr>
          <w:rFonts w:hint="eastAsia" w:ascii="宋体" w:hAnsi="宋体"/>
          <w:b/>
          <w:bCs/>
          <w:sz w:val="22"/>
          <w:szCs w:val="21"/>
        </w:rPr>
        <w:t>项目内容</w:t>
      </w:r>
    </w:p>
    <w:p>
      <w:pPr>
        <w:spacing w:line="360" w:lineRule="auto"/>
        <w:ind w:firstLine="440" w:firstLineChars="200"/>
        <w:rPr>
          <w:rFonts w:ascii="宋体" w:hAnsi="宋体"/>
          <w:sz w:val="22"/>
          <w:szCs w:val="21"/>
          <w:lang w:val="zh-CN"/>
        </w:rPr>
      </w:pPr>
      <w:r>
        <w:rPr>
          <w:rFonts w:hint="eastAsia" w:ascii="宋体" w:hAnsi="宋体"/>
          <w:sz w:val="22"/>
          <w:szCs w:val="21"/>
          <w:lang w:val="zh-CN"/>
        </w:rPr>
        <w:t>完成2023年第一批（共100名）前海港澳导游及领队执业岗前培训及认证，负责2023年第一批（共100名）前海港澳导游及领队执业管理事务性工作。乙方须根据《深圳前海深港现代服务业合作区港澳导游及领队执业备案暂行规定》及本项目内容，完成以下工作。</w:t>
      </w:r>
    </w:p>
    <w:p>
      <w:pPr>
        <w:spacing w:line="360" w:lineRule="auto"/>
        <w:ind w:firstLine="440" w:firstLineChars="200"/>
        <w:rPr>
          <w:rFonts w:ascii="宋体" w:hAnsi="宋体"/>
          <w:sz w:val="22"/>
          <w:szCs w:val="21"/>
          <w:lang w:val="zh-CN"/>
        </w:rPr>
      </w:pPr>
      <w:r>
        <w:rPr>
          <w:rFonts w:hint="eastAsia" w:ascii="宋体" w:hAnsi="宋体"/>
          <w:sz w:val="22"/>
          <w:szCs w:val="21"/>
          <w:lang w:val="zh-CN"/>
        </w:rPr>
        <w:t>（一）乙方协助甲方完成港澳导游及领队执业岗前培训及认证工作。包括：1.调研前海合作区内旅行社注册经营及港澳导游签约基本情况；2.配合梳理横琴合作区港澳导游及领队执业培训的有关经验；3.配合完成前海合作区旅游景点的导游词撰写及涉前海培训教材（非出版物）的编制；4.港澳导游及领队执业的岗前理论和实务培训；5.配合组织港澳导游报名参训、协助组织宣讲会、邀请培训及认证专家等。</w:t>
      </w:r>
    </w:p>
    <w:p>
      <w:pPr>
        <w:spacing w:line="360" w:lineRule="auto"/>
        <w:ind w:firstLine="440" w:firstLineChars="200"/>
        <w:rPr>
          <w:rFonts w:ascii="宋体" w:hAnsi="宋体"/>
          <w:sz w:val="22"/>
          <w:szCs w:val="21"/>
          <w:lang w:val="zh-CN"/>
        </w:rPr>
      </w:pPr>
      <w:r>
        <w:rPr>
          <w:rFonts w:hint="eastAsia" w:ascii="宋体" w:hAnsi="宋体"/>
          <w:sz w:val="22"/>
          <w:szCs w:val="21"/>
          <w:lang w:val="zh-CN"/>
        </w:rPr>
        <w:t>（二）乙方负责港澳导游及领队执业管理等事务性工作。包括：1.港澳导游及领队的报名初审、培训有关资料初审；2.配合发送港澳导游及领队的培训轮候通知；3.配合设计和寄发港澳导游及领队认证备案证书；4.配合全流程的宣传推广、沟通对接和备案归档等；5.保障线上培训考核会务等工作。</w:t>
      </w:r>
    </w:p>
    <w:p>
      <w:pPr>
        <w:spacing w:line="360" w:lineRule="auto"/>
        <w:ind w:firstLine="440" w:firstLineChars="200"/>
        <w:rPr>
          <w:rFonts w:ascii="宋体" w:hAnsi="宋体"/>
          <w:sz w:val="22"/>
          <w:szCs w:val="21"/>
          <w:lang w:val="zh-CN"/>
        </w:rPr>
      </w:pPr>
      <w:r>
        <w:rPr>
          <w:rFonts w:hint="eastAsia" w:ascii="宋体" w:hAnsi="宋体"/>
          <w:sz w:val="22"/>
          <w:szCs w:val="21"/>
          <w:lang w:val="zh-CN"/>
        </w:rPr>
        <w:t>（三）乙方结合政策要求和时间计划，协助甲方完善港澳导游及领队执业培训时间安排、培训方式调整等其他辅助工作。包括：1.按照培训时长24小时（理论培训16小时、前海实训8小时，安排在3个工作日进行）执行，具体时间可视疫情等情况调整。2.按照培训要求，采取线上方式进行港澳导游及领队的执业资格培训，具体形式可视疫情等情况调整。3.根据工作需要，本期最终接收培训的港澳导游及领队总人数100人。</w:t>
      </w:r>
    </w:p>
    <w:p>
      <w:pPr>
        <w:spacing w:line="360" w:lineRule="auto"/>
        <w:ind w:firstLine="442" w:firstLineChars="200"/>
        <w:rPr>
          <w:rFonts w:ascii="宋体" w:hAnsi="宋体"/>
          <w:b/>
          <w:sz w:val="22"/>
          <w:szCs w:val="21"/>
          <w:lang w:val="zh-CN"/>
        </w:rPr>
      </w:pPr>
      <w:r>
        <w:rPr>
          <w:rFonts w:hint="eastAsia" w:ascii="宋体" w:hAnsi="宋体"/>
          <w:b/>
          <w:sz w:val="22"/>
          <w:szCs w:val="21"/>
          <w:lang w:val="zh-CN"/>
        </w:rPr>
        <w:t>二、项目服务期限</w:t>
      </w:r>
    </w:p>
    <w:p>
      <w:pPr>
        <w:spacing w:line="360" w:lineRule="auto"/>
        <w:ind w:firstLine="440" w:firstLineChars="200"/>
        <w:rPr>
          <w:rFonts w:ascii="宋体" w:hAnsi="宋体"/>
          <w:bCs/>
          <w:sz w:val="22"/>
          <w:szCs w:val="21"/>
        </w:rPr>
      </w:pPr>
      <w:r>
        <w:rPr>
          <w:rFonts w:hint="eastAsia" w:ascii="宋体" w:hAnsi="宋体"/>
          <w:bCs/>
          <w:sz w:val="22"/>
          <w:szCs w:val="21"/>
        </w:rPr>
        <w:t>本项目工作期限为自合同签订之日起至 2023年7月31日止。后续服务期自2023年8月1日起至2023年12月31日止。</w:t>
      </w:r>
    </w:p>
    <w:p>
      <w:pPr>
        <w:spacing w:line="360" w:lineRule="auto"/>
        <w:ind w:firstLine="442" w:firstLineChars="200"/>
        <w:rPr>
          <w:rFonts w:ascii="宋体" w:hAnsi="宋体"/>
          <w:b/>
          <w:sz w:val="22"/>
          <w:szCs w:val="21"/>
        </w:rPr>
      </w:pPr>
      <w:r>
        <w:rPr>
          <w:rFonts w:hint="eastAsia" w:ascii="宋体" w:hAnsi="宋体"/>
          <w:b/>
          <w:sz w:val="22"/>
          <w:szCs w:val="21"/>
        </w:rPr>
        <w:t>三、项目验收材料及验收方式</w:t>
      </w:r>
    </w:p>
    <w:p>
      <w:pPr>
        <w:spacing w:line="360" w:lineRule="auto"/>
        <w:ind w:firstLine="440" w:firstLineChars="200"/>
        <w:rPr>
          <w:rFonts w:ascii="宋体" w:hAnsi="宋体"/>
          <w:bCs/>
          <w:sz w:val="22"/>
          <w:szCs w:val="21"/>
        </w:rPr>
      </w:pPr>
      <w:r>
        <w:rPr>
          <w:rFonts w:hint="eastAsia" w:ascii="宋体" w:hAnsi="宋体"/>
          <w:bCs/>
          <w:sz w:val="22"/>
          <w:szCs w:val="21"/>
        </w:rPr>
        <w:t>（一）验收材料</w:t>
      </w:r>
    </w:p>
    <w:p>
      <w:pPr>
        <w:spacing w:line="360" w:lineRule="auto"/>
        <w:ind w:firstLine="440" w:firstLineChars="200"/>
        <w:rPr>
          <w:rFonts w:ascii="宋体" w:hAnsi="宋体"/>
          <w:bCs/>
          <w:sz w:val="22"/>
          <w:szCs w:val="21"/>
        </w:rPr>
      </w:pPr>
      <w:r>
        <w:rPr>
          <w:rFonts w:hint="eastAsia" w:ascii="宋体" w:hAnsi="宋体"/>
          <w:bCs/>
          <w:sz w:val="22"/>
          <w:szCs w:val="21"/>
        </w:rPr>
        <w:t>最终材料及成果构成如下（包括但不限于）：</w:t>
      </w:r>
    </w:p>
    <w:p>
      <w:pPr>
        <w:spacing w:line="360" w:lineRule="auto"/>
        <w:ind w:firstLine="440" w:firstLineChars="200"/>
        <w:rPr>
          <w:rFonts w:ascii="宋体" w:hAnsi="宋体"/>
          <w:bCs/>
          <w:sz w:val="22"/>
          <w:szCs w:val="21"/>
        </w:rPr>
      </w:pPr>
      <w:r>
        <w:rPr>
          <w:rFonts w:hint="eastAsia" w:ascii="宋体" w:hAnsi="宋体"/>
          <w:bCs/>
          <w:sz w:val="22"/>
          <w:szCs w:val="21"/>
        </w:rPr>
        <w:t>1.提供培训及认证专家名单及简介、专家培训原创课件、线上培训录制视频、线上培训签到表和寄发认证证书证明，上述材料提供电子版。</w:t>
      </w:r>
    </w:p>
    <w:p>
      <w:pPr>
        <w:spacing w:line="360" w:lineRule="auto"/>
        <w:ind w:firstLine="440" w:firstLineChars="200"/>
        <w:rPr>
          <w:rFonts w:ascii="宋体" w:hAnsi="宋体"/>
          <w:bCs/>
          <w:sz w:val="22"/>
          <w:szCs w:val="21"/>
        </w:rPr>
      </w:pPr>
      <w:r>
        <w:rPr>
          <w:rFonts w:hint="eastAsia" w:ascii="宋体" w:hAnsi="宋体"/>
          <w:bCs/>
          <w:sz w:val="22"/>
          <w:szCs w:val="21"/>
        </w:rPr>
        <w:t>2.前海合作区港澳导游执业考试试题、考试成绩证明及合格证明、认证证书扫描件，上述材料提供电子版和纸质版（纸质版加盖公章）。</w:t>
      </w:r>
    </w:p>
    <w:p>
      <w:pPr>
        <w:spacing w:line="360" w:lineRule="auto"/>
        <w:ind w:firstLine="440" w:firstLineChars="200"/>
        <w:rPr>
          <w:rFonts w:ascii="宋体" w:hAnsi="宋体"/>
          <w:bCs/>
          <w:sz w:val="22"/>
          <w:szCs w:val="21"/>
        </w:rPr>
      </w:pPr>
      <w:r>
        <w:rPr>
          <w:rFonts w:hint="eastAsia" w:ascii="宋体" w:hAnsi="宋体"/>
          <w:bCs/>
          <w:sz w:val="22"/>
          <w:szCs w:val="21"/>
        </w:rPr>
        <w:t>3.前海合作区旅游景点导游词、港澳导游及领队执业培训课程中涉及前海培训教材，上述材料提供电子版和纸质版（纸质版加盖公章）。</w:t>
      </w:r>
    </w:p>
    <w:p>
      <w:pPr>
        <w:spacing w:line="360" w:lineRule="auto"/>
        <w:ind w:firstLine="440" w:firstLineChars="200"/>
        <w:rPr>
          <w:rFonts w:ascii="宋体" w:hAnsi="宋体"/>
          <w:bCs/>
          <w:sz w:val="22"/>
          <w:szCs w:val="21"/>
        </w:rPr>
      </w:pPr>
      <w:r>
        <w:rPr>
          <w:rFonts w:hint="eastAsia" w:ascii="宋体" w:hAnsi="宋体"/>
          <w:bCs/>
          <w:sz w:val="22"/>
          <w:szCs w:val="21"/>
        </w:rPr>
        <w:t>4.在合同履行过程中，经甲乙双方同意，可对最终验收材料及成果的构成进行调整。</w:t>
      </w:r>
    </w:p>
    <w:p>
      <w:pPr>
        <w:spacing w:line="360" w:lineRule="auto"/>
        <w:ind w:firstLine="440" w:firstLineChars="200"/>
        <w:rPr>
          <w:rFonts w:ascii="宋体" w:hAnsi="宋体"/>
          <w:bCs/>
          <w:sz w:val="22"/>
          <w:szCs w:val="21"/>
        </w:rPr>
      </w:pPr>
      <w:r>
        <w:rPr>
          <w:rFonts w:hint="eastAsia" w:ascii="宋体" w:hAnsi="宋体"/>
          <w:bCs/>
          <w:sz w:val="22"/>
          <w:szCs w:val="21"/>
        </w:rPr>
        <w:t>（二）验收方式</w:t>
      </w:r>
    </w:p>
    <w:p>
      <w:pPr>
        <w:spacing w:line="360" w:lineRule="auto"/>
        <w:ind w:firstLine="440" w:firstLineChars="200"/>
        <w:rPr>
          <w:rFonts w:ascii="宋体" w:hAnsi="宋体"/>
          <w:bCs/>
          <w:sz w:val="22"/>
          <w:szCs w:val="21"/>
        </w:rPr>
      </w:pPr>
      <w:r>
        <w:rPr>
          <w:rFonts w:hint="eastAsia" w:ascii="宋体" w:hAnsi="宋体"/>
          <w:bCs/>
          <w:sz w:val="22"/>
          <w:szCs w:val="21"/>
        </w:rPr>
        <w:t>最终成果验收合格的标志为：</w:t>
      </w:r>
    </w:p>
    <w:p>
      <w:pPr>
        <w:spacing w:line="360" w:lineRule="auto"/>
        <w:ind w:firstLine="440" w:firstLineChars="200"/>
        <w:rPr>
          <w:rFonts w:ascii="宋体" w:hAnsi="宋体"/>
          <w:bCs/>
          <w:sz w:val="22"/>
          <w:szCs w:val="21"/>
        </w:rPr>
      </w:pPr>
      <w:r>
        <w:rPr>
          <w:rFonts w:hint="eastAsia" w:ascii="宋体" w:hAnsi="宋体"/>
          <w:bCs/>
          <w:sz w:val="22"/>
          <w:szCs w:val="21"/>
        </w:rPr>
        <w:t>乙方提出验收申请，根据签订合同具体要求甲方验收并出具项目验收证明。</w:t>
      </w:r>
    </w:p>
    <w:p>
      <w:pPr>
        <w:spacing w:line="360" w:lineRule="auto"/>
        <w:ind w:firstLine="440" w:firstLineChars="200"/>
        <w:rPr>
          <w:rFonts w:ascii="宋体" w:hAnsi="宋体"/>
          <w:bCs/>
          <w:sz w:val="22"/>
          <w:szCs w:val="21"/>
        </w:rPr>
      </w:pPr>
      <w:r>
        <w:rPr>
          <w:rFonts w:hint="eastAsia" w:ascii="宋体" w:hAnsi="宋体"/>
          <w:bCs/>
          <w:sz w:val="22"/>
          <w:szCs w:val="21"/>
        </w:rPr>
        <w:t>（三）后续服务</w:t>
      </w:r>
    </w:p>
    <w:p>
      <w:pPr>
        <w:spacing w:line="360" w:lineRule="auto"/>
        <w:ind w:firstLine="440" w:firstLineChars="200"/>
        <w:rPr>
          <w:rFonts w:ascii="宋体" w:hAnsi="宋体"/>
          <w:bCs/>
          <w:sz w:val="22"/>
          <w:szCs w:val="21"/>
        </w:rPr>
      </w:pPr>
      <w:r>
        <w:rPr>
          <w:rFonts w:hint="eastAsia" w:ascii="宋体" w:hAnsi="宋体"/>
          <w:bCs/>
          <w:sz w:val="22"/>
          <w:szCs w:val="21"/>
        </w:rPr>
        <w:t>乙方提交的本项目最终验收材料及成果通过甲方审查验收之日起</w:t>
      </w:r>
      <w:r>
        <w:rPr>
          <w:rFonts w:hint="eastAsia" w:ascii="宋体" w:hAnsi="宋体"/>
          <w:bCs/>
          <w:sz w:val="22"/>
          <w:szCs w:val="21"/>
          <w:u w:val="single"/>
        </w:rPr>
        <w:t>5个月</w:t>
      </w:r>
      <w:r>
        <w:rPr>
          <w:rFonts w:hint="eastAsia" w:ascii="宋体" w:hAnsi="宋体"/>
          <w:bCs/>
          <w:sz w:val="22"/>
          <w:szCs w:val="21"/>
        </w:rPr>
        <w:t>为本合同后续服务期。服务期内乙方应向甲方提供后续的专业咨询服务。</w:t>
      </w:r>
    </w:p>
    <w:p>
      <w:pPr>
        <w:spacing w:line="360" w:lineRule="auto"/>
        <w:ind w:firstLine="442" w:firstLineChars="200"/>
        <w:rPr>
          <w:rFonts w:ascii="宋体" w:hAnsi="宋体"/>
          <w:b/>
          <w:bCs/>
          <w:sz w:val="22"/>
          <w:szCs w:val="21"/>
        </w:rPr>
      </w:pPr>
      <w:r>
        <w:rPr>
          <w:rFonts w:hint="eastAsia" w:ascii="宋体" w:hAnsi="宋体"/>
          <w:b/>
          <w:bCs/>
          <w:sz w:val="22"/>
          <w:szCs w:val="21"/>
        </w:rPr>
        <w:t>四、双方的权利义务</w:t>
      </w:r>
    </w:p>
    <w:p>
      <w:pPr>
        <w:spacing w:line="360" w:lineRule="auto"/>
        <w:ind w:firstLine="440" w:firstLineChars="200"/>
        <w:rPr>
          <w:rFonts w:ascii="宋体" w:hAnsi="宋体"/>
          <w:sz w:val="22"/>
          <w:szCs w:val="21"/>
        </w:rPr>
      </w:pPr>
      <w:r>
        <w:rPr>
          <w:rFonts w:hint="eastAsia" w:ascii="宋体" w:hAnsi="宋体"/>
          <w:sz w:val="22"/>
          <w:szCs w:val="21"/>
        </w:rPr>
        <w:t>（一）甲方的权利义务</w:t>
      </w:r>
    </w:p>
    <w:p>
      <w:pPr>
        <w:spacing w:line="360" w:lineRule="auto"/>
        <w:ind w:firstLine="440" w:firstLineChars="200"/>
        <w:rPr>
          <w:rFonts w:ascii="宋体" w:hAnsi="宋体"/>
          <w:sz w:val="22"/>
          <w:szCs w:val="21"/>
        </w:rPr>
      </w:pPr>
      <w:r>
        <w:rPr>
          <w:rFonts w:hint="eastAsia" w:ascii="宋体" w:hAnsi="宋体"/>
          <w:sz w:val="22"/>
          <w:szCs w:val="21"/>
        </w:rPr>
        <w:t>1.甲方有权向乙方询问项目工作进展及相关情况，并要求乙方在指定时间内做出答复。</w:t>
      </w:r>
    </w:p>
    <w:p>
      <w:pPr>
        <w:spacing w:line="360" w:lineRule="auto"/>
        <w:ind w:firstLine="440" w:firstLineChars="200"/>
        <w:rPr>
          <w:rFonts w:ascii="宋体" w:hAnsi="宋体"/>
          <w:sz w:val="22"/>
          <w:szCs w:val="21"/>
        </w:rPr>
      </w:pPr>
      <w:r>
        <w:rPr>
          <w:rFonts w:hint="eastAsia" w:ascii="宋体" w:hAnsi="宋体"/>
          <w:sz w:val="22"/>
          <w:szCs w:val="21"/>
        </w:rPr>
        <w:t>2.甲方有权对乙方提交的阶段性成果、最终成果送审稿等相关文件进行审核并提出修改意见。</w:t>
      </w:r>
    </w:p>
    <w:p>
      <w:pPr>
        <w:spacing w:line="360" w:lineRule="auto"/>
        <w:ind w:firstLine="440" w:firstLineChars="200"/>
        <w:rPr>
          <w:rFonts w:ascii="宋体" w:hAnsi="宋体"/>
          <w:sz w:val="22"/>
          <w:szCs w:val="21"/>
        </w:rPr>
      </w:pPr>
      <w:r>
        <w:rPr>
          <w:rFonts w:hint="eastAsia" w:ascii="宋体" w:hAnsi="宋体"/>
          <w:sz w:val="22"/>
          <w:szCs w:val="21"/>
        </w:rPr>
        <w:t>3.如甲方确认乙方工作人员未按照本合同要求履行职责，甲方有权要求乙方限期更换人员，直至终止合同并要求乙方承担相应赔偿责任。</w:t>
      </w:r>
    </w:p>
    <w:p>
      <w:pPr>
        <w:spacing w:line="360" w:lineRule="auto"/>
        <w:ind w:firstLine="440" w:firstLineChars="200"/>
        <w:rPr>
          <w:rFonts w:ascii="宋体" w:hAnsi="宋体"/>
          <w:sz w:val="22"/>
          <w:szCs w:val="21"/>
        </w:rPr>
      </w:pPr>
      <w:r>
        <w:rPr>
          <w:rFonts w:hint="eastAsia" w:ascii="宋体" w:hAnsi="宋体"/>
          <w:sz w:val="22"/>
          <w:szCs w:val="21"/>
        </w:rPr>
        <w:t>4.甲方对乙方在委托权限范围内完成委托事项有指导、监督权利。</w:t>
      </w:r>
    </w:p>
    <w:p>
      <w:pPr>
        <w:spacing w:line="360" w:lineRule="auto"/>
        <w:ind w:firstLine="440" w:firstLineChars="200"/>
        <w:rPr>
          <w:rFonts w:ascii="宋体" w:hAnsi="宋体"/>
          <w:sz w:val="22"/>
          <w:szCs w:val="21"/>
        </w:rPr>
      </w:pPr>
      <w:r>
        <w:rPr>
          <w:rFonts w:hint="eastAsia" w:ascii="宋体" w:hAnsi="宋体"/>
          <w:sz w:val="22"/>
          <w:szCs w:val="21"/>
        </w:rPr>
        <w:t>5.甲方有权要求乙方全面履行合同。甲方不接受部分履行，如本合同项下部分成果文件未能按时交付则视为整体延误。</w:t>
      </w:r>
    </w:p>
    <w:p>
      <w:pPr>
        <w:spacing w:line="360" w:lineRule="auto"/>
        <w:ind w:firstLine="440" w:firstLineChars="200"/>
        <w:rPr>
          <w:rFonts w:ascii="宋体" w:hAnsi="宋体"/>
          <w:sz w:val="22"/>
          <w:szCs w:val="21"/>
        </w:rPr>
      </w:pPr>
      <w:r>
        <w:rPr>
          <w:rFonts w:hint="eastAsia" w:ascii="宋体" w:hAnsi="宋体"/>
          <w:sz w:val="22"/>
          <w:szCs w:val="21"/>
        </w:rPr>
        <w:t>6.如乙方所提供的项目成果不符合本合同的要求，甲方有权要求乙方重新执行相应的工作服务，由此产生的全部费用由乙方自行承担，同时，甲方的付款时间相应顺延。</w:t>
      </w:r>
    </w:p>
    <w:p>
      <w:pPr>
        <w:spacing w:line="360" w:lineRule="auto"/>
        <w:ind w:firstLine="440" w:firstLineChars="200"/>
        <w:rPr>
          <w:rFonts w:ascii="宋体" w:hAnsi="宋体"/>
          <w:sz w:val="22"/>
          <w:szCs w:val="21"/>
        </w:rPr>
      </w:pPr>
      <w:r>
        <w:rPr>
          <w:rFonts w:hint="eastAsia" w:ascii="宋体" w:hAnsi="宋体"/>
          <w:sz w:val="22"/>
          <w:szCs w:val="21"/>
        </w:rPr>
        <w:t>7.甲方要求乙方比本合同约定时间提前交付成果时，须征得乙方同意。因此而增加工作量，经协商确认，甲方应向乙方支付必要的费用。</w:t>
      </w:r>
    </w:p>
    <w:p>
      <w:pPr>
        <w:spacing w:line="360" w:lineRule="auto"/>
        <w:ind w:firstLine="440" w:firstLineChars="200"/>
        <w:rPr>
          <w:rFonts w:ascii="宋体" w:hAnsi="宋体"/>
          <w:sz w:val="22"/>
          <w:szCs w:val="21"/>
        </w:rPr>
      </w:pPr>
      <w:r>
        <w:rPr>
          <w:rFonts w:hint="eastAsia" w:ascii="宋体" w:hAnsi="宋体"/>
          <w:sz w:val="22"/>
          <w:szCs w:val="21"/>
        </w:rPr>
        <w:t>8. 甲方应将项目所需相关档案资料、信息数据等移交给乙方，并要求乙方签收甲方提供的材料清单。</w:t>
      </w:r>
    </w:p>
    <w:p>
      <w:pPr>
        <w:spacing w:line="360" w:lineRule="auto"/>
        <w:ind w:firstLine="440" w:firstLineChars="200"/>
        <w:rPr>
          <w:rFonts w:ascii="宋体" w:hAnsi="宋体"/>
          <w:sz w:val="22"/>
          <w:szCs w:val="21"/>
        </w:rPr>
      </w:pPr>
      <w:r>
        <w:rPr>
          <w:rFonts w:hint="eastAsia" w:ascii="宋体" w:hAnsi="宋体"/>
          <w:sz w:val="22"/>
          <w:szCs w:val="21"/>
        </w:rPr>
        <w:t>9.甲方应按照本合同的约定向乙方支付服务费用。</w:t>
      </w:r>
    </w:p>
    <w:p>
      <w:pPr>
        <w:spacing w:line="360" w:lineRule="auto"/>
        <w:ind w:firstLine="440" w:firstLineChars="200"/>
        <w:rPr>
          <w:rFonts w:ascii="宋体" w:hAnsi="宋体"/>
          <w:sz w:val="22"/>
          <w:szCs w:val="21"/>
        </w:rPr>
      </w:pPr>
      <w:r>
        <w:rPr>
          <w:rFonts w:hint="eastAsia" w:ascii="宋体" w:hAnsi="宋体"/>
          <w:sz w:val="22"/>
          <w:szCs w:val="21"/>
        </w:rPr>
        <w:t>（二）乙方的权利义务</w:t>
      </w:r>
    </w:p>
    <w:p>
      <w:pPr>
        <w:spacing w:line="360" w:lineRule="auto"/>
        <w:ind w:firstLine="440" w:firstLineChars="200"/>
        <w:rPr>
          <w:rFonts w:ascii="宋体" w:hAnsi="宋体"/>
          <w:sz w:val="22"/>
          <w:szCs w:val="21"/>
        </w:rPr>
      </w:pPr>
      <w:r>
        <w:rPr>
          <w:rFonts w:hint="eastAsia" w:ascii="宋体" w:hAnsi="宋体"/>
          <w:sz w:val="22"/>
          <w:szCs w:val="21"/>
        </w:rPr>
        <w:t>1. 为保证项目成果的质量，乙方在合同履行期间，应按照本项目工作内容要求组织专家队伍，成立项目研究组（项目组名单见附件1）。项目负责人负责对项目实施全过程进行组织和指导，并承担项目研究的实质性工作。负责人及相关工作人员名单在甲方确认后如需更换，乙方应事先征得甲方的书面同意，且接替的工作人员的职位、资历、资质应与原定工作人员相当，否则，每擅自更换一个项目团队成员，乙方应向甲方支付本合同总价款5%的违约金。</w:t>
      </w:r>
    </w:p>
    <w:p>
      <w:pPr>
        <w:spacing w:line="360" w:lineRule="auto"/>
        <w:ind w:firstLine="440" w:firstLineChars="200"/>
        <w:rPr>
          <w:rFonts w:ascii="宋体" w:hAnsi="宋体"/>
          <w:sz w:val="22"/>
          <w:szCs w:val="21"/>
        </w:rPr>
      </w:pPr>
      <w:r>
        <w:rPr>
          <w:rFonts w:hint="eastAsia" w:ascii="宋体" w:hAnsi="宋体"/>
          <w:sz w:val="22"/>
          <w:szCs w:val="21"/>
        </w:rPr>
        <w:t>2．乙方应接受甲方对工作进展的询问、监督和指导，严格按本合同约定的内容、标准和期限完成项目研究工作，并向甲方提交项目研究成果。项目工作完成后，乙方应按照甲方要求将完成本项目的工作总结和相关台帐资料交给甲方。</w:t>
      </w:r>
    </w:p>
    <w:p>
      <w:pPr>
        <w:spacing w:line="360" w:lineRule="auto"/>
        <w:ind w:firstLine="440" w:firstLineChars="200"/>
        <w:rPr>
          <w:rFonts w:ascii="宋体" w:hAnsi="宋体"/>
          <w:sz w:val="22"/>
          <w:szCs w:val="21"/>
        </w:rPr>
      </w:pPr>
      <w:r>
        <w:rPr>
          <w:rFonts w:hint="eastAsia" w:ascii="宋体" w:hAnsi="宋体"/>
          <w:sz w:val="22"/>
          <w:szCs w:val="21"/>
        </w:rPr>
        <w:t>3.乙方应采取必要措施配合甲方验收人员的工作,对于验收过程中发现的问题，乙方应在发现问题之日起3天内进行改正，以符合甲方的需要。</w:t>
      </w:r>
    </w:p>
    <w:p>
      <w:pPr>
        <w:spacing w:line="360" w:lineRule="auto"/>
        <w:ind w:firstLine="440" w:firstLineChars="200"/>
        <w:rPr>
          <w:rFonts w:ascii="宋体" w:hAnsi="宋体"/>
          <w:sz w:val="22"/>
          <w:szCs w:val="21"/>
        </w:rPr>
      </w:pPr>
      <w:r>
        <w:rPr>
          <w:rFonts w:hint="eastAsia" w:ascii="宋体" w:hAnsi="宋体"/>
          <w:sz w:val="22"/>
          <w:szCs w:val="21"/>
        </w:rPr>
        <w:t>4.乙方有维护甲方声誉的义务，乙方不能以甲方名义从事与本项目无关的任何事务，否则甲方有权追究其相关责任。</w:t>
      </w:r>
    </w:p>
    <w:p>
      <w:pPr>
        <w:spacing w:line="360" w:lineRule="auto"/>
        <w:ind w:firstLine="440" w:firstLineChars="200"/>
        <w:rPr>
          <w:rFonts w:ascii="宋体" w:hAnsi="宋体"/>
          <w:sz w:val="22"/>
          <w:szCs w:val="21"/>
        </w:rPr>
      </w:pPr>
      <w:r>
        <w:rPr>
          <w:rFonts w:hint="eastAsia" w:ascii="宋体" w:hAnsi="宋体"/>
          <w:sz w:val="22"/>
          <w:szCs w:val="21"/>
        </w:rPr>
        <w:t>5.乙方应独立完成本项目。未经甲方书面在先同意，乙方不得向任何第三方全部或部分转让本项目。</w:t>
      </w:r>
    </w:p>
    <w:p>
      <w:pPr>
        <w:spacing w:line="360" w:lineRule="auto"/>
        <w:ind w:firstLine="440" w:firstLineChars="200"/>
        <w:rPr>
          <w:rFonts w:ascii="宋体" w:hAnsi="宋体"/>
          <w:sz w:val="22"/>
          <w:szCs w:val="21"/>
        </w:rPr>
      </w:pPr>
      <w:r>
        <w:rPr>
          <w:rFonts w:hint="eastAsia" w:ascii="宋体" w:hAnsi="宋体"/>
          <w:sz w:val="22"/>
          <w:szCs w:val="21"/>
        </w:rPr>
        <w:t>6.本合同期满或提前解除、终止后，乙方应将甲方的档案资料、信息数据等交还甲方，并应销毁或删除所有备份。</w:t>
      </w:r>
    </w:p>
    <w:p>
      <w:pPr>
        <w:spacing w:line="360" w:lineRule="auto"/>
        <w:ind w:firstLine="440" w:firstLineChars="200"/>
        <w:rPr>
          <w:rFonts w:ascii="宋体" w:hAnsi="宋体"/>
          <w:sz w:val="22"/>
          <w:szCs w:val="21"/>
        </w:rPr>
      </w:pPr>
      <w:r>
        <w:rPr>
          <w:rFonts w:hint="eastAsia" w:ascii="宋体" w:hAnsi="宋体"/>
          <w:sz w:val="22"/>
          <w:szCs w:val="21"/>
        </w:rPr>
        <w:t>7.乙方对其工作人员在合同履行期间的一切行为负责，期间发生的一切安全事故责任、其他人身损害意外及因此发生的人身损害赔偿和其他费用由乙方自行承担，一概与甲方无关。若因乙方工作人员的行为导致甲方支付赔偿或其他费用，乙方应当全部偿还给甲方。</w:t>
      </w:r>
    </w:p>
    <w:p>
      <w:pPr>
        <w:spacing w:line="360" w:lineRule="auto"/>
        <w:ind w:firstLine="440" w:firstLineChars="200"/>
        <w:rPr>
          <w:rFonts w:ascii="宋体" w:hAnsi="宋体"/>
          <w:sz w:val="22"/>
          <w:szCs w:val="21"/>
        </w:rPr>
      </w:pPr>
      <w:r>
        <w:rPr>
          <w:rFonts w:hint="eastAsia" w:ascii="宋体" w:hAnsi="宋体"/>
          <w:sz w:val="22"/>
          <w:szCs w:val="21"/>
        </w:rPr>
        <w:t>8.乙方在完成本项目过程中，不得损害其他任何第三方的知识产权等合法权益，否则由此造成的相关责任应当由乙方自行承担，与甲方无关。</w:t>
      </w:r>
    </w:p>
    <w:p>
      <w:pPr>
        <w:spacing w:line="360" w:lineRule="auto"/>
        <w:ind w:firstLine="440" w:firstLineChars="200"/>
        <w:rPr>
          <w:rFonts w:ascii="宋体" w:hAnsi="宋体"/>
          <w:sz w:val="22"/>
          <w:szCs w:val="21"/>
        </w:rPr>
      </w:pPr>
      <w:r>
        <w:rPr>
          <w:rFonts w:hint="eastAsia" w:ascii="宋体" w:hAnsi="宋体"/>
          <w:sz w:val="22"/>
          <w:szCs w:val="21"/>
        </w:rPr>
        <w:t>9.针对甲方就乙方提交的工作报告等相关文件提出的修改意见，乙方应当在甲方指定的修改时间内完成修改。</w:t>
      </w:r>
    </w:p>
    <w:p>
      <w:pPr>
        <w:spacing w:line="360" w:lineRule="auto"/>
        <w:ind w:firstLine="440" w:firstLineChars="200"/>
        <w:rPr>
          <w:rFonts w:ascii="宋体" w:hAnsi="宋体"/>
          <w:sz w:val="22"/>
          <w:szCs w:val="21"/>
        </w:rPr>
      </w:pPr>
      <w:r>
        <w:rPr>
          <w:rFonts w:hint="eastAsia" w:ascii="宋体" w:hAnsi="宋体"/>
          <w:sz w:val="22"/>
          <w:szCs w:val="21"/>
        </w:rPr>
        <w:t>10.乙方在履行本合同条款时应指派一名人员代表乙方作为指定项目联系人与甲方对接资料并统筹乙方相关研究和调研工作。</w:t>
      </w:r>
    </w:p>
    <w:p>
      <w:pPr>
        <w:spacing w:line="360" w:lineRule="auto"/>
        <w:ind w:firstLine="440" w:firstLineChars="200"/>
        <w:rPr>
          <w:rFonts w:ascii="宋体" w:hAnsi="宋体"/>
          <w:sz w:val="22"/>
          <w:szCs w:val="21"/>
        </w:rPr>
      </w:pPr>
      <w:r>
        <w:rPr>
          <w:rFonts w:hint="eastAsia" w:ascii="宋体" w:hAnsi="宋体"/>
          <w:sz w:val="22"/>
          <w:szCs w:val="21"/>
        </w:rPr>
        <w:t>11.乙方指定项目联系人</w:t>
      </w:r>
    </w:p>
    <w:p>
      <w:pPr>
        <w:spacing w:line="360" w:lineRule="auto"/>
        <w:ind w:firstLine="440" w:firstLineChars="200"/>
        <w:rPr>
          <w:rFonts w:ascii="宋体" w:hAnsi="宋体"/>
          <w:sz w:val="22"/>
          <w:szCs w:val="21"/>
        </w:rPr>
      </w:pPr>
      <w:r>
        <w:rPr>
          <w:rFonts w:hint="eastAsia" w:ascii="宋体" w:hAnsi="宋体"/>
          <w:sz w:val="22"/>
          <w:szCs w:val="21"/>
        </w:rPr>
        <w:t>姓名：</w:t>
      </w:r>
    </w:p>
    <w:p>
      <w:pPr>
        <w:spacing w:line="360" w:lineRule="auto"/>
        <w:ind w:firstLine="440" w:firstLineChars="200"/>
        <w:rPr>
          <w:rFonts w:ascii="宋体" w:hAnsi="宋体"/>
          <w:sz w:val="22"/>
          <w:szCs w:val="21"/>
        </w:rPr>
      </w:pPr>
      <w:r>
        <w:rPr>
          <w:rFonts w:hint="eastAsia" w:ascii="宋体" w:hAnsi="宋体"/>
          <w:sz w:val="22"/>
          <w:szCs w:val="21"/>
        </w:rPr>
        <w:t>联系方式：</w:t>
      </w:r>
    </w:p>
    <w:p>
      <w:pPr>
        <w:spacing w:line="360" w:lineRule="auto"/>
        <w:ind w:firstLine="442" w:firstLineChars="200"/>
        <w:rPr>
          <w:rFonts w:ascii="宋体" w:hAnsi="宋体"/>
          <w:b/>
          <w:bCs/>
          <w:sz w:val="22"/>
          <w:szCs w:val="21"/>
        </w:rPr>
      </w:pPr>
      <w:r>
        <w:rPr>
          <w:rFonts w:hint="eastAsia" w:ascii="宋体" w:hAnsi="宋体"/>
          <w:b/>
          <w:bCs/>
          <w:sz w:val="22"/>
          <w:szCs w:val="21"/>
        </w:rPr>
        <w:t>五、项目服务费用及付款方式</w:t>
      </w:r>
    </w:p>
    <w:p>
      <w:pPr>
        <w:spacing w:line="360" w:lineRule="auto"/>
        <w:ind w:firstLine="440" w:firstLineChars="200"/>
        <w:rPr>
          <w:rFonts w:ascii="宋体" w:hAnsi="宋体"/>
          <w:b/>
          <w:bCs/>
          <w:sz w:val="22"/>
          <w:szCs w:val="21"/>
        </w:rPr>
      </w:pPr>
      <w:r>
        <w:rPr>
          <w:rFonts w:hint="eastAsia" w:ascii="宋体" w:hAnsi="宋体"/>
          <w:sz w:val="22"/>
          <w:szCs w:val="21"/>
        </w:rPr>
        <w:t>（一）本合同项下服务费总金额共计人民币</w:t>
      </w:r>
      <w:r>
        <w:rPr>
          <w:rFonts w:ascii="宋体" w:hAnsi="宋体"/>
          <w:sz w:val="22"/>
          <w:szCs w:val="21"/>
          <w:u w:val="single"/>
        </w:rPr>
        <w:t xml:space="preserve"> </w:t>
      </w:r>
      <w:r>
        <w:rPr>
          <w:rFonts w:hint="eastAsia" w:ascii="宋体" w:hAnsi="宋体"/>
          <w:sz w:val="22"/>
          <w:szCs w:val="21"/>
          <w:u w:val="single"/>
        </w:rPr>
        <w:t xml:space="preserve">¥ </w:t>
      </w:r>
      <w:r>
        <w:rPr>
          <w:rFonts w:ascii="宋体" w:hAnsi="宋体"/>
          <w:sz w:val="22"/>
          <w:szCs w:val="21"/>
          <w:u w:val="single"/>
        </w:rPr>
        <w:t>（人民币</w:t>
      </w:r>
      <w:r>
        <w:rPr>
          <w:rFonts w:hint="eastAsia" w:ascii="宋体" w:hAnsi="宋体"/>
          <w:sz w:val="22"/>
          <w:szCs w:val="21"/>
          <w:u w:val="single"/>
        </w:rPr>
        <w:t xml:space="preserve">  元</w:t>
      </w:r>
      <w:r>
        <w:rPr>
          <w:rFonts w:ascii="宋体" w:hAnsi="宋体"/>
          <w:sz w:val="22"/>
          <w:szCs w:val="21"/>
          <w:u w:val="single"/>
        </w:rPr>
        <w:t>整）</w:t>
      </w:r>
      <w:r>
        <w:rPr>
          <w:rFonts w:hint="eastAsia" w:ascii="宋体" w:hAnsi="宋体"/>
          <w:sz w:val="22"/>
          <w:szCs w:val="21"/>
        </w:rPr>
        <w:t>（含税）。服务费已包含乙方提供本合同项下服务的全部费用。包括但不限于如下内容：1.岗前培训讲师费、培训助理费用、导游词编写、审核费用、教材编制、审核费用、培训课程拍摄、剪辑制作费用；2.培训认证笔试专家出题费、面试考核费；3.100人认证证书、专用证件邮寄费等费用；4.乙方工作人员工资、差旅费；5.乙方的办公、通讯、交通费用；6.服务费；7.本合同项下产生的一切税费；8.本合同项下产生的其他合理费用。</w:t>
      </w:r>
    </w:p>
    <w:p>
      <w:pPr>
        <w:spacing w:line="360" w:lineRule="auto"/>
        <w:ind w:firstLine="440" w:firstLineChars="200"/>
        <w:rPr>
          <w:rFonts w:ascii="宋体" w:hAnsi="宋体"/>
          <w:sz w:val="22"/>
          <w:szCs w:val="21"/>
        </w:rPr>
      </w:pPr>
      <w:r>
        <w:rPr>
          <w:rFonts w:hint="eastAsia" w:ascii="宋体" w:hAnsi="宋体"/>
          <w:sz w:val="22"/>
          <w:szCs w:val="21"/>
        </w:rPr>
        <w:t>（二）付款方式：</w:t>
      </w:r>
    </w:p>
    <w:p>
      <w:pPr>
        <w:spacing w:line="360" w:lineRule="auto"/>
        <w:ind w:firstLine="440" w:firstLineChars="200"/>
        <w:rPr>
          <w:rFonts w:ascii="宋体" w:hAnsi="宋体"/>
          <w:sz w:val="22"/>
          <w:szCs w:val="21"/>
        </w:rPr>
      </w:pPr>
      <w:r>
        <w:rPr>
          <w:rFonts w:hint="eastAsia" w:ascii="宋体" w:hAnsi="宋体"/>
          <w:sz w:val="22"/>
          <w:szCs w:val="21"/>
        </w:rPr>
        <w:t>1.本合同签订后，甲方在收到乙方开具的载明相应金额的合格发票后，向乙方指定银行账户支付人民币     ，即本合同服务费总金额的50%。</w:t>
      </w:r>
    </w:p>
    <w:p>
      <w:pPr>
        <w:spacing w:line="360" w:lineRule="auto"/>
        <w:ind w:firstLine="440" w:firstLineChars="200"/>
        <w:rPr>
          <w:rFonts w:ascii="宋体" w:hAnsi="宋体"/>
          <w:sz w:val="22"/>
          <w:szCs w:val="21"/>
        </w:rPr>
      </w:pPr>
      <w:r>
        <w:rPr>
          <w:rFonts w:hint="eastAsia" w:ascii="宋体" w:hAnsi="宋体"/>
          <w:sz w:val="22"/>
          <w:szCs w:val="21"/>
        </w:rPr>
        <w:t>2.乙方将本项目最终成果全部提交给甲方，经甲方审查通过后，甲方应在收到乙方开具的载明相应金额的合格发票后，向乙方指定银行账户支付人民币       ，即本合同服务费总金额的50%。</w:t>
      </w:r>
    </w:p>
    <w:p>
      <w:pPr>
        <w:spacing w:line="360" w:lineRule="auto"/>
        <w:ind w:firstLine="440" w:firstLineChars="200"/>
        <w:rPr>
          <w:rFonts w:ascii="宋体" w:hAnsi="宋体"/>
          <w:sz w:val="22"/>
          <w:szCs w:val="21"/>
        </w:rPr>
      </w:pPr>
      <w:r>
        <w:rPr>
          <w:rFonts w:hint="eastAsia" w:ascii="宋体" w:hAnsi="宋体"/>
          <w:sz w:val="22"/>
          <w:szCs w:val="21"/>
        </w:rPr>
        <w:t>3.本合同项下各期款项均在甲方收到乙方开具的载明相应金额的合格发票后15个工作日内支付，如甲方未及时收到乙方开具的合格发票，甲方付款时间相应顺延。若因甲方付款审批影响支付进度，请乙方予以谅解，并不得就此向甲方索赔。</w:t>
      </w:r>
    </w:p>
    <w:p>
      <w:pPr>
        <w:spacing w:line="360" w:lineRule="auto"/>
        <w:ind w:firstLine="440" w:firstLineChars="200"/>
        <w:rPr>
          <w:rFonts w:ascii="宋体" w:hAnsi="宋体"/>
          <w:sz w:val="22"/>
          <w:szCs w:val="21"/>
        </w:rPr>
      </w:pPr>
      <w:r>
        <w:rPr>
          <w:rFonts w:hint="eastAsia" w:ascii="宋体" w:hAnsi="宋体"/>
          <w:sz w:val="22"/>
          <w:szCs w:val="21"/>
        </w:rPr>
        <w:t>乙方指定银行账户信息：</w:t>
      </w:r>
    </w:p>
    <w:p>
      <w:pPr>
        <w:spacing w:line="360" w:lineRule="auto"/>
        <w:ind w:firstLine="440" w:firstLineChars="200"/>
        <w:rPr>
          <w:rFonts w:ascii="宋体" w:hAnsi="宋体"/>
          <w:sz w:val="22"/>
          <w:szCs w:val="21"/>
        </w:rPr>
      </w:pPr>
      <w:r>
        <w:rPr>
          <w:rFonts w:hint="eastAsia" w:ascii="宋体" w:hAnsi="宋体"/>
          <w:sz w:val="22"/>
          <w:szCs w:val="21"/>
        </w:rPr>
        <w:t xml:space="preserve">开户银行：     </w:t>
      </w:r>
    </w:p>
    <w:p>
      <w:pPr>
        <w:spacing w:line="360" w:lineRule="auto"/>
        <w:ind w:firstLine="440" w:firstLineChars="200"/>
        <w:rPr>
          <w:rFonts w:ascii="宋体" w:hAnsi="宋体"/>
          <w:sz w:val="22"/>
          <w:szCs w:val="21"/>
        </w:rPr>
      </w:pPr>
      <w:r>
        <w:rPr>
          <w:rFonts w:hint="eastAsia" w:ascii="宋体" w:hAnsi="宋体"/>
          <w:sz w:val="22"/>
          <w:szCs w:val="21"/>
        </w:rPr>
        <w:t xml:space="preserve">户名：    </w:t>
      </w:r>
    </w:p>
    <w:p>
      <w:pPr>
        <w:spacing w:line="360" w:lineRule="auto"/>
        <w:ind w:firstLine="440" w:firstLineChars="200"/>
        <w:rPr>
          <w:rFonts w:ascii="宋体" w:hAnsi="宋体"/>
          <w:sz w:val="22"/>
          <w:szCs w:val="21"/>
        </w:rPr>
      </w:pPr>
      <w:r>
        <w:rPr>
          <w:rFonts w:hint="eastAsia" w:ascii="宋体" w:hAnsi="宋体"/>
          <w:sz w:val="22"/>
          <w:szCs w:val="21"/>
        </w:rPr>
        <w:t xml:space="preserve">账号： </w:t>
      </w:r>
    </w:p>
    <w:p>
      <w:pPr>
        <w:spacing w:line="360" w:lineRule="auto"/>
        <w:ind w:firstLine="442" w:firstLineChars="200"/>
        <w:rPr>
          <w:rFonts w:ascii="宋体" w:hAnsi="宋体"/>
          <w:b/>
          <w:bCs/>
          <w:sz w:val="22"/>
          <w:szCs w:val="21"/>
        </w:rPr>
      </w:pPr>
      <w:r>
        <w:rPr>
          <w:rFonts w:hint="eastAsia" w:ascii="宋体" w:hAnsi="宋体"/>
          <w:b/>
          <w:bCs/>
          <w:sz w:val="22"/>
          <w:szCs w:val="21"/>
        </w:rPr>
        <w:t>六、项目变更</w:t>
      </w:r>
    </w:p>
    <w:p>
      <w:pPr>
        <w:spacing w:line="360" w:lineRule="auto"/>
        <w:ind w:firstLine="440" w:firstLineChars="200"/>
        <w:rPr>
          <w:rFonts w:ascii="宋体" w:hAnsi="宋体"/>
          <w:sz w:val="22"/>
          <w:szCs w:val="21"/>
        </w:rPr>
      </w:pPr>
      <w:r>
        <w:rPr>
          <w:rFonts w:hint="eastAsia" w:ascii="宋体" w:hAnsi="宋体"/>
          <w:sz w:val="22"/>
          <w:szCs w:val="21"/>
        </w:rPr>
        <w:t>（一）本合同履行过程中的需求变更和进度调整，以甲乙双方达成一致的书面文件为准。</w:t>
      </w:r>
    </w:p>
    <w:p>
      <w:pPr>
        <w:spacing w:line="360" w:lineRule="auto"/>
        <w:ind w:firstLine="440" w:firstLineChars="200"/>
        <w:rPr>
          <w:rFonts w:ascii="宋体" w:hAnsi="宋体"/>
          <w:sz w:val="22"/>
          <w:szCs w:val="21"/>
        </w:rPr>
      </w:pPr>
      <w:r>
        <w:rPr>
          <w:rFonts w:hint="eastAsia" w:ascii="宋体" w:hAnsi="宋体"/>
          <w:sz w:val="22"/>
          <w:szCs w:val="21"/>
        </w:rPr>
        <w:t>（二）乙方遇到不能按期完成工作的情况，应及时以书面形式将不能按期完成工作的理由、延误时间通知甲方。甲方在收到乙方通知后，根据情况决定是否延长完成时间。如同意延长，则乙方责任期也相应延长。</w:t>
      </w:r>
    </w:p>
    <w:p>
      <w:pPr>
        <w:spacing w:line="360" w:lineRule="auto"/>
        <w:ind w:firstLine="440" w:firstLineChars="200"/>
        <w:rPr>
          <w:rFonts w:ascii="宋体" w:hAnsi="宋体"/>
          <w:sz w:val="22"/>
          <w:szCs w:val="21"/>
        </w:rPr>
      </w:pPr>
      <w:r>
        <w:rPr>
          <w:rFonts w:hint="eastAsia" w:ascii="宋体" w:hAnsi="宋体"/>
          <w:sz w:val="22"/>
          <w:szCs w:val="21"/>
        </w:rPr>
        <w:t>（三）因非乙方责任造成项目进度推迟或延误，无法按照本合同约定的日期完成相应工作，双方经过协商可以进一步约定完成的日期，乙方的责任期也随之顺延。</w:t>
      </w:r>
    </w:p>
    <w:p>
      <w:pPr>
        <w:spacing w:line="360" w:lineRule="auto"/>
        <w:ind w:firstLine="440" w:firstLineChars="200"/>
        <w:rPr>
          <w:rFonts w:ascii="宋体" w:hAnsi="宋体"/>
          <w:sz w:val="22"/>
          <w:szCs w:val="21"/>
        </w:rPr>
      </w:pPr>
      <w:r>
        <w:rPr>
          <w:rFonts w:hint="eastAsia" w:ascii="宋体" w:hAnsi="宋体"/>
          <w:sz w:val="22"/>
          <w:szCs w:val="21"/>
        </w:rPr>
        <w:t xml:space="preserve">（四）在本项目进展过程中，经双方同意的服务内容等方面的增减，如所涉增加费用的金额不超过本合同项下服务费总金额的10%,由双方商定变更内容及具体价格后签订书面补充协议予以确认。           </w:t>
      </w:r>
    </w:p>
    <w:p>
      <w:pPr>
        <w:spacing w:line="360" w:lineRule="auto"/>
        <w:ind w:firstLine="482" w:firstLineChars="200"/>
        <w:rPr>
          <w:rFonts w:ascii="宋体" w:hAnsi="宋体"/>
          <w:b/>
          <w:bCs/>
          <w:sz w:val="22"/>
          <w:szCs w:val="21"/>
        </w:rPr>
      </w:pPr>
      <w:r>
        <w:rPr>
          <w:rFonts w:hint="eastAsia" w:ascii="宋体" w:hAnsi="宋体" w:cs="宋体"/>
          <w:b/>
          <w:color w:val="000000"/>
          <w:sz w:val="24"/>
        </w:rPr>
        <w:t>★</w:t>
      </w:r>
      <w:r>
        <w:rPr>
          <w:rFonts w:hint="eastAsia" w:ascii="宋体" w:hAnsi="宋体"/>
          <w:b/>
          <w:bCs/>
          <w:sz w:val="22"/>
          <w:szCs w:val="21"/>
        </w:rPr>
        <w:t>七、保密条款</w:t>
      </w:r>
    </w:p>
    <w:p>
      <w:pPr>
        <w:spacing w:line="360" w:lineRule="auto"/>
        <w:ind w:firstLine="440" w:firstLineChars="200"/>
        <w:rPr>
          <w:rFonts w:ascii="宋体" w:hAnsi="宋体"/>
          <w:sz w:val="22"/>
          <w:szCs w:val="21"/>
        </w:rPr>
      </w:pPr>
      <w:r>
        <w:rPr>
          <w:rFonts w:hint="eastAsia" w:ascii="宋体" w:hAnsi="宋体"/>
          <w:sz w:val="22"/>
          <w:szCs w:val="21"/>
        </w:rPr>
        <w:t>（一）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spacing w:line="360" w:lineRule="auto"/>
        <w:ind w:firstLine="440" w:firstLineChars="200"/>
        <w:rPr>
          <w:rFonts w:ascii="宋体" w:hAnsi="宋体"/>
          <w:sz w:val="22"/>
          <w:szCs w:val="21"/>
        </w:rPr>
      </w:pPr>
      <w:r>
        <w:rPr>
          <w:rFonts w:hint="eastAsia" w:ascii="宋体" w:hAnsi="宋体"/>
          <w:sz w:val="22"/>
          <w:szCs w:val="21"/>
        </w:rPr>
        <w:t>（二）乙方应以保密方式处理在本项目成果文件服务过程中自甲方、甲方工作人员或甲方关联机构获得的相关信息、资料、图纸、数据等，或由甲方在履行本合同过程中明确指明为秘密的任何信息，以及乙方因本项目工作内容所直接或间接取得、处理或接触的任何其他资料。未经甲方书面在先同意，乙方不得向任何第三方透露与本项目有关的内容。即使向与履行本合同有关的人员提供前述保密信息，也应限于履行合同的必需范围，且这些人员应接受至少与本条款同等严格的保密条款的约束。</w:t>
      </w:r>
    </w:p>
    <w:p>
      <w:pPr>
        <w:spacing w:line="360" w:lineRule="auto"/>
        <w:ind w:firstLine="440" w:firstLineChars="200"/>
        <w:rPr>
          <w:rFonts w:ascii="宋体" w:hAnsi="宋体"/>
          <w:sz w:val="22"/>
          <w:szCs w:val="21"/>
        </w:rPr>
      </w:pPr>
      <w:r>
        <w:rPr>
          <w:rFonts w:hint="eastAsia" w:ascii="宋体" w:hAnsi="宋体"/>
          <w:sz w:val="22"/>
          <w:szCs w:val="21"/>
        </w:rPr>
        <w:t>（三）乙方实施项目的程序应符合国家安全、保密的有关规定和标准。</w:t>
      </w:r>
    </w:p>
    <w:p>
      <w:pPr>
        <w:spacing w:line="360" w:lineRule="auto"/>
        <w:ind w:firstLine="440" w:firstLineChars="200"/>
        <w:rPr>
          <w:rFonts w:ascii="宋体" w:hAnsi="宋体"/>
          <w:sz w:val="22"/>
          <w:szCs w:val="21"/>
        </w:rPr>
      </w:pPr>
      <w:r>
        <w:rPr>
          <w:rFonts w:hint="eastAsia" w:ascii="宋体" w:hAnsi="宋体"/>
          <w:sz w:val="22"/>
          <w:szCs w:val="21"/>
        </w:rPr>
        <w:t>（四）上述保密义务不适用以下情况：</w:t>
      </w:r>
    </w:p>
    <w:p>
      <w:pPr>
        <w:spacing w:line="360" w:lineRule="auto"/>
        <w:ind w:firstLine="440" w:firstLineChars="200"/>
        <w:rPr>
          <w:rFonts w:ascii="宋体" w:hAnsi="宋体"/>
          <w:sz w:val="22"/>
          <w:szCs w:val="21"/>
        </w:rPr>
      </w:pPr>
      <w:r>
        <w:rPr>
          <w:rFonts w:hint="eastAsia" w:ascii="宋体" w:hAnsi="宋体"/>
          <w:sz w:val="22"/>
          <w:szCs w:val="21"/>
        </w:rPr>
        <w:t>1.获取的信息已被合法公开；</w:t>
      </w:r>
    </w:p>
    <w:p>
      <w:pPr>
        <w:spacing w:line="360" w:lineRule="auto"/>
        <w:ind w:firstLine="440" w:firstLineChars="200"/>
        <w:rPr>
          <w:rFonts w:ascii="宋体" w:hAnsi="宋体"/>
          <w:sz w:val="22"/>
          <w:szCs w:val="21"/>
        </w:rPr>
      </w:pPr>
      <w:r>
        <w:rPr>
          <w:rFonts w:hint="eastAsia" w:ascii="宋体" w:hAnsi="宋体"/>
          <w:sz w:val="22"/>
          <w:szCs w:val="21"/>
        </w:rPr>
        <w:t>2.获得信息拥有方书面许可并在该许可范围内披露；</w:t>
      </w:r>
    </w:p>
    <w:p>
      <w:pPr>
        <w:spacing w:line="360" w:lineRule="auto"/>
        <w:ind w:firstLine="440" w:firstLineChars="200"/>
        <w:rPr>
          <w:rFonts w:ascii="宋体" w:hAnsi="宋体"/>
          <w:sz w:val="22"/>
          <w:szCs w:val="21"/>
        </w:rPr>
      </w:pPr>
      <w:r>
        <w:rPr>
          <w:rFonts w:hint="eastAsia" w:ascii="宋体" w:hAnsi="宋体"/>
          <w:sz w:val="22"/>
          <w:szCs w:val="21"/>
        </w:rPr>
        <w:t>3.国家法律、法规规定的情形。</w:t>
      </w:r>
    </w:p>
    <w:p>
      <w:pPr>
        <w:spacing w:line="360" w:lineRule="auto"/>
        <w:ind w:firstLine="440" w:firstLineChars="200"/>
        <w:rPr>
          <w:rFonts w:ascii="宋体" w:hAnsi="宋体"/>
          <w:sz w:val="22"/>
          <w:szCs w:val="21"/>
        </w:rPr>
      </w:pPr>
      <w:r>
        <w:rPr>
          <w:rFonts w:hint="eastAsia" w:ascii="宋体" w:hAnsi="宋体"/>
          <w:sz w:val="22"/>
          <w:szCs w:val="21"/>
        </w:rPr>
        <w:t>（五）如乙方违反上述保密条款，甲方有权解除本合同，乙方应在合同解除通知发出之日起10日内向甲方支付本合同服务费总金额20%的违约金，如果违约金无法弥补甲方损失，甲方保留要求乙方赔偿全部损失的权利。</w:t>
      </w:r>
    </w:p>
    <w:p>
      <w:pPr>
        <w:spacing w:line="360" w:lineRule="auto"/>
        <w:ind w:firstLine="440" w:firstLineChars="200"/>
        <w:rPr>
          <w:rFonts w:ascii="宋体" w:hAnsi="宋体"/>
          <w:sz w:val="22"/>
          <w:szCs w:val="21"/>
        </w:rPr>
      </w:pPr>
      <w:r>
        <w:rPr>
          <w:rFonts w:hint="eastAsia" w:ascii="宋体" w:hAnsi="宋体"/>
          <w:sz w:val="22"/>
          <w:szCs w:val="21"/>
        </w:rPr>
        <w:t>（六）无论本合同或本合同其他条款是否有效，本保密条款始终约束双方。国家秘密的保密期限由国家有关部门确定，工作秘密的保密期限由甲方确定。</w:t>
      </w:r>
    </w:p>
    <w:p>
      <w:pPr>
        <w:spacing w:line="360" w:lineRule="auto"/>
        <w:ind w:firstLine="442" w:firstLineChars="200"/>
        <w:rPr>
          <w:rFonts w:ascii="宋体" w:hAnsi="宋体"/>
          <w:b/>
          <w:bCs/>
          <w:sz w:val="22"/>
          <w:szCs w:val="21"/>
        </w:rPr>
      </w:pPr>
      <w:r>
        <w:rPr>
          <w:rFonts w:hint="eastAsia" w:ascii="宋体" w:hAnsi="宋体"/>
          <w:b/>
          <w:bCs/>
          <w:sz w:val="22"/>
          <w:szCs w:val="21"/>
        </w:rPr>
        <w:t>八、合同提前终止</w:t>
      </w:r>
    </w:p>
    <w:p>
      <w:pPr>
        <w:spacing w:line="360" w:lineRule="auto"/>
        <w:ind w:firstLine="440" w:firstLineChars="200"/>
        <w:rPr>
          <w:rFonts w:ascii="宋体" w:hAnsi="宋体"/>
          <w:sz w:val="22"/>
          <w:szCs w:val="21"/>
        </w:rPr>
      </w:pPr>
      <w:r>
        <w:rPr>
          <w:rFonts w:hint="eastAsia" w:ascii="宋体" w:hAnsi="宋体"/>
          <w:sz w:val="22"/>
          <w:szCs w:val="21"/>
        </w:rPr>
        <w:t>（一）双方协商同意提前终止本合同的，按双方协商约定的方式进行清算执行。</w:t>
      </w:r>
    </w:p>
    <w:p>
      <w:pPr>
        <w:spacing w:line="360" w:lineRule="auto"/>
        <w:ind w:firstLine="440" w:firstLineChars="200"/>
        <w:rPr>
          <w:rFonts w:ascii="宋体" w:hAnsi="宋体"/>
          <w:sz w:val="22"/>
          <w:szCs w:val="21"/>
        </w:rPr>
      </w:pPr>
      <w:r>
        <w:rPr>
          <w:rFonts w:hint="eastAsia" w:ascii="宋体" w:hAnsi="宋体"/>
          <w:sz w:val="22"/>
          <w:szCs w:val="21"/>
        </w:rPr>
        <w:t>（二）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（三）有下列情形之一的，本合同自甲方向乙方发出书面通知之日起终止：</w:t>
      </w:r>
    </w:p>
    <w:p>
      <w:pPr>
        <w:spacing w:line="360" w:lineRule="auto"/>
        <w:ind w:firstLine="440" w:firstLineChars="200"/>
        <w:rPr>
          <w:rFonts w:ascii="宋体" w:hAnsi="宋体"/>
          <w:sz w:val="22"/>
          <w:szCs w:val="21"/>
        </w:rPr>
      </w:pPr>
      <w:r>
        <w:rPr>
          <w:rFonts w:hint="eastAsia" w:ascii="宋体" w:hAnsi="宋体"/>
          <w:sz w:val="22"/>
          <w:szCs w:val="21"/>
        </w:rPr>
        <w:t>1.甲方的职能发生转变，不再具有委托职能。</w:t>
      </w:r>
    </w:p>
    <w:p>
      <w:pPr>
        <w:spacing w:line="360" w:lineRule="auto"/>
        <w:ind w:firstLine="440" w:firstLineChars="200"/>
        <w:rPr>
          <w:rFonts w:ascii="宋体" w:hAnsi="宋体"/>
          <w:sz w:val="22"/>
          <w:szCs w:val="21"/>
        </w:rPr>
      </w:pPr>
      <w:r>
        <w:rPr>
          <w:rFonts w:hint="eastAsia" w:ascii="宋体" w:hAnsi="宋体"/>
          <w:sz w:val="22"/>
          <w:szCs w:val="21"/>
        </w:rPr>
        <w:t>2.本合同签订时适用的法律法规或政策发生变化，且对本合同的继续履行造成重大影响。</w:t>
      </w:r>
    </w:p>
    <w:p>
      <w:pPr>
        <w:spacing w:line="360" w:lineRule="auto"/>
        <w:ind w:firstLine="440" w:firstLineChars="200"/>
        <w:rPr>
          <w:rFonts w:ascii="宋体" w:hAnsi="宋体"/>
          <w:sz w:val="22"/>
          <w:szCs w:val="21"/>
        </w:rPr>
      </w:pPr>
      <w:r>
        <w:rPr>
          <w:rFonts w:hint="eastAsia" w:ascii="宋体" w:hAnsi="宋体"/>
          <w:sz w:val="22"/>
          <w:szCs w:val="21"/>
        </w:rPr>
        <w:t>发生以上情形，甲方已向乙方支付的款项不退还，尚未支付的款项不再支付，同时乙方应向甲方提交在合同终止日前完成的所有项目文件和相关资料。</w:t>
      </w:r>
    </w:p>
    <w:p>
      <w:pPr>
        <w:spacing w:line="360" w:lineRule="auto"/>
        <w:ind w:firstLine="440" w:firstLineChars="200"/>
        <w:rPr>
          <w:rFonts w:ascii="宋体" w:hAnsi="宋体"/>
          <w:sz w:val="22"/>
          <w:szCs w:val="21"/>
        </w:rPr>
      </w:pPr>
      <w:r>
        <w:rPr>
          <w:rFonts w:hint="eastAsia" w:ascii="宋体" w:hAnsi="宋体"/>
          <w:sz w:val="22"/>
          <w:szCs w:val="21"/>
        </w:rPr>
        <w:t>（四）如发生不可抗力或其他超出合同双方控制的事件，致使一方无法履行合同，本合同解除。</w:t>
      </w:r>
    </w:p>
    <w:p>
      <w:pPr>
        <w:spacing w:line="360" w:lineRule="auto"/>
        <w:ind w:firstLine="440" w:firstLineChars="200"/>
        <w:rPr>
          <w:rFonts w:ascii="宋体" w:hAnsi="宋体"/>
          <w:sz w:val="22"/>
          <w:szCs w:val="21"/>
        </w:rPr>
      </w:pPr>
      <w:r>
        <w:rPr>
          <w:rFonts w:hint="eastAsia" w:ascii="宋体" w:hAnsi="宋体"/>
          <w:sz w:val="22"/>
          <w:szCs w:val="21"/>
        </w:rPr>
        <w:t>1. 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spacing w:line="360" w:lineRule="auto"/>
        <w:ind w:firstLine="440" w:firstLineChars="200"/>
        <w:rPr>
          <w:rFonts w:ascii="宋体" w:hAnsi="宋体"/>
          <w:sz w:val="22"/>
          <w:szCs w:val="21"/>
        </w:rPr>
      </w:pPr>
      <w:r>
        <w:rPr>
          <w:rFonts w:hint="eastAsia" w:ascii="宋体" w:hAnsi="宋体"/>
          <w:sz w:val="22"/>
          <w:szCs w:val="21"/>
        </w:rPr>
        <w:t>2. 发生不可抗力，甲乙双方承担各自的损失。在其中一方迟延履行合同义务后发生不可抗力的，其违约责任不能免除。</w:t>
      </w:r>
    </w:p>
    <w:p>
      <w:pPr>
        <w:spacing w:line="360" w:lineRule="auto"/>
        <w:ind w:firstLine="440" w:firstLineChars="200"/>
        <w:rPr>
          <w:rFonts w:ascii="宋体" w:hAnsi="宋体"/>
          <w:sz w:val="22"/>
          <w:szCs w:val="21"/>
        </w:rPr>
      </w:pPr>
      <w:r>
        <w:rPr>
          <w:rFonts w:hint="eastAsia" w:ascii="宋体" w:hAnsi="宋体"/>
          <w:sz w:val="22"/>
          <w:szCs w:val="21"/>
        </w:rPr>
        <w:t>3. 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b/>
          <w:bCs/>
          <w:sz w:val="22"/>
          <w:szCs w:val="21"/>
        </w:rPr>
      </w:pPr>
      <w:r>
        <w:rPr>
          <w:rFonts w:hint="eastAsia" w:ascii="宋体" w:hAnsi="宋体" w:cs="宋体"/>
          <w:b/>
          <w:color w:val="000000"/>
          <w:sz w:val="24"/>
        </w:rPr>
        <w:t>★</w:t>
      </w:r>
      <w:r>
        <w:rPr>
          <w:rFonts w:hint="eastAsia" w:ascii="宋体" w:hAnsi="宋体"/>
          <w:b/>
          <w:bCs/>
          <w:sz w:val="22"/>
          <w:szCs w:val="21"/>
        </w:rPr>
        <w:t>九、违约责任</w:t>
      </w:r>
    </w:p>
    <w:p>
      <w:pPr>
        <w:spacing w:line="360" w:lineRule="auto"/>
        <w:ind w:firstLine="440" w:firstLineChars="200"/>
        <w:rPr>
          <w:rFonts w:ascii="宋体" w:hAnsi="宋体"/>
          <w:sz w:val="22"/>
          <w:szCs w:val="21"/>
        </w:rPr>
      </w:pPr>
      <w:r>
        <w:rPr>
          <w:rFonts w:hint="eastAsia" w:ascii="宋体" w:hAnsi="宋体"/>
          <w:sz w:val="22"/>
          <w:szCs w:val="21"/>
        </w:rPr>
        <w:t>（一）如乙方未按照本合同约定的时间完成本项目各阶段工作，每迟延一日，甲方有权自尚未支付的合同款项中扣除本合同服务费总金额的3‰的逾期违约金。</w:t>
      </w:r>
    </w:p>
    <w:p>
      <w:pPr>
        <w:spacing w:line="360" w:lineRule="auto"/>
        <w:ind w:firstLine="440" w:firstLineChars="200"/>
        <w:rPr>
          <w:rFonts w:ascii="宋体" w:hAnsi="宋体"/>
          <w:sz w:val="22"/>
          <w:szCs w:val="21"/>
        </w:rPr>
      </w:pPr>
      <w:r>
        <w:rPr>
          <w:rFonts w:hint="eastAsia" w:ascii="宋体" w:hAnsi="宋体"/>
          <w:sz w:val="22"/>
          <w:szCs w:val="21"/>
        </w:rPr>
        <w:t>（二）本合同项下的工作内容不可分割，任一文件的迟延交付均视为整个项目的迟延交付。</w:t>
      </w:r>
    </w:p>
    <w:p>
      <w:pPr>
        <w:spacing w:line="360" w:lineRule="auto"/>
        <w:ind w:firstLine="440" w:firstLineChars="200"/>
        <w:rPr>
          <w:rFonts w:ascii="宋体" w:hAnsi="宋体"/>
          <w:sz w:val="22"/>
          <w:szCs w:val="21"/>
        </w:rPr>
      </w:pPr>
      <w:r>
        <w:rPr>
          <w:rFonts w:hint="eastAsia" w:ascii="宋体" w:hAnsi="宋体"/>
          <w:sz w:val="22"/>
          <w:szCs w:val="21"/>
        </w:rPr>
        <w:t>（三）本合同履行期间，发生下述情形时，甲方有权解除本合同，扣除尚未支付的的合同款项,还应在合同解除通知发出之日起10日内向甲方支付合同总价款10%的违约金。乙方应同时将已完成的项目成果移交给甲方，并将全部有关资料退还甲方：</w:t>
      </w:r>
    </w:p>
    <w:p>
      <w:pPr>
        <w:spacing w:line="360" w:lineRule="auto"/>
        <w:ind w:firstLine="440" w:firstLineChars="200"/>
        <w:rPr>
          <w:rFonts w:ascii="宋体" w:hAnsi="宋体"/>
          <w:sz w:val="22"/>
          <w:szCs w:val="21"/>
        </w:rPr>
      </w:pPr>
      <w:r>
        <w:rPr>
          <w:rFonts w:hint="eastAsia" w:ascii="宋体" w:hAnsi="宋体"/>
          <w:sz w:val="22"/>
          <w:szCs w:val="21"/>
        </w:rPr>
        <w:t>1.乙方未能按合同约定的日期(含协商延缓的日期)提交成果，延误时间超过15个工作日；</w:t>
      </w:r>
    </w:p>
    <w:p>
      <w:pPr>
        <w:spacing w:line="360" w:lineRule="auto"/>
        <w:ind w:firstLine="440" w:firstLineChars="200"/>
        <w:rPr>
          <w:rFonts w:ascii="宋体" w:hAnsi="宋体"/>
          <w:sz w:val="22"/>
          <w:szCs w:val="21"/>
        </w:rPr>
      </w:pPr>
      <w:r>
        <w:rPr>
          <w:rFonts w:hint="eastAsia" w:ascii="宋体" w:hAnsi="宋体"/>
          <w:sz w:val="22"/>
          <w:szCs w:val="21"/>
        </w:rPr>
        <w:t>2.因乙方工作的错误或遗漏造成服务质量不符合本合同要求，且乙方未按甲方要求采取及时有效的补救措施的；</w:t>
      </w:r>
    </w:p>
    <w:p>
      <w:pPr>
        <w:spacing w:line="360" w:lineRule="auto"/>
        <w:ind w:firstLine="440" w:firstLineChars="200"/>
        <w:rPr>
          <w:rFonts w:ascii="宋体" w:hAnsi="宋体"/>
          <w:sz w:val="22"/>
          <w:szCs w:val="21"/>
        </w:rPr>
      </w:pPr>
      <w:r>
        <w:rPr>
          <w:rFonts w:hint="eastAsia" w:ascii="宋体" w:hAnsi="宋体"/>
          <w:sz w:val="22"/>
          <w:szCs w:val="21"/>
        </w:rPr>
        <w:t>3. 项目负责人未承担本合同项目实质性工作，或未经甲方书面在先同意，乙方擅自更换项目负责人的；</w:t>
      </w:r>
    </w:p>
    <w:p>
      <w:pPr>
        <w:spacing w:line="360" w:lineRule="auto"/>
        <w:ind w:firstLine="440" w:firstLineChars="200"/>
        <w:rPr>
          <w:rFonts w:ascii="宋体" w:hAnsi="宋体"/>
          <w:sz w:val="22"/>
          <w:szCs w:val="21"/>
        </w:rPr>
      </w:pPr>
      <w:r>
        <w:rPr>
          <w:rFonts w:hint="eastAsia" w:ascii="宋体" w:hAnsi="宋体"/>
          <w:sz w:val="22"/>
          <w:szCs w:val="21"/>
        </w:rPr>
        <w:t>4.发现乙方或乙方工作人员出现全部或部分丧失履行委托服务能力的情况，甲方有权通知乙方限期整改或更换工作人员，期限届满乙方并未进行改善的；</w:t>
      </w:r>
    </w:p>
    <w:p>
      <w:pPr>
        <w:spacing w:line="360" w:lineRule="auto"/>
        <w:ind w:firstLine="440" w:firstLineChars="200"/>
        <w:rPr>
          <w:rFonts w:ascii="宋体" w:hAnsi="宋体"/>
          <w:sz w:val="22"/>
          <w:szCs w:val="21"/>
        </w:rPr>
      </w:pPr>
      <w:r>
        <w:rPr>
          <w:rFonts w:hint="eastAsia" w:ascii="宋体" w:hAnsi="宋体"/>
          <w:sz w:val="22"/>
          <w:szCs w:val="21"/>
        </w:rPr>
        <w:t>5.乙方明确表示或者以自己的行为表明不履行本合同的。</w:t>
      </w:r>
    </w:p>
    <w:p>
      <w:pPr>
        <w:spacing w:line="360" w:lineRule="auto"/>
        <w:ind w:firstLine="440" w:firstLineChars="200"/>
        <w:rPr>
          <w:rFonts w:ascii="宋体" w:hAnsi="宋体"/>
          <w:sz w:val="22"/>
          <w:szCs w:val="21"/>
        </w:rPr>
      </w:pPr>
      <w:r>
        <w:rPr>
          <w:rFonts w:hint="eastAsia" w:ascii="宋体" w:hAnsi="宋体"/>
          <w:sz w:val="22"/>
          <w:szCs w:val="21"/>
        </w:rPr>
        <w:t>（四）如甲方未按照本合同约定的时间支付服务费，乙方书面催告甲方并给予不少于5个工作日的履行期限后甲方仍未支付的，乙方有权自该期限届满之日起要求甲方支付该阶段应付而未付合同价款每日3‰的逾期违约金。如甲方无正当理由拒绝接受服务，到期明确表示拒付服务款项，乙方有权要求甲方支付本合同项下服务费总金额20%的违约金。</w:t>
      </w:r>
    </w:p>
    <w:p>
      <w:pPr>
        <w:spacing w:line="360" w:lineRule="auto"/>
        <w:ind w:firstLine="440" w:firstLineChars="200"/>
        <w:rPr>
          <w:rFonts w:ascii="宋体" w:hAnsi="宋体"/>
          <w:sz w:val="22"/>
          <w:szCs w:val="21"/>
        </w:rPr>
      </w:pPr>
      <w:r>
        <w:rPr>
          <w:rFonts w:hint="eastAsia" w:ascii="宋体" w:hAnsi="宋体"/>
          <w:sz w:val="22"/>
          <w:szCs w:val="21"/>
        </w:rPr>
        <w:t>（五）上述违约责任各自独立且可累加。如本合同所约定的违约金无法弥补因违约行为所造成的损失，违约方应补偿上述不足部分的损失。</w:t>
      </w:r>
    </w:p>
    <w:p>
      <w:pPr>
        <w:spacing w:line="360" w:lineRule="auto"/>
        <w:ind w:firstLine="442" w:firstLineChars="200"/>
        <w:rPr>
          <w:rFonts w:ascii="宋体" w:hAnsi="宋体"/>
          <w:b/>
          <w:bCs/>
          <w:sz w:val="22"/>
          <w:szCs w:val="21"/>
        </w:rPr>
      </w:pPr>
      <w:r>
        <w:rPr>
          <w:rFonts w:hint="eastAsia" w:ascii="宋体" w:hAnsi="宋体"/>
          <w:b/>
          <w:bCs/>
          <w:sz w:val="22"/>
          <w:szCs w:val="21"/>
        </w:rPr>
        <w:t>十、争议解决</w:t>
      </w:r>
    </w:p>
    <w:p>
      <w:pPr>
        <w:spacing w:line="360" w:lineRule="auto"/>
        <w:ind w:firstLine="440" w:firstLineChars="200"/>
        <w:rPr>
          <w:rFonts w:ascii="宋体" w:hAnsi="宋体"/>
          <w:sz w:val="22"/>
          <w:szCs w:val="21"/>
        </w:rPr>
      </w:pPr>
      <w:r>
        <w:rPr>
          <w:rFonts w:hint="eastAsia" w:ascii="宋体" w:hAnsi="宋体"/>
          <w:sz w:val="22"/>
          <w:szCs w:val="21"/>
        </w:rPr>
        <w:t>本合同在履行过程中发生的争议，由双方当事人有好协商解决，协商不成的，一方当事人可以向深圳前海合作区人民法院起诉。</w:t>
      </w:r>
    </w:p>
    <w:p>
      <w:pPr>
        <w:spacing w:line="360" w:lineRule="auto"/>
        <w:ind w:firstLine="442" w:firstLineChars="200"/>
        <w:rPr>
          <w:rFonts w:ascii="宋体" w:hAnsi="宋体"/>
          <w:b/>
          <w:bCs/>
          <w:sz w:val="22"/>
          <w:szCs w:val="21"/>
        </w:rPr>
      </w:pPr>
      <w:r>
        <w:rPr>
          <w:rFonts w:hint="eastAsia" w:ascii="宋体" w:hAnsi="宋体"/>
          <w:b/>
          <w:bCs/>
          <w:sz w:val="22"/>
          <w:szCs w:val="21"/>
        </w:rPr>
        <w:t>十一、其他约定</w:t>
      </w:r>
    </w:p>
    <w:p>
      <w:pPr>
        <w:spacing w:line="360" w:lineRule="auto"/>
        <w:ind w:firstLine="440" w:firstLineChars="200"/>
        <w:rPr>
          <w:rFonts w:ascii="宋体" w:hAnsi="宋体"/>
          <w:sz w:val="22"/>
          <w:szCs w:val="21"/>
        </w:rPr>
      </w:pPr>
      <w:r>
        <w:rPr>
          <w:rFonts w:hint="eastAsia" w:ascii="宋体" w:hAnsi="宋体"/>
          <w:sz w:val="22"/>
          <w:szCs w:val="21"/>
        </w:rPr>
        <w:t>（一）有关本项目的询价比选邀请函、报价回函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40" w:firstLineChars="200"/>
        <w:rPr>
          <w:rFonts w:ascii="宋体" w:hAnsi="宋体"/>
          <w:sz w:val="22"/>
          <w:szCs w:val="21"/>
        </w:rPr>
      </w:pPr>
      <w:r>
        <w:rPr>
          <w:rFonts w:hint="eastAsia" w:ascii="宋体" w:hAnsi="宋体"/>
          <w:sz w:val="22"/>
          <w:szCs w:val="21"/>
        </w:rPr>
        <w:t>1.合同书及补充协议；</w:t>
      </w:r>
    </w:p>
    <w:p>
      <w:pPr>
        <w:spacing w:line="360" w:lineRule="auto"/>
        <w:ind w:firstLine="440" w:firstLineChars="200"/>
        <w:rPr>
          <w:rFonts w:ascii="宋体" w:hAnsi="宋体"/>
          <w:sz w:val="22"/>
          <w:szCs w:val="21"/>
        </w:rPr>
      </w:pPr>
      <w:r>
        <w:rPr>
          <w:rFonts w:hint="eastAsia" w:ascii="宋体" w:hAnsi="宋体"/>
          <w:sz w:val="22"/>
          <w:szCs w:val="21"/>
        </w:rPr>
        <w:t>2.成交通知书；</w:t>
      </w:r>
    </w:p>
    <w:p>
      <w:pPr>
        <w:spacing w:line="360" w:lineRule="auto"/>
        <w:ind w:firstLine="440" w:firstLineChars="200"/>
        <w:rPr>
          <w:rFonts w:ascii="宋体" w:hAnsi="宋体"/>
          <w:sz w:val="22"/>
          <w:szCs w:val="21"/>
        </w:rPr>
      </w:pPr>
      <w:r>
        <w:rPr>
          <w:rFonts w:hint="eastAsia" w:ascii="宋体" w:hAnsi="宋体"/>
          <w:sz w:val="22"/>
          <w:szCs w:val="21"/>
        </w:rPr>
        <w:t>3.报价回函。</w:t>
      </w:r>
    </w:p>
    <w:p>
      <w:pPr>
        <w:spacing w:line="360" w:lineRule="auto"/>
        <w:ind w:firstLine="440" w:firstLineChars="200"/>
        <w:rPr>
          <w:rFonts w:ascii="宋体" w:hAnsi="宋体"/>
          <w:sz w:val="22"/>
          <w:szCs w:val="21"/>
        </w:rPr>
      </w:pPr>
      <w:r>
        <w:rPr>
          <w:rFonts w:hint="eastAsia" w:ascii="宋体" w:hAnsi="宋体"/>
          <w:sz w:val="22"/>
          <w:szCs w:val="21"/>
        </w:rPr>
        <w:t>（二）本合同替代此前双方所有关于本合同事项的口头或书面的纪要、备忘录、合同、协议。</w:t>
      </w:r>
    </w:p>
    <w:p>
      <w:pPr>
        <w:spacing w:line="360" w:lineRule="auto"/>
        <w:ind w:firstLine="440" w:firstLineChars="200"/>
        <w:rPr>
          <w:rFonts w:ascii="宋体" w:hAnsi="宋体"/>
          <w:sz w:val="22"/>
          <w:szCs w:val="21"/>
        </w:rPr>
      </w:pPr>
      <w:r>
        <w:rPr>
          <w:rFonts w:hint="eastAsia" w:ascii="宋体" w:hAnsi="宋体"/>
          <w:sz w:val="22"/>
          <w:szCs w:val="21"/>
        </w:rPr>
        <w:t>（三）本合同附件（如有）为合同不可分割的组成部分，与本合同一并加盖骑缝章后具有同等法律效力。若附件与合同正文有任何冲突，以合同正文为准。</w:t>
      </w:r>
    </w:p>
    <w:p>
      <w:pPr>
        <w:spacing w:line="360" w:lineRule="auto"/>
        <w:ind w:firstLine="440" w:firstLineChars="200"/>
        <w:rPr>
          <w:rFonts w:ascii="宋体" w:hAnsi="宋体"/>
          <w:sz w:val="22"/>
          <w:szCs w:val="21"/>
        </w:rPr>
      </w:pPr>
      <w:r>
        <w:rPr>
          <w:rFonts w:hint="eastAsia" w:ascii="宋体" w:hAnsi="宋体"/>
          <w:sz w:val="22"/>
          <w:szCs w:val="21"/>
        </w:rPr>
        <w:t>（四）本合同各条标题仅为提示之用，应以条文内容确定各方的权利义务。</w:t>
      </w:r>
    </w:p>
    <w:p>
      <w:pPr>
        <w:spacing w:line="360" w:lineRule="auto"/>
        <w:ind w:firstLine="440" w:firstLineChars="200"/>
        <w:rPr>
          <w:rFonts w:ascii="宋体" w:hAnsi="宋体"/>
          <w:sz w:val="22"/>
          <w:szCs w:val="21"/>
        </w:rPr>
      </w:pPr>
      <w:r>
        <w:rPr>
          <w:rFonts w:hint="eastAsia" w:ascii="宋体" w:hAnsi="宋体"/>
          <w:sz w:val="22"/>
          <w:szCs w:val="21"/>
        </w:rPr>
        <w:t>（五）本合同未尽事宜，由双方协商签订补充协议进行约定。补充协议应以书面形式作成，经双方法定代表人或其授权代表签字、盖章后与本合同具有同等法律效力。</w:t>
      </w:r>
    </w:p>
    <w:p>
      <w:pPr>
        <w:spacing w:line="360" w:lineRule="auto"/>
        <w:ind w:firstLine="440" w:firstLineChars="200"/>
        <w:rPr>
          <w:rFonts w:ascii="宋体" w:hAnsi="宋体"/>
          <w:sz w:val="22"/>
          <w:szCs w:val="21"/>
        </w:rPr>
      </w:pPr>
      <w:r>
        <w:rPr>
          <w:rFonts w:hint="eastAsia" w:ascii="宋体" w:hAnsi="宋体"/>
          <w:sz w:val="22"/>
          <w:szCs w:val="21"/>
        </w:rPr>
        <w:t>（六）本合同约定的权利和义务不因合同双方发生收购、兼并、重组、分立而发生变化。如果发生上述情形，则本合同约定的权利和义务随之转移至收购、兼并、重组或分立后成立的单位。</w:t>
      </w:r>
    </w:p>
    <w:p>
      <w:pPr>
        <w:spacing w:line="360" w:lineRule="auto"/>
        <w:ind w:firstLine="440" w:firstLineChars="200"/>
        <w:rPr>
          <w:rFonts w:ascii="宋体" w:hAnsi="宋体"/>
          <w:sz w:val="22"/>
          <w:szCs w:val="21"/>
        </w:rPr>
      </w:pPr>
      <w:r>
        <w:rPr>
          <w:rFonts w:hint="eastAsia" w:ascii="宋体" w:hAnsi="宋体"/>
          <w:sz w:val="22"/>
          <w:szCs w:val="21"/>
        </w:rPr>
        <w:t>（七）本合同在国家法律、法规和规章规定的范围内执行。当国家法律、法规和规章发生变化导致本合同有关条款与之抵触时，双方协商变更或废止该条款，在此情况下，双方互不承担责任。</w:t>
      </w:r>
    </w:p>
    <w:p>
      <w:pPr>
        <w:spacing w:line="360" w:lineRule="auto"/>
        <w:ind w:firstLine="440" w:firstLineChars="200"/>
        <w:rPr>
          <w:rFonts w:ascii="宋体" w:hAnsi="宋体"/>
          <w:sz w:val="22"/>
          <w:szCs w:val="21"/>
        </w:rPr>
      </w:pPr>
      <w:r>
        <w:rPr>
          <w:rFonts w:hint="eastAsia" w:ascii="宋体" w:hAnsi="宋体"/>
          <w:sz w:val="22"/>
          <w:szCs w:val="21"/>
        </w:rPr>
        <w:t>（八）如果本合同的任何条款在任何时候变成不合法、无效或不可强制执行而不从根本上影响本合同的效力时，本合同的其他条款不受影响。</w:t>
      </w:r>
    </w:p>
    <w:p>
      <w:pPr>
        <w:spacing w:line="360" w:lineRule="auto"/>
        <w:ind w:firstLine="440" w:firstLineChars="200"/>
        <w:rPr>
          <w:rFonts w:ascii="宋体" w:hAnsi="宋体"/>
          <w:sz w:val="22"/>
          <w:szCs w:val="21"/>
        </w:rPr>
      </w:pPr>
      <w:r>
        <w:rPr>
          <w:rFonts w:hint="eastAsia" w:ascii="宋体" w:hAnsi="宋体"/>
          <w:sz w:val="22"/>
          <w:szCs w:val="21"/>
        </w:rPr>
        <w:t>（九）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auto"/>
        <w:ind w:firstLine="440" w:firstLineChars="200"/>
        <w:rPr>
          <w:rFonts w:ascii="宋体" w:hAnsi="宋体"/>
          <w:sz w:val="22"/>
          <w:szCs w:val="21"/>
        </w:rPr>
      </w:pPr>
      <w:r>
        <w:rPr>
          <w:rFonts w:hint="eastAsia" w:ascii="宋体" w:hAnsi="宋体"/>
          <w:sz w:val="22"/>
          <w:szCs w:val="21"/>
        </w:rPr>
        <w:t>（十）本合同的任何内容不应被视为或解释为双方之间具有合资、合伙、代理关系。</w:t>
      </w:r>
    </w:p>
    <w:p>
      <w:pPr>
        <w:spacing w:line="360" w:lineRule="auto"/>
        <w:ind w:firstLine="440" w:firstLineChars="200"/>
        <w:rPr>
          <w:rFonts w:ascii="宋体" w:hAnsi="宋体"/>
          <w:sz w:val="22"/>
          <w:szCs w:val="21"/>
        </w:rPr>
      </w:pPr>
      <w:r>
        <w:rPr>
          <w:rFonts w:hint="eastAsia" w:ascii="宋体" w:hAnsi="宋体"/>
          <w:sz w:val="22"/>
          <w:szCs w:val="21"/>
        </w:rPr>
        <w:t>（十一）任何一方未经另一方同意不得向任何第三方透露本合同的签订及其内容。甲方向其关联公司透露前述内容的，不受此限。</w:t>
      </w:r>
    </w:p>
    <w:p>
      <w:pPr>
        <w:spacing w:line="360" w:lineRule="auto"/>
        <w:ind w:firstLine="440" w:firstLineChars="200"/>
        <w:rPr>
          <w:rFonts w:ascii="宋体" w:hAnsi="宋体"/>
          <w:sz w:val="22"/>
          <w:szCs w:val="21"/>
        </w:rPr>
      </w:pPr>
      <w:r>
        <w:rPr>
          <w:rFonts w:hint="eastAsia" w:ascii="宋体" w:hAnsi="宋体"/>
          <w:sz w:val="22"/>
          <w:szCs w:val="21"/>
        </w:rPr>
        <w:t>（十二）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540" w:lineRule="exact"/>
        <w:ind w:firstLine="440" w:firstLineChars="200"/>
        <w:rPr>
          <w:rFonts w:ascii="宋体" w:hAnsi="宋体"/>
          <w:sz w:val="22"/>
          <w:szCs w:val="21"/>
        </w:rPr>
      </w:pPr>
      <w:r>
        <w:rPr>
          <w:rFonts w:hint="eastAsia" w:ascii="宋体" w:hAnsi="宋体"/>
          <w:sz w:val="22"/>
          <w:szCs w:val="21"/>
        </w:rPr>
        <w:t>（十三）本合同自双方法定代表人或其授权代表签字、盖章之日起生效，有效期至后续服务期满之日止。</w:t>
      </w:r>
    </w:p>
    <w:p>
      <w:pPr>
        <w:spacing w:line="540" w:lineRule="exact"/>
        <w:ind w:firstLine="440" w:firstLineChars="200"/>
        <w:rPr>
          <w:rFonts w:ascii="宋体" w:hAnsi="宋体"/>
          <w:sz w:val="22"/>
          <w:szCs w:val="21"/>
        </w:rPr>
      </w:pPr>
      <w:r>
        <w:rPr>
          <w:rFonts w:hint="eastAsia" w:ascii="宋体" w:hAnsi="宋体"/>
          <w:sz w:val="22"/>
          <w:szCs w:val="21"/>
        </w:rPr>
        <w:t>（十四）本合同一式四份正本，甲方与乙方各执两份，均具同等法律效力。</w:t>
      </w:r>
    </w:p>
    <w:p>
      <w:pPr>
        <w:spacing w:line="540" w:lineRule="exact"/>
        <w:ind w:firstLine="440" w:firstLineChars="200"/>
        <w:rPr>
          <w:rFonts w:ascii="宋体" w:hAnsi="宋体"/>
          <w:sz w:val="22"/>
          <w:szCs w:val="21"/>
        </w:rPr>
      </w:pPr>
      <w:r>
        <w:rPr>
          <w:rFonts w:hint="eastAsia" w:ascii="宋体" w:hAnsi="宋体"/>
          <w:sz w:val="22"/>
          <w:szCs w:val="21"/>
        </w:rPr>
        <w:t>（以下无正文，为签章栏）</w:t>
      </w:r>
    </w:p>
    <w:p>
      <w:pPr>
        <w:spacing w:line="540" w:lineRule="exact"/>
        <w:ind w:firstLine="330" w:firstLineChars="150"/>
        <w:rPr>
          <w:rFonts w:ascii="宋体" w:hAnsi="宋体"/>
          <w:sz w:val="22"/>
          <w:szCs w:val="21"/>
        </w:rPr>
      </w:pPr>
      <w:r>
        <w:rPr>
          <w:rFonts w:hint="eastAsia" w:ascii="宋体" w:hAnsi="宋体"/>
          <w:sz w:val="22"/>
          <w:szCs w:val="21"/>
        </w:rPr>
        <w:t>附件：1.</w:t>
      </w:r>
      <w:r>
        <w:rPr>
          <w:rFonts w:ascii="宋体" w:hAnsi="宋体"/>
          <w:sz w:val="22"/>
          <w:szCs w:val="21"/>
        </w:rPr>
        <w:t>项目</w:t>
      </w:r>
      <w:r>
        <w:rPr>
          <w:rFonts w:hint="eastAsia" w:ascii="宋体" w:hAnsi="宋体"/>
          <w:sz w:val="22"/>
          <w:szCs w:val="21"/>
        </w:rPr>
        <w:t>团队</w:t>
      </w:r>
      <w:r>
        <w:rPr>
          <w:rFonts w:ascii="宋体" w:hAnsi="宋体"/>
          <w:sz w:val="22"/>
          <w:szCs w:val="21"/>
        </w:rPr>
        <w:t>名单</w:t>
      </w:r>
    </w:p>
    <w:p>
      <w:pPr>
        <w:rPr>
          <w:rFonts w:ascii="宋体" w:hAnsi="宋体"/>
          <w:sz w:val="22"/>
          <w:szCs w:val="21"/>
        </w:rPr>
      </w:pPr>
      <w:r>
        <w:rPr>
          <w:rFonts w:hint="eastAsia" w:ascii="宋体" w:hAnsi="宋体"/>
          <w:sz w:val="22"/>
          <w:szCs w:val="21"/>
        </w:rPr>
        <w:br w:type="page"/>
      </w:r>
    </w:p>
    <w:p>
      <w:pPr>
        <w:spacing w:line="360" w:lineRule="auto"/>
        <w:ind w:firstLine="440" w:firstLineChars="200"/>
        <w:rPr>
          <w:rFonts w:ascii="宋体" w:hAnsi="宋体"/>
          <w:sz w:val="22"/>
          <w:szCs w:val="21"/>
        </w:rPr>
      </w:pPr>
      <w:r>
        <w:rPr>
          <w:rFonts w:hint="eastAsia" w:ascii="宋体" w:hAnsi="宋体"/>
          <w:sz w:val="22"/>
          <w:szCs w:val="21"/>
        </w:rPr>
        <w:t>甲方（盖章）：</w:t>
      </w:r>
      <w:r>
        <w:rPr>
          <w:rFonts w:ascii="宋体" w:hAnsi="宋体"/>
          <w:sz w:val="22"/>
          <w:szCs w:val="21"/>
        </w:rPr>
        <w:t>XXX</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spacing w:line="360" w:lineRule="auto"/>
        <w:ind w:firstLine="440" w:firstLineChars="200"/>
        <w:rPr>
          <w:rFonts w:ascii="宋体" w:hAnsi="宋体"/>
          <w:sz w:val="22"/>
          <w:szCs w:val="21"/>
        </w:rPr>
      </w:pPr>
      <w:r>
        <w:rPr>
          <w:rFonts w:hint="eastAsia" w:ascii="宋体" w:hAnsi="宋体"/>
          <w:sz w:val="22"/>
          <w:szCs w:val="21"/>
        </w:rPr>
        <w:t xml:space="preserve">日期：     年    月   日            </w:t>
      </w:r>
    </w:p>
    <w:p>
      <w:pPr>
        <w:spacing w:line="360" w:lineRule="auto"/>
        <w:ind w:firstLine="440" w:firstLineChars="200"/>
        <w:rPr>
          <w:rFonts w:ascii="宋体" w:hAnsi="宋体"/>
          <w:sz w:val="22"/>
          <w:szCs w:val="21"/>
        </w:rPr>
      </w:pPr>
    </w:p>
    <w:p>
      <w:pPr>
        <w:spacing w:line="360" w:lineRule="auto"/>
        <w:ind w:firstLine="440" w:firstLineChars="200"/>
        <w:rPr>
          <w:rFonts w:ascii="宋体" w:hAnsi="宋体"/>
          <w:sz w:val="22"/>
          <w:szCs w:val="21"/>
        </w:rPr>
      </w:pPr>
      <w:r>
        <w:rPr>
          <w:rFonts w:hint="eastAsia" w:ascii="宋体" w:hAnsi="宋体"/>
          <w:sz w:val="22"/>
          <w:szCs w:val="21"/>
        </w:rPr>
        <w:t xml:space="preserve">乙方（盖章）： </w:t>
      </w:r>
    </w:p>
    <w:p>
      <w:pPr>
        <w:spacing w:line="360" w:lineRule="auto"/>
        <w:ind w:firstLine="440" w:firstLineChars="200"/>
        <w:rPr>
          <w:rFonts w:ascii="宋体" w:hAnsi="宋体"/>
          <w:sz w:val="22"/>
          <w:szCs w:val="21"/>
        </w:rPr>
      </w:pPr>
      <w:r>
        <w:rPr>
          <w:rFonts w:hint="eastAsia" w:ascii="宋体" w:hAnsi="宋体"/>
          <w:sz w:val="22"/>
          <w:szCs w:val="21"/>
        </w:rPr>
        <w:t>法定代表人或授权代表（签字）：</w:t>
      </w:r>
    </w:p>
    <w:p>
      <w:pPr>
        <w:ind w:firstLine="440" w:firstLineChars="200"/>
        <w:rPr>
          <w:rFonts w:ascii="宋体" w:hAnsi="宋体"/>
          <w:sz w:val="22"/>
          <w:szCs w:val="21"/>
        </w:rPr>
      </w:pPr>
      <w:r>
        <w:rPr>
          <w:rFonts w:hint="eastAsia" w:ascii="宋体" w:hAnsi="宋体"/>
          <w:sz w:val="22"/>
          <w:szCs w:val="21"/>
        </w:rPr>
        <w:t>日期：     年    月   日</w:t>
      </w:r>
    </w:p>
    <w:p>
      <w:pPr>
        <w:shd w:val="clear" w:color="auto" w:fill="FFFFFF"/>
        <w:snapToGrid w:val="0"/>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sectPr>
          <w:headerReference r:id="rId6" w:type="default"/>
          <w:footerReference r:id="rId7" w:type="default"/>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bookmarkStart w:id="14" w:name="_Toc793"/>
      <w:r>
        <w:rPr>
          <w:rFonts w:hint="eastAsia" w:ascii="宋体" w:hAnsi="宋体" w:cs="宋体"/>
          <w:b/>
          <w:bCs/>
          <w:sz w:val="24"/>
        </w:rPr>
        <w:t>用户需求书</w:t>
      </w:r>
      <w:bookmarkEnd w:id="14"/>
    </w:p>
    <w:p>
      <w:pPr>
        <w:spacing w:line="360" w:lineRule="auto"/>
        <w:ind w:firstLine="482" w:firstLineChars="200"/>
        <w:rPr>
          <w:rFonts w:ascii="宋体" w:hAnsi="宋体" w:cs="宋体"/>
          <w:b/>
          <w:bCs/>
          <w:kern w:val="0"/>
          <w:sz w:val="24"/>
          <w:szCs w:val="20"/>
        </w:rPr>
      </w:pPr>
      <w:bookmarkStart w:id="15" w:name="_Toc51746099"/>
    </w:p>
    <w:bookmarkEnd w:id="15"/>
    <w:p>
      <w:pPr>
        <w:spacing w:line="440" w:lineRule="exact"/>
        <w:ind w:firstLine="482" w:firstLineChars="200"/>
        <w:rPr>
          <w:rFonts w:ascii="宋体" w:hAnsi="宋体" w:cs="宋体"/>
          <w:b/>
          <w:kern w:val="0"/>
          <w:sz w:val="24"/>
        </w:rPr>
      </w:pPr>
      <w:bookmarkStart w:id="16" w:name="_Toc1228233707"/>
      <w:bookmarkStart w:id="17" w:name="_Toc19038"/>
      <w:bookmarkStart w:id="18" w:name="_Hlk42676997"/>
      <w:r>
        <w:rPr>
          <w:rFonts w:hint="eastAsia" w:ascii="宋体" w:hAnsi="宋体"/>
          <w:b/>
          <w:bCs/>
          <w:kern w:val="0"/>
          <w:sz w:val="24"/>
        </w:rPr>
        <w:t>一、项目背景</w:t>
      </w:r>
      <w:bookmarkEnd w:id="16"/>
      <w:bookmarkEnd w:id="17"/>
    </w:p>
    <w:bookmarkEnd w:id="18"/>
    <w:p>
      <w:pPr>
        <w:spacing w:line="440" w:lineRule="exact"/>
        <w:ind w:firstLine="480" w:firstLineChars="200"/>
        <w:rPr>
          <w:rFonts w:ascii="宋体" w:hAnsi="宋体" w:cs="宋体"/>
          <w:bCs/>
          <w:color w:val="000000"/>
          <w:sz w:val="24"/>
        </w:rPr>
      </w:pPr>
      <w:r>
        <w:rPr>
          <w:rFonts w:hint="eastAsia" w:ascii="宋体" w:hAnsi="宋体" w:cs="宋体"/>
          <w:bCs/>
          <w:color w:val="000000"/>
          <w:sz w:val="24"/>
        </w:rPr>
        <w:t>为进一步扩大前海深港现代服务业合作区（以下简称前海合作区）对香港特别行政区、澳门特别行政区（以下简称港澳）服务领域开放，推动前海合作区内港澳及境外人士执业便利化，促进港澳导游及领队等旅游从业人员便捷有序来前海提供服务，根据《深圳市推进港澳导游及领队在深便利执业工作方案》《深圳前海深港现代服务业合作区港澳导游及领队执业备案暂行规定》要求，采购单位将组织开展2023年第一批前海港澳导游及领队执业管理事务性工作服务项目工作。</w:t>
      </w:r>
    </w:p>
    <w:p>
      <w:pPr>
        <w:spacing w:line="440" w:lineRule="exact"/>
        <w:ind w:firstLine="482" w:firstLineChars="200"/>
        <w:rPr>
          <w:rFonts w:ascii="宋体" w:hAnsi="宋体" w:cs="宋体"/>
          <w:b/>
          <w:kern w:val="0"/>
          <w:sz w:val="24"/>
        </w:rPr>
      </w:pPr>
      <w:r>
        <w:rPr>
          <w:rFonts w:hint="eastAsia" w:ascii="宋体" w:hAnsi="宋体" w:cs="宋体"/>
          <w:b/>
          <w:kern w:val="0"/>
          <w:sz w:val="24"/>
        </w:rPr>
        <w:t>二、项目内容</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完成2023年第一批（共100名）前海港澳导游及领队执业岗前培训及认证，负责2023年第一批（共100名）前海港澳导游及领队执业管理事务性工作。须根据《深圳前海深港现代服务业合作区港澳导游及领队执业备案暂行规定》及本项目内容，完成以下工作。</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一）协助完成港澳导游及领队执业岗前培训及认证工作。包括但不限于：1.调研前海合作区内旅行社注册经营及港澳导游签约基本情况；2.配合梳理横琴合作区港澳导游及领队执业培训的有关经验；3.配合完成前海合作区旅游景点的导游词撰写及涉前海培训教材（非出版物）的编制；4.港澳导游及领队执业的岗前理论和实务培训；5.配合组织港澳导游报名参训、协助组织宣讲会、邀请培训及认证专家等。</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二）负责港澳导游及领队执业管理等事务性工作。包括但不限于：1.港澳导游及领队的报名初审、培训有关资料初审；2.配合发送港澳导游及领队的培训轮候通知；3.配合设计和寄发港澳导游及领队认证备案证书；4.配合全流程的宣传推广、沟通对接和备案归档等；5.保障线上培训考核会务等工作。</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三）结合政策要求和时间计划，协助完善港澳导游及领队执业培训时间安排、培训方式调整等其他辅助工作。包括：1.按照培训时长24小时（理论培训16小时、前海实训8小时，安排在3个工作日进行）执行，具体时间可视疫情等情况调整。2.按照培训要求，采取线上方式进行港澳导游及领队的执业资格培训，具体形式可视疫情等情况调整。3.根据工作需要，本期最终接收培训的港澳导游及领队总人数100人。</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三、项目验收材料及验收方式</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（一）验收材料</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最终材料及成果构成如下（包括但不限于）：</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1.提供培训及认证专家名单及简介、专家培训原创课件、线上培训录制视频、线上培训签到表和寄发认证证书证明，上述材料提供电子版。</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2.前海合作区港澳导游执业考试试题、考试成绩证明及合格证明、认证证书扫描件，上述材料提供电子版和纸质版（纸质版加盖公章）。</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3.前海合作区旅游景点导游词、港澳导游及领队执业培训课程中涉及前海培训教材，上述材料提供电子版和纸质版（纸质版加盖公章）。</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4.在合同履行过程中，经甲乙双方同意，可对最终验收材料及成果的构成进行调整。</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（二）验收方式</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最终成果验收合格的标志为：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乙方提出验收申请，根据签订合同具体要求甲方验收并出具项目验收证明。</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（三）后续服务</w:t>
      </w:r>
    </w:p>
    <w:p>
      <w:pPr>
        <w:widowControl/>
        <w:spacing w:line="440" w:lineRule="exact"/>
        <w:ind w:firstLine="420"/>
        <w:rPr>
          <w:rFonts w:ascii="宋体" w:hAnsi="宋体" w:cs="宋体"/>
          <w:bCs/>
          <w:color w:val="000000"/>
          <w:sz w:val="24"/>
        </w:rPr>
      </w:pPr>
      <w:r>
        <w:rPr>
          <w:rFonts w:hint="eastAsia" w:ascii="宋体" w:hAnsi="宋体" w:cs="宋体"/>
          <w:bCs/>
          <w:color w:val="000000"/>
          <w:sz w:val="24"/>
        </w:rPr>
        <w:t>乙方提交的本项目最终验收材料及成果通过甲方审查验收之日起5个月为本合同后续服务期。服务期内乙方应向甲方提供后续的专业咨询服务。</w:t>
      </w:r>
    </w:p>
    <w:p>
      <w:pPr>
        <w:widowControl/>
        <w:spacing w:line="440" w:lineRule="exact"/>
        <w:ind w:firstLine="420"/>
        <w:rPr>
          <w:rFonts w:ascii="宋体" w:hAnsi="宋体" w:cs="宋体"/>
          <w:b/>
          <w:kern w:val="0"/>
          <w:sz w:val="24"/>
        </w:rPr>
      </w:pPr>
      <w:r>
        <w:rPr>
          <w:rFonts w:hint="eastAsia" w:ascii="宋体" w:hAnsi="宋体" w:cs="宋体"/>
          <w:b/>
          <w:kern w:val="0"/>
          <w:sz w:val="24"/>
        </w:rPr>
        <w:t>四、商务要求</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（一）服务期限及要求</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本项目工作期限为自合同签订之日起至 2023年7月31日止。后续服务期自2023年8月1日起至2023年12月31日止。</w:t>
      </w:r>
    </w:p>
    <w:p>
      <w:pPr>
        <w:widowControl/>
        <w:spacing w:line="440" w:lineRule="exact"/>
        <w:ind w:firstLine="482" w:firstLineChars="200"/>
        <w:rPr>
          <w:rFonts w:ascii="宋体" w:hAnsi="宋体" w:cs="宋体"/>
          <w:b/>
          <w:color w:val="000000"/>
          <w:sz w:val="24"/>
        </w:rPr>
      </w:pPr>
      <w:r>
        <w:rPr>
          <w:rFonts w:hint="eastAsia" w:ascii="宋体" w:hAnsi="宋体" w:cs="宋体"/>
          <w:b/>
          <w:color w:val="000000"/>
          <w:sz w:val="24"/>
        </w:rPr>
        <w:t>（</w:t>
      </w:r>
      <w:r>
        <w:rPr>
          <w:rFonts w:hint="eastAsia" w:ascii="宋体" w:hAnsi="宋体" w:cs="宋体"/>
          <w:b/>
          <w:color w:val="000000"/>
          <w:sz w:val="24"/>
          <w:lang w:eastAsia="zh-Hans"/>
        </w:rPr>
        <w:t>二</w:t>
      </w:r>
      <w:r>
        <w:rPr>
          <w:rFonts w:hint="eastAsia" w:ascii="宋体" w:hAnsi="宋体" w:cs="宋体"/>
          <w:b/>
          <w:color w:val="000000"/>
          <w:sz w:val="24"/>
        </w:rPr>
        <w:t>）项目预算</w:t>
      </w:r>
    </w:p>
    <w:p>
      <w:pPr>
        <w:widowControl/>
        <w:spacing w:line="440" w:lineRule="exact"/>
        <w:ind w:firstLine="480" w:firstLineChars="200"/>
        <w:rPr>
          <w:rFonts w:ascii="宋体" w:hAnsi="宋体"/>
          <w:color w:val="000000"/>
          <w:sz w:val="24"/>
        </w:rPr>
      </w:pPr>
      <w:r>
        <w:rPr>
          <w:rFonts w:ascii="宋体" w:hAnsi="宋体"/>
          <w:color w:val="000000"/>
          <w:sz w:val="24"/>
        </w:rPr>
        <w:t>人民币</w:t>
      </w:r>
      <w:r>
        <w:rPr>
          <w:rFonts w:hint="eastAsia" w:ascii="宋体" w:hAnsi="宋体"/>
          <w:color w:val="000000"/>
          <w:sz w:val="24"/>
        </w:rPr>
        <w:t>贰拾肆万元</w:t>
      </w:r>
      <w:r>
        <w:rPr>
          <w:rFonts w:hint="eastAsia" w:ascii="宋体" w:hAnsi="宋体"/>
          <w:color w:val="000000"/>
          <w:sz w:val="24"/>
          <w:lang w:eastAsia="zh-Hans"/>
        </w:rPr>
        <w:t>整</w:t>
      </w:r>
      <w:r>
        <w:rPr>
          <w:rFonts w:ascii="宋体" w:hAnsi="宋体"/>
          <w:color w:val="000000"/>
          <w:sz w:val="24"/>
        </w:rPr>
        <w:t>（</w:t>
      </w:r>
      <w:r>
        <w:rPr>
          <w:rFonts w:ascii="宋体" w:hAnsi="宋体" w:cs="仿宋"/>
          <w:color w:val="000000"/>
          <w:kern w:val="0"/>
          <w:sz w:val="24"/>
        </w:rPr>
        <w:t>￥</w:t>
      </w:r>
      <w:r>
        <w:rPr>
          <w:rFonts w:hint="eastAsia" w:ascii="宋体" w:hAnsi="宋体"/>
          <w:kern w:val="0"/>
          <w:sz w:val="24"/>
        </w:rPr>
        <w:t>24</w:t>
      </w:r>
      <w:r>
        <w:rPr>
          <w:rFonts w:ascii="宋体" w:hAnsi="宋体"/>
          <w:kern w:val="0"/>
          <w:sz w:val="24"/>
        </w:rPr>
        <w:t>0,000.00</w:t>
      </w:r>
      <w:r>
        <w:rPr>
          <w:rFonts w:ascii="宋体" w:hAnsi="宋体"/>
          <w:color w:val="000000"/>
          <w:sz w:val="24"/>
        </w:rPr>
        <w:t>元）</w:t>
      </w:r>
      <w:r>
        <w:rPr>
          <w:rFonts w:hint="eastAsia" w:ascii="宋体" w:hAnsi="宋体"/>
          <w:color w:val="000000"/>
          <w:sz w:val="24"/>
        </w:rPr>
        <w:t>。</w:t>
      </w:r>
    </w:p>
    <w:p>
      <w:pPr>
        <w:widowControl/>
        <w:spacing w:line="440" w:lineRule="exact"/>
        <w:ind w:firstLine="482" w:firstLineChars="200"/>
        <w:rPr>
          <w:rFonts w:ascii="宋体" w:hAnsi="宋体" w:cs="宋体"/>
          <w:b/>
          <w:color w:val="000000"/>
          <w:sz w:val="24"/>
        </w:rPr>
      </w:pPr>
      <w:r>
        <w:rPr>
          <w:rFonts w:hint="eastAsia" w:ascii="宋体" w:hAnsi="宋体"/>
          <w:b/>
          <w:color w:val="000000"/>
          <w:kern w:val="0"/>
          <w:sz w:val="24"/>
        </w:rPr>
        <w:t>（三）报价及支付方式</w:t>
      </w:r>
    </w:p>
    <w:p>
      <w:pPr>
        <w:widowControl/>
        <w:spacing w:line="440" w:lineRule="exact"/>
        <w:ind w:firstLine="480" w:firstLineChars="200"/>
        <w:rPr>
          <w:rFonts w:ascii="宋体" w:hAnsi="宋体" w:cs="宋体"/>
          <w:bCs/>
          <w:color w:val="000000"/>
          <w:sz w:val="24"/>
        </w:rPr>
      </w:pPr>
      <w:r>
        <w:rPr>
          <w:rFonts w:hint="eastAsia" w:ascii="宋体" w:hAnsi="宋体" w:cs="宋体"/>
          <w:bCs/>
          <w:color w:val="000000"/>
          <w:sz w:val="24"/>
        </w:rPr>
        <w:t>1.报价要求</w:t>
      </w:r>
    </w:p>
    <w:p>
      <w:pPr>
        <w:widowControl/>
        <w:spacing w:line="440" w:lineRule="exact"/>
        <w:ind w:firstLine="480" w:firstLineChars="200"/>
        <w:rPr>
          <w:rFonts w:ascii="宋体" w:hAnsi="宋体"/>
          <w:color w:val="000000"/>
          <w:sz w:val="24"/>
        </w:rPr>
      </w:pPr>
      <w:r>
        <w:rPr>
          <w:rFonts w:hint="eastAsia" w:ascii="宋体" w:hAnsi="宋体" w:cs="宋体"/>
          <w:bCs/>
          <w:color w:val="000000"/>
          <w:sz w:val="24"/>
        </w:rPr>
        <w:t>本次投标为总价包干，</w:t>
      </w:r>
      <w:r>
        <w:rPr>
          <w:rFonts w:hint="eastAsia" w:ascii="宋体" w:hAnsi="宋体"/>
          <w:color w:val="000000"/>
          <w:sz w:val="24"/>
        </w:rPr>
        <w:t>中标人报价包含提供服务的全部费用，包括但不限于如下内容：</w:t>
      </w:r>
    </w:p>
    <w:p>
      <w:pPr>
        <w:widowControl/>
        <w:spacing w:line="440" w:lineRule="exact"/>
        <w:ind w:firstLine="480" w:firstLineChars="200"/>
        <w:rPr>
          <w:rFonts w:ascii="宋体" w:hAnsi="宋体"/>
          <w:sz w:val="24"/>
        </w:rPr>
      </w:pPr>
      <w:r>
        <w:rPr>
          <w:rFonts w:hint="eastAsia" w:ascii="宋体" w:hAnsi="宋体"/>
          <w:sz w:val="24"/>
        </w:rPr>
        <w:t>（1）岗前培训讲师费、培训助理费用、导游词编写、审核费用、教材编制、审核费用、培训课程拍摄、剪辑制作费用；</w:t>
      </w:r>
    </w:p>
    <w:p>
      <w:pPr>
        <w:widowControl/>
        <w:spacing w:line="440" w:lineRule="exact"/>
        <w:ind w:firstLine="480" w:firstLineChars="200"/>
        <w:rPr>
          <w:rFonts w:ascii="宋体" w:hAnsi="宋体"/>
          <w:sz w:val="24"/>
        </w:rPr>
      </w:pPr>
      <w:r>
        <w:rPr>
          <w:rFonts w:hint="eastAsia" w:ascii="宋体" w:hAnsi="宋体"/>
          <w:sz w:val="24"/>
        </w:rPr>
        <w:t>（2）培训认证笔试专家出题费、面试考核费；</w:t>
      </w:r>
    </w:p>
    <w:p>
      <w:pPr>
        <w:widowControl/>
        <w:spacing w:line="440" w:lineRule="exact"/>
        <w:ind w:firstLine="480" w:firstLineChars="200"/>
        <w:rPr>
          <w:rFonts w:ascii="宋体" w:hAnsi="宋体"/>
          <w:sz w:val="24"/>
        </w:rPr>
      </w:pPr>
      <w:r>
        <w:rPr>
          <w:rFonts w:hint="eastAsia" w:ascii="宋体" w:hAnsi="宋体"/>
          <w:sz w:val="24"/>
        </w:rPr>
        <w:t>（3）100人认证证书、专用证件邮寄费等费用；</w:t>
      </w:r>
    </w:p>
    <w:p>
      <w:pPr>
        <w:widowControl/>
        <w:spacing w:line="440" w:lineRule="exact"/>
        <w:ind w:firstLine="480" w:firstLineChars="200"/>
        <w:rPr>
          <w:rFonts w:ascii="宋体" w:hAnsi="宋体"/>
          <w:sz w:val="24"/>
        </w:rPr>
      </w:pPr>
      <w:r>
        <w:rPr>
          <w:rFonts w:hint="eastAsia" w:ascii="宋体" w:hAnsi="宋体"/>
          <w:sz w:val="24"/>
        </w:rPr>
        <w:t>（4）中标人工作人员工资、差旅费</w:t>
      </w:r>
    </w:p>
    <w:p>
      <w:pPr>
        <w:widowControl/>
        <w:spacing w:line="440" w:lineRule="exact"/>
        <w:ind w:firstLine="480" w:firstLineChars="200"/>
        <w:rPr>
          <w:rFonts w:ascii="宋体" w:hAnsi="宋体"/>
          <w:sz w:val="24"/>
        </w:rPr>
      </w:pPr>
      <w:r>
        <w:rPr>
          <w:rFonts w:hint="eastAsia" w:ascii="宋体" w:hAnsi="宋体"/>
          <w:sz w:val="24"/>
        </w:rPr>
        <w:t>（5）中标人的办公、通讯、交通费用；</w:t>
      </w:r>
    </w:p>
    <w:p>
      <w:pPr>
        <w:widowControl/>
        <w:spacing w:line="440" w:lineRule="exact"/>
        <w:ind w:firstLine="480" w:firstLineChars="200"/>
        <w:rPr>
          <w:rFonts w:ascii="宋体" w:hAnsi="宋体"/>
          <w:sz w:val="24"/>
        </w:rPr>
      </w:pPr>
      <w:r>
        <w:rPr>
          <w:rFonts w:hint="eastAsia" w:ascii="宋体" w:hAnsi="宋体"/>
          <w:sz w:val="24"/>
        </w:rPr>
        <w:t>（6）服务费；</w:t>
      </w:r>
    </w:p>
    <w:p>
      <w:pPr>
        <w:widowControl/>
        <w:spacing w:line="440" w:lineRule="exact"/>
        <w:ind w:firstLine="480" w:firstLineChars="200"/>
        <w:rPr>
          <w:rFonts w:ascii="宋体" w:hAnsi="宋体"/>
          <w:sz w:val="24"/>
        </w:rPr>
      </w:pPr>
      <w:r>
        <w:rPr>
          <w:rFonts w:hint="eastAsia" w:ascii="宋体" w:hAnsi="宋体"/>
          <w:sz w:val="24"/>
        </w:rPr>
        <w:t>（7）本合同项下产生的一切税费；</w:t>
      </w:r>
    </w:p>
    <w:p>
      <w:pPr>
        <w:widowControl/>
        <w:spacing w:line="440" w:lineRule="exact"/>
        <w:ind w:firstLine="480" w:firstLineChars="200"/>
        <w:rPr>
          <w:rFonts w:ascii="宋体" w:hAnsi="宋体"/>
          <w:sz w:val="24"/>
        </w:rPr>
      </w:pPr>
      <w:r>
        <w:rPr>
          <w:rFonts w:hint="eastAsia" w:ascii="宋体" w:hAnsi="宋体"/>
          <w:sz w:val="24"/>
        </w:rPr>
        <w:t>（8）本合同项下产生的其他合理费用。</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olor w:val="000000"/>
          <w:sz w:val="24"/>
        </w:rPr>
        <w:t>支付方式</w:t>
      </w:r>
    </w:p>
    <w:p>
      <w:pPr>
        <w:widowControl/>
        <w:spacing w:line="440" w:lineRule="exact"/>
        <w:ind w:firstLine="480" w:firstLineChars="200"/>
        <w:rPr>
          <w:rFonts w:ascii="宋体" w:hAnsi="宋体"/>
          <w:color w:val="000000"/>
          <w:sz w:val="24"/>
        </w:rPr>
      </w:pPr>
      <w:r>
        <w:rPr>
          <w:rFonts w:hint="eastAsia" w:ascii="宋体" w:hAnsi="宋体"/>
          <w:color w:val="000000"/>
          <w:sz w:val="24"/>
        </w:rPr>
        <w:t>第1期：本合同签订后15个工作日内，中标人向采购人提出付款申请，采购人向中标人支付总价款的50%；</w:t>
      </w:r>
    </w:p>
    <w:p>
      <w:pPr>
        <w:widowControl/>
        <w:spacing w:line="440" w:lineRule="exact"/>
        <w:ind w:firstLine="480" w:firstLineChars="200"/>
        <w:rPr>
          <w:rFonts w:ascii="宋体" w:hAnsi="宋体"/>
          <w:color w:val="000000"/>
          <w:sz w:val="24"/>
        </w:rPr>
      </w:pPr>
      <w:r>
        <w:rPr>
          <w:rFonts w:hint="eastAsia" w:ascii="宋体" w:hAnsi="宋体"/>
          <w:color w:val="000000"/>
          <w:sz w:val="24"/>
        </w:rPr>
        <w:t>第2期：中标人完成项目全部服务内容且按要求验收通过后，中标人向采购人提出付款申请，采购人向中标人支付总价款的50%。</w:t>
      </w:r>
    </w:p>
    <w:p>
      <w:pPr>
        <w:widowControl/>
        <w:spacing w:line="440" w:lineRule="exact"/>
        <w:ind w:firstLine="480" w:firstLineChars="200"/>
        <w:rPr>
          <w:rFonts w:ascii="宋体" w:hAnsi="宋体"/>
          <w:color w:val="000000"/>
          <w:sz w:val="24"/>
        </w:rPr>
      </w:pPr>
      <w:r>
        <w:rPr>
          <w:rFonts w:hint="eastAsia" w:ascii="宋体" w:hAnsi="宋体"/>
          <w:color w:val="000000"/>
          <w:sz w:val="24"/>
        </w:rPr>
        <w:t>上述每期款项均在满足付款条件，且采购人收到中标人开具的载明相应金额的合格发票后15个工作日内付至中标人指定银行账户。如未及时收到发票，则采购人相应付款时间顺延。</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★（四）成果归属</w:t>
      </w:r>
    </w:p>
    <w:p>
      <w:pPr>
        <w:snapToGrid w:val="0"/>
        <w:spacing w:line="440" w:lineRule="exact"/>
        <w:ind w:firstLine="480" w:firstLineChars="200"/>
        <w:rPr>
          <w:rFonts w:ascii="宋体" w:hAnsi="宋体" w:cs="宋体"/>
          <w:bCs/>
          <w:color w:val="000000"/>
          <w:sz w:val="24"/>
        </w:rPr>
      </w:pPr>
      <w:r>
        <w:rPr>
          <w:rFonts w:hint="eastAsia" w:ascii="宋体" w:hAnsi="宋体" w:cs="宋体"/>
          <w:bCs/>
          <w:color w:val="000000"/>
          <w:sz w:val="24"/>
        </w:rPr>
        <w:t>1.</w:t>
      </w:r>
      <w:r>
        <w:rPr>
          <w:rFonts w:hint="eastAsia" w:ascii="宋体" w:hAnsi="宋体"/>
          <w:color w:val="000000"/>
          <w:kern w:val="0"/>
          <w:sz w:val="24"/>
        </w:rPr>
        <w:t>本项目全部成果（包括服务期内编制的文件）的所有权、知识产权以及与之相关的所有权利归采购人所有。本合同签署前双方已经拥有的知</w:t>
      </w:r>
      <w:r>
        <w:rPr>
          <w:rFonts w:hint="eastAsia" w:ascii="宋体" w:hAnsi="宋体" w:cs="宋体"/>
          <w:bCs/>
          <w:color w:val="000000"/>
          <w:sz w:val="24"/>
        </w:rPr>
        <w:t>识产权权利，仍归各自所有。</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2.双方确定，采购人有权利用中标人按照合同约定提供的成果进行后续改进。由此产生的具有实质性或创造性技术进步特征的新的技术成果及其权利归属，全部由采购人享有。</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 中标人所提交的全部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相应损失的权利，包括但不限于上述索赔或责任所产生的诉讼费用、合理的律师费用、鉴定评估费用、调查费用、和解金额或生效法律文书中规定的赔偿金额。</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5.中标人完成本合同项目的研究开发人员享有在有关技术成果文件上写明技术成果完成者的权利和与采购人共同获得有关荣誉证书、奖励的权利。</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w:t>
      </w:r>
      <w:r>
        <w:rPr>
          <w:rFonts w:hint="eastAsia" w:ascii="宋体" w:hAnsi="宋体" w:cs="宋体"/>
          <w:b/>
          <w:color w:val="000000"/>
          <w:sz w:val="24"/>
        </w:rPr>
        <w:t>（五）保密条款</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双方应保守的秘密是指不为公众所知悉、能为权利人带来经济利益、具有实用性并经权利人采取保密措施的技术信息和经营信息，或由双方在履行本合同过程中明确指明为秘密的、法律所认可的任何信息，以及中标人在履行本合同过程中所获得或接触到的任何采购人内部数据资料。</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技术人员使用。</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中标人应以保密方式处理在编制本项目成果文件过程中自采购人、采购人工作人员或采购人关联机构获得的相关信息、资料、图纸、数据等，或由采购人在履行本合同过程中明确指明为秘密的任何信息,以及中标人因本项目工作所直接或间接取得、处理或接触的任何其他资料。未经采购人书面在先同意，中标人不得向任何第三方透露任何有关本项目的内容，或公开任何项目阶段性成果或最终成果。即使向履行本合同有关的人员提供前述保密信息，也应限于履行合同的必需范围，且人员应接受至少与本条款同等严格的保密条款的约束。</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4.中标人实施项目的程序应符合国家安全、保密的有关规定和标准。</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5.上述保密义务不适用以下情况：</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（1）获取的信息已被合法公开；</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（2）获得信息拥有方书面许可并在该许可范围内披露；</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（3）国家法律、法规规定的情形。</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7.无论本合同或本合同其他条款是否有效，本保密条款始终约束双方。国家秘密的保密期限由国家有关部门确定，工作秘密的保密期限由采购人确定。</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w:t>
      </w:r>
      <w:r>
        <w:rPr>
          <w:rFonts w:hint="eastAsia" w:ascii="宋体" w:hAnsi="宋体" w:cs="宋体"/>
          <w:b/>
          <w:color w:val="000000"/>
          <w:sz w:val="24"/>
        </w:rPr>
        <w:t>（六）违约责任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1.中标人的违约责任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 xml:space="preserve">（1）中标人无任何理由部分或全部不履行合同中应承担的义务时，中标人应按本合同总额的20%向采购人支付违约金。  </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（2）本合同履行期间，因中标人原因，未按照本合同约定的时间完成本项目各阶段工作或交付最终成果文件的，每延误一天，采购人有权在尚未支付的合同款项中扣除合同总价款3‰的逾期违约金。</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①因中标人工作的错误或遗漏造成成果质量损失，且中标人未按采购人要求采取及时有效的补救措施的；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②中标人未能按合同约定的日期(含协商延缓的日期)提交工作成果，延误时间超过30个工作日；</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③中标人虽如期提交最终成果，但最终成果连续二次未能通过验收的；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④未经采购人书面许可，中标人不得将本合同项目与任何第三方合作，或将本合同标的的全部或部分擅自转包给任何第三方；</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⑤发现中标人或中标人工作人员出现全部或部分丧失履行委托服务能力的情况，采购人有权通知中标人限期整改或更换工作人员，期限届满中标人并未进行改善的；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⑥项目负责人未承担本合同项目实质性工作，或未经采购人书面在先同意，中标人擅自更换项目负责人的；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⑦中标人明确表示或者以自己的行为表明不履行合同的。</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2.采购人的违约责任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1）除因审批流程影响支付进度外，如采购人未按本合同约定支付服务费，中标人书面催告采购人并给予不少于30个工作日的履行期限后采购人仍未支付的，中标人有权自该期限届满之日起要求采购人支付该阶段合同价款每日0.5‰的逾期违约金，逾期违约金总额不超过合同总价款的20%。逾期超过30（个）工作日（含30个工作日）以上时，中标人有权暂停履行下阶段工作，并书面通知采购人。</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（2）如政策性原因导致本项目停工不属于采购人违约，采购人根据中标人实际完成工作结算统计服务费，采购人不另行支付额外费用，并不承担任何违约责任。</w:t>
      </w:r>
    </w:p>
    <w:p>
      <w:pPr>
        <w:tabs>
          <w:tab w:val="left" w:pos="4680"/>
        </w:tabs>
        <w:spacing w:line="440" w:lineRule="exact"/>
        <w:ind w:firstLine="480" w:firstLineChars="200"/>
        <w:rPr>
          <w:rFonts w:ascii="宋体" w:hAnsi="宋体" w:cs="宋体"/>
          <w:bCs/>
          <w:color w:val="000000"/>
          <w:sz w:val="24"/>
        </w:rPr>
      </w:pPr>
      <w:r>
        <w:rPr>
          <w:rFonts w:hint="eastAsia" w:ascii="宋体" w:hAnsi="宋体" w:cs="宋体"/>
          <w:bCs/>
          <w:color w:val="000000"/>
          <w:sz w:val="24"/>
        </w:rPr>
        <w:t>3.上述违约责任各自独立且可累加。如合同所约定的违约金无法弥补因违约行为所造成的损失，违约方应补偿上述不足部分的损失。</w:t>
      </w:r>
    </w:p>
    <w:p>
      <w:pPr>
        <w:tabs>
          <w:tab w:val="left" w:pos="4680"/>
        </w:tabs>
        <w:spacing w:line="440" w:lineRule="exact"/>
        <w:ind w:firstLine="482" w:firstLineChars="200"/>
        <w:rPr>
          <w:rFonts w:ascii="宋体" w:hAnsi="宋体" w:cs="宋体"/>
          <w:b/>
          <w:color w:val="000000"/>
          <w:sz w:val="24"/>
        </w:rPr>
      </w:pPr>
      <w:r>
        <w:rPr>
          <w:rFonts w:hint="eastAsia" w:ascii="宋体" w:hAnsi="宋体" w:cs="宋体"/>
          <w:b/>
          <w:color w:val="000000"/>
          <w:sz w:val="24"/>
        </w:rPr>
        <w:t>五、其他要求</w:t>
      </w:r>
    </w:p>
    <w:p>
      <w:pPr>
        <w:spacing w:line="360" w:lineRule="auto"/>
        <w:ind w:firstLine="480" w:firstLineChars="200"/>
        <w:jc w:val="left"/>
        <w:rPr>
          <w:rFonts w:ascii="宋体" w:hAnsi="宋体" w:cs="宋体"/>
          <w:sz w:val="24"/>
        </w:rPr>
      </w:pPr>
      <w:r>
        <w:rPr>
          <w:rFonts w:hint="eastAsia" w:ascii="宋体" w:hAnsi="宋体" w:cs="宋体"/>
          <w:bCs/>
          <w:color w:val="000000"/>
          <w:sz w:val="24"/>
        </w:rPr>
        <w:t>供应商不得将项目非法分包或转包给任何单位和个人。否则，采购单位有权即刻终止合同，并要求供应商赔偿相应损失。</w:t>
      </w:r>
      <w:r>
        <w:rPr>
          <w:rFonts w:hint="eastAsia" w:ascii="宋体" w:hAnsi="宋体" w:cs="宋体"/>
          <w:sz w:val="24"/>
        </w:rPr>
        <w:br w:type="page"/>
      </w:r>
      <w:bookmarkStart w:id="19" w:name="_Toc6457"/>
    </w:p>
    <w:p>
      <w:pPr>
        <w:spacing w:line="360" w:lineRule="auto"/>
        <w:ind w:firstLine="480" w:firstLineChars="200"/>
        <w:jc w:val="left"/>
        <w:rPr>
          <w:rFonts w:ascii="宋体" w:hAnsi="宋体" w:cs="宋体"/>
          <w:sz w:val="24"/>
        </w:rPr>
      </w:pPr>
    </w:p>
    <w:p>
      <w:pPr>
        <w:numPr>
          <w:ilvl w:val="0"/>
          <w:numId w:val="1"/>
        </w:numPr>
        <w:spacing w:line="360" w:lineRule="auto"/>
        <w:jc w:val="center"/>
        <w:outlineLvl w:val="0"/>
        <w:rPr>
          <w:rFonts w:ascii="宋体" w:hAnsi="宋体" w:cs="宋体"/>
          <w:b/>
          <w:sz w:val="24"/>
        </w:rPr>
      </w:pPr>
      <w:r>
        <w:rPr>
          <w:rFonts w:hint="eastAsia" w:ascii="宋体" w:hAnsi="宋体" w:cs="宋体"/>
          <w:b/>
          <w:sz w:val="24"/>
        </w:rPr>
        <w:t>投标文件初审及招标项目评分表</w:t>
      </w:r>
      <w:bookmarkEnd w:id="19"/>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jc w:val="center"/>
        <w:rPr>
          <w:rFonts w:ascii="宋体" w:cs="宋体"/>
          <w:b/>
          <w:bCs/>
          <w:sz w:val="24"/>
        </w:rPr>
      </w:pPr>
      <w:r>
        <w:rPr>
          <w:rFonts w:hint="eastAsia" w:ascii="宋体" w:hAnsi="宋体" w:cs="宋体"/>
          <w:b/>
          <w:bCs/>
          <w:sz w:val="24"/>
        </w:rPr>
        <w:t>招标项目评分表</w:t>
      </w:r>
    </w:p>
    <w:tbl>
      <w:tblPr>
        <w:tblStyle w:val="22"/>
        <w:tblW w:w="9702" w:type="dxa"/>
        <w:jc w:val="center"/>
        <w:tblLayout w:type="fixed"/>
        <w:tblCellMar>
          <w:top w:w="0" w:type="dxa"/>
          <w:left w:w="108" w:type="dxa"/>
          <w:bottom w:w="0" w:type="dxa"/>
          <w:right w:w="108" w:type="dxa"/>
        </w:tblCellMar>
      </w:tblPr>
      <w:tblGrid>
        <w:gridCol w:w="713"/>
        <w:gridCol w:w="791"/>
        <w:gridCol w:w="5836"/>
        <w:gridCol w:w="682"/>
        <w:gridCol w:w="873"/>
        <w:gridCol w:w="807"/>
      </w:tblGrid>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一、价格部分（10分）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投标报价</w:t>
            </w:r>
          </w:p>
        </w:tc>
        <w:tc>
          <w:tcPr>
            <w:tcW w:w="583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kern w:val="0"/>
                <w:szCs w:val="21"/>
                <w:lang w:bidi="ar"/>
              </w:rPr>
            </w:pPr>
            <w:r>
              <w:rPr>
                <w:rFonts w:hint="eastAsia" w:ascii="宋体" w:hAnsi="宋体" w:cs="宋体"/>
                <w:kern w:val="0"/>
                <w:szCs w:val="21"/>
                <w:lang w:bidi="ar"/>
              </w:rPr>
              <w:t>价格分计算方法：满足招标文件要求且投标价格最低的投标报价为评标基准价，其价格分为满分。其他投标人的价格分统一按照下列公式计算：</w:t>
            </w:r>
          </w:p>
          <w:p>
            <w:pPr>
              <w:widowControl/>
              <w:jc w:val="left"/>
              <w:textAlignment w:val="center"/>
              <w:rPr>
                <w:rFonts w:ascii="宋体" w:hAnsi="宋体" w:cs="宋体"/>
                <w:kern w:val="0"/>
                <w:szCs w:val="21"/>
                <w:lang w:bidi="ar"/>
              </w:rPr>
            </w:pPr>
            <w:r>
              <w:rPr>
                <w:rFonts w:hint="eastAsia" w:ascii="宋体" w:hAnsi="宋体" w:cs="宋体"/>
                <w:kern w:val="0"/>
                <w:szCs w:val="21"/>
                <w:lang w:bidi="ar"/>
              </w:rPr>
              <w:t>投标报价得分=</w:t>
            </w:r>
            <w:r>
              <w:rPr>
                <w:rFonts w:ascii="宋体" w:hAnsi="宋体" w:cs="宋体"/>
                <w:kern w:val="0"/>
                <w:szCs w:val="21"/>
                <w:lang w:bidi="ar"/>
              </w:rPr>
              <w:t>（</w:t>
            </w:r>
            <w:r>
              <w:rPr>
                <w:rFonts w:hint="eastAsia" w:ascii="宋体" w:hAnsi="宋体" w:cs="宋体"/>
                <w:kern w:val="0"/>
                <w:szCs w:val="21"/>
                <w:lang w:bidi="ar"/>
              </w:rPr>
              <w:t>评标基准价／投标报价</w:t>
            </w:r>
            <w:r>
              <w:rPr>
                <w:rFonts w:ascii="宋体" w:hAnsi="宋体" w:cs="宋体"/>
                <w:kern w:val="0"/>
                <w:szCs w:val="21"/>
                <w:lang w:bidi="ar"/>
              </w:rPr>
              <w:t>）</w:t>
            </w:r>
            <w:r>
              <w:rPr>
                <w:rFonts w:hint="eastAsia" w:ascii="宋体" w:hAnsi="宋体" w:cs="宋体"/>
                <w:kern w:val="0"/>
                <w:szCs w:val="21"/>
                <w:lang w:bidi="ar"/>
              </w:rPr>
              <w:t xml:space="preserve">×权重 </w:t>
            </w:r>
          </w:p>
          <w:p>
            <w:pPr>
              <w:widowControl/>
              <w:jc w:val="left"/>
              <w:textAlignment w:val="center"/>
              <w:rPr>
                <w:rFonts w:ascii="宋体" w:cs="宋体"/>
                <w:szCs w:val="21"/>
              </w:rPr>
            </w:pPr>
            <w:r>
              <w:rPr>
                <w:rFonts w:hint="eastAsia" w:ascii="宋体" w:hAnsi="宋体"/>
                <w:bCs/>
                <w:szCs w:val="21"/>
              </w:rPr>
              <w:t>备注：1、因落实政府采购政策进行价格调整的，以调整后的价格计算评标基准价和投标报价</w:t>
            </w:r>
            <w:r>
              <w:rPr>
                <w:rFonts w:hint="eastAsia" w:ascii="宋体" w:cs="宋体"/>
                <w:szCs w:val="21"/>
              </w:rPr>
              <w:t>。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widowControl/>
              <w:numPr>
                <w:ilvl w:val="255"/>
                <w:numId w:val="0"/>
              </w:numPr>
              <w:jc w:val="left"/>
              <w:textAlignment w:val="center"/>
              <w:rPr>
                <w:rFonts w:ascii="Arial" w:hAnsi="Arial" w:cs="Arial"/>
                <w:szCs w:val="21"/>
              </w:rPr>
            </w:pPr>
            <w:r>
              <w:rPr>
                <w:rFonts w:hint="eastAsia" w:ascii="宋体" w:hAnsi="宋体"/>
                <w:bCs/>
                <w:szCs w:val="21"/>
              </w:rPr>
              <w:t>2、投标报价得分四舍五入后，</w:t>
            </w:r>
            <w:r>
              <w:rPr>
                <w:rFonts w:hint="eastAsia" w:ascii="Arial" w:hAnsi="Arial" w:cs="Arial"/>
                <w:szCs w:val="21"/>
              </w:rPr>
              <w:t>小数点后保留两位有效数.</w:t>
            </w:r>
          </w:p>
          <w:p>
            <w:pPr>
              <w:widowControl/>
              <w:numPr>
                <w:ilvl w:val="255"/>
                <w:numId w:val="0"/>
              </w:numPr>
              <w:jc w:val="left"/>
              <w:textAlignment w:val="center"/>
              <w:rPr>
                <w:rFonts w:ascii="宋体" w:hAnsi="宋体" w:cs="宋体"/>
                <w:szCs w:val="21"/>
              </w:rPr>
            </w:pPr>
            <w:r>
              <w:rPr>
                <w:rFonts w:hint="eastAsia" w:ascii="宋体" w:hAnsi="宋体" w:cs="宋体"/>
                <w:kern w:val="0"/>
                <w:szCs w:val="21"/>
                <w:lang w:bidi="ar"/>
              </w:rPr>
              <w:t>本项目所属行业：</w:t>
            </w:r>
            <w:r>
              <w:rPr>
                <w:rFonts w:hint="eastAsia" w:ascii="宋体" w:hAnsi="宋体" w:cs="宋体"/>
                <w:kern w:val="0"/>
                <w:szCs w:val="21"/>
                <w:u w:val="single"/>
                <w:lang w:bidi="ar"/>
              </w:rPr>
              <w:t xml:space="preserve">   其他未列明行业        </w:t>
            </w:r>
            <w:r>
              <w:rPr>
                <w:rFonts w:hint="eastAsia" w:ascii="宋体" w:hAnsi="宋体" w:cs="宋体"/>
                <w:kern w:val="0"/>
                <w:szCs w:val="21"/>
                <w:lang w:bidi="ar"/>
              </w:rPr>
              <w:t xml:space="preserve">   </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59"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二、商务部分（</w:t>
            </w:r>
            <w:r>
              <w:rPr>
                <w:rFonts w:ascii="宋体" w:hAnsi="宋体" w:cs="宋体"/>
                <w:b/>
                <w:bCs/>
                <w:kern w:val="0"/>
                <w:sz w:val="22"/>
                <w:szCs w:val="22"/>
                <w:lang w:bidi="ar"/>
              </w:rPr>
              <w:t>5</w:t>
            </w:r>
            <w:r>
              <w:rPr>
                <w:rFonts w:hint="eastAsia" w:ascii="宋体" w:hAnsi="宋体" w:cs="宋体"/>
                <w:b/>
                <w:bCs/>
                <w:kern w:val="0"/>
                <w:sz w:val="22"/>
                <w:szCs w:val="22"/>
                <w:lang w:bidi="ar"/>
              </w:rPr>
              <w:t>5分）</w:t>
            </w:r>
          </w:p>
        </w:tc>
      </w:tr>
      <w:tr>
        <w:tblPrEx>
          <w:tblCellMar>
            <w:top w:w="0" w:type="dxa"/>
            <w:left w:w="108" w:type="dxa"/>
            <w:bottom w:w="0" w:type="dxa"/>
            <w:right w:w="108" w:type="dxa"/>
          </w:tblCellMar>
        </w:tblPrEx>
        <w:trPr>
          <w:trHeight w:val="9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nil"/>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2522"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同类项目业绩</w:t>
            </w:r>
          </w:p>
        </w:tc>
        <w:tc>
          <w:tcPr>
            <w:tcW w:w="5836" w:type="dxa"/>
            <w:tcBorders>
              <w:top w:val="single" w:color="000000" w:sz="4" w:space="0"/>
              <w:left w:val="single" w:color="000000" w:sz="4" w:space="0"/>
              <w:bottom w:val="single" w:color="000000" w:sz="4" w:space="0"/>
              <w:right w:val="single" w:color="000000" w:sz="4" w:space="0"/>
            </w:tcBorders>
            <w:vAlign w:val="center"/>
          </w:tcPr>
          <w:p>
            <w:pPr>
              <w:rPr>
                <w:szCs w:val="21"/>
              </w:rPr>
            </w:pPr>
            <w:r>
              <w:rPr>
                <w:rFonts w:hint="eastAsia"/>
                <w:szCs w:val="21"/>
              </w:rPr>
              <w:t>（一）评分依据：</w:t>
            </w:r>
          </w:p>
          <w:p>
            <w:r>
              <w:rPr>
                <w:rFonts w:hint="eastAsia"/>
                <w:szCs w:val="21"/>
              </w:rPr>
              <w:t>1、2019年1月1日以来，</w:t>
            </w:r>
            <w:r>
              <w:rPr>
                <w:rFonts w:hint="eastAsia"/>
              </w:rPr>
              <w:t>投标人</w:t>
            </w:r>
            <w:r>
              <w:rPr>
                <w:rFonts w:hint="eastAsia"/>
                <w:szCs w:val="21"/>
              </w:rPr>
              <w:t>有港澳导游培训或港澳导游执业管理事务性工作的项目经验，每提供1个项目业绩的得</w:t>
            </w:r>
            <w:r>
              <w:rPr>
                <w:szCs w:val="21"/>
              </w:rPr>
              <w:t>10</w:t>
            </w:r>
            <w:r>
              <w:rPr>
                <w:rFonts w:hint="eastAsia"/>
                <w:szCs w:val="21"/>
              </w:rPr>
              <w:t>分，本项最高得20分；</w:t>
            </w:r>
          </w:p>
          <w:p>
            <w:pPr>
              <w:rPr>
                <w:szCs w:val="21"/>
              </w:rPr>
            </w:pPr>
            <w:r>
              <w:rPr>
                <w:rFonts w:hint="eastAsia"/>
                <w:szCs w:val="21"/>
              </w:rPr>
              <w:t>（二）证明文件：</w:t>
            </w:r>
          </w:p>
          <w:p>
            <w:pPr>
              <w:widowControl/>
              <w:textAlignment w:val="center"/>
              <w:rPr>
                <w:rFonts w:ascii="宋体" w:hAnsi="宋体"/>
                <w:sz w:val="22"/>
              </w:rPr>
            </w:pPr>
            <w:r>
              <w:rPr>
                <w:rFonts w:hint="eastAsia"/>
                <w:szCs w:val="21"/>
              </w:rPr>
              <w:t xml:space="preserve">提供合同关键页（包括但不限于内容页、合同日期页、签章页）清晰复印件作为证明文件，原件备查。 </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20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760"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szCs w:val="21"/>
              </w:rPr>
              <w:t>项目负责人</w:t>
            </w:r>
          </w:p>
        </w:tc>
        <w:tc>
          <w:tcPr>
            <w:tcW w:w="5836" w:type="dxa"/>
            <w:tcBorders>
              <w:top w:val="single" w:color="000000" w:sz="4" w:space="0"/>
              <w:left w:val="single" w:color="000000" w:sz="4" w:space="0"/>
              <w:bottom w:val="single" w:color="auto" w:sz="4" w:space="0"/>
              <w:right w:val="single" w:color="000000" w:sz="4" w:space="0"/>
            </w:tcBorders>
            <w:vAlign w:val="center"/>
          </w:tcPr>
          <w:p>
            <w:r>
              <w:rPr>
                <w:rFonts w:hint="eastAsia"/>
              </w:rPr>
              <w:t>项目负责人仅限1人，需为投标人自有员工，否则本项不得分。</w:t>
            </w:r>
          </w:p>
          <w:p>
            <w:r>
              <w:rPr>
                <w:rFonts w:hint="eastAsia"/>
              </w:rPr>
              <w:t>（1）学历：具备</w:t>
            </w:r>
            <w:r>
              <w:rPr>
                <w:rFonts w:hint="eastAsia"/>
                <w:lang w:eastAsia="zh-Hans"/>
              </w:rPr>
              <w:t>大学本科或以上</w:t>
            </w:r>
            <w:r>
              <w:rPr>
                <w:rFonts w:hint="eastAsia"/>
              </w:rPr>
              <w:t>学历的，得4分。</w:t>
            </w:r>
          </w:p>
          <w:p>
            <w:r>
              <w:rPr>
                <w:rFonts w:hint="eastAsia"/>
              </w:rPr>
              <w:t>（2）项目负责人经验：每提供一项</w:t>
            </w:r>
            <w:r>
              <w:rPr>
                <w:rFonts w:hint="eastAsia"/>
                <w:szCs w:val="21"/>
              </w:rPr>
              <w:t>同类项目业绩</w:t>
            </w:r>
            <w:r>
              <w:rPr>
                <w:rFonts w:hint="eastAsia"/>
              </w:rPr>
              <w:t>的，得3分，最高得6分。</w:t>
            </w:r>
          </w:p>
          <w:p>
            <w:r>
              <w:rPr>
                <w:rFonts w:hint="eastAsia"/>
              </w:rPr>
              <w:t>（3）不提供或者不能有效证明的，得0分。</w:t>
            </w:r>
          </w:p>
          <w:p>
            <w:r>
              <w:rPr>
                <w:rFonts w:hint="eastAsia"/>
              </w:rPr>
              <w:t>注意事项：</w:t>
            </w:r>
          </w:p>
          <w:p>
            <w:pPr>
              <w:spacing w:line="360" w:lineRule="exact"/>
            </w:pPr>
            <w:r>
              <w:rPr>
                <w:rFonts w:hint="eastAsia"/>
              </w:rPr>
              <w:t>项目负责人需提供近3个月（2</w:t>
            </w:r>
            <w:r>
              <w:t>023年</w:t>
            </w:r>
            <w:r>
              <w:rPr>
                <w:rFonts w:hint="eastAsia"/>
              </w:rPr>
              <w:t>1月-</w:t>
            </w:r>
            <w:r>
              <w:t>3月</w:t>
            </w:r>
            <w:r>
              <w:rPr>
                <w:rFonts w:hint="eastAsia"/>
              </w:rPr>
              <w:t>）在投标单位缴纳的社保证明（新成立投标人提供自成立以来的社保证明）、学历证明，复印件需加盖公章作为证明文件、项目经验需提供合同关键页复印件证明。</w:t>
            </w:r>
          </w:p>
          <w:p>
            <w:pPr>
              <w:pStyle w:val="2"/>
            </w:pPr>
            <w:r>
              <w:rPr>
                <w:rFonts w:hint="eastAsia"/>
              </w:rPr>
              <w:t>（项目负责人的项目经验不要求一定在投标单位，但是要求合同关键页能证明该负责人曾经负责过所提供的项目）。</w:t>
            </w:r>
          </w:p>
        </w:tc>
        <w:tc>
          <w:tcPr>
            <w:tcW w:w="68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10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2618"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000000" w:sz="4" w:space="0"/>
              <w:left w:val="single" w:color="000000" w:sz="4" w:space="0"/>
              <w:bottom w:val="single" w:color="000000" w:sz="4" w:space="0"/>
              <w:right w:val="nil"/>
            </w:tcBorders>
            <w:vAlign w:val="center"/>
          </w:tcPr>
          <w:p>
            <w:pPr>
              <w:jc w:val="center"/>
              <w:rPr>
                <w:rFonts w:ascii="宋体" w:hAnsi="宋体" w:cs="宋体"/>
                <w:sz w:val="22"/>
                <w:szCs w:val="22"/>
              </w:rPr>
            </w:pPr>
            <w:r>
              <w:rPr>
                <w:rFonts w:hint="eastAsia" w:ascii="宋体" w:hAnsi="宋体"/>
                <w:szCs w:val="21"/>
              </w:rPr>
              <w:t>社会知名度影响力</w:t>
            </w:r>
          </w:p>
        </w:tc>
        <w:tc>
          <w:tcPr>
            <w:tcW w:w="5836" w:type="dxa"/>
            <w:tcBorders>
              <w:top w:val="single" w:color="auto" w:sz="4" w:space="0"/>
              <w:left w:val="single" w:color="000000" w:sz="4" w:space="0"/>
              <w:bottom w:val="single" w:color="auto" w:sz="4" w:space="0"/>
              <w:right w:val="single" w:color="000000" w:sz="4" w:space="0"/>
            </w:tcBorders>
            <w:vAlign w:val="center"/>
          </w:tcPr>
          <w:p>
            <w:r>
              <w:rPr>
                <w:rFonts w:hint="eastAsia"/>
              </w:rPr>
              <w:t>获得国家级或省级政府部门颁发奖项为</w:t>
            </w:r>
            <w:r>
              <w:t>2</w:t>
            </w:r>
            <w:r>
              <w:rPr>
                <w:rFonts w:hint="eastAsia"/>
              </w:rPr>
              <w:t>0分，副省级或市级政府部门颁发奖项每1项得</w:t>
            </w:r>
            <w:r>
              <w:t>10</w:t>
            </w:r>
            <w:r>
              <w:rPr>
                <w:rFonts w:hint="eastAsia"/>
              </w:rPr>
              <w:t>分，市级以下不得分。</w:t>
            </w:r>
          </w:p>
          <w:p>
            <w:pPr>
              <w:pStyle w:val="2"/>
            </w:pPr>
            <w:r>
              <w:rPr>
                <w:rFonts w:hint="eastAsia"/>
              </w:rPr>
              <w:t>同级别奖项按照获奖梯度打分。无相关获奖情况不得分，提供获奖证书、照片等证明文件复印件并加盖投标人公章，原件备查。（若提供多个奖项，则只取其获得的最高奖项，进行比较打分。）评分中出现无证明资料或者专家无法凭所提供资料判断获奖状况的情况，一律不得分处理。</w:t>
            </w:r>
          </w:p>
        </w:tc>
        <w:tc>
          <w:tcPr>
            <w:tcW w:w="682" w:type="dxa"/>
            <w:tcBorders>
              <w:top w:val="single" w:color="auto" w:sz="4" w:space="0"/>
              <w:left w:val="nil"/>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ascii="宋体" w:hAnsi="宋体" w:cs="宋体"/>
                <w:sz w:val="22"/>
                <w:szCs w:val="22"/>
              </w:rPr>
              <w:t>2</w:t>
            </w:r>
            <w:r>
              <w:rPr>
                <w:rFonts w:hint="eastAsia" w:ascii="宋体" w:hAnsi="宋体" w:cs="宋体"/>
                <w:sz w:val="22"/>
                <w:szCs w:val="22"/>
              </w:rPr>
              <w:t>0</w:t>
            </w:r>
          </w:p>
        </w:tc>
        <w:tc>
          <w:tcPr>
            <w:tcW w:w="87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1694"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4</w:t>
            </w:r>
          </w:p>
        </w:tc>
        <w:tc>
          <w:tcPr>
            <w:tcW w:w="791"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sz w:val="22"/>
                <w:szCs w:val="22"/>
              </w:rPr>
            </w:pPr>
            <w:r>
              <w:rPr>
                <w:rFonts w:hint="eastAsia" w:ascii="宋体" w:hAnsi="宋体" w:cs="宋体"/>
                <w:sz w:val="22"/>
                <w:szCs w:val="22"/>
              </w:rPr>
              <w:t>诚信审查</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 w:val="22"/>
                <w:szCs w:val="22"/>
                <w:lang w:bidi="ar"/>
              </w:rPr>
            </w:pPr>
            <w:r>
              <w:rPr>
                <w:rFonts w:hint="eastAsia" w:ascii="宋体" w:hAnsi="宋体" w:cs="宋体"/>
                <w:kern w:val="0"/>
                <w:szCs w:val="22"/>
                <w:lang w:bidi="ar"/>
              </w:rPr>
              <w:t>投标人在参与政府采购活动中存在诚信相关问题的，本项不得分，未出现相关诚信问题的得满分。投标人无需提供任何证明材料，由工作人员依据市政府采购网系统查询结果向评审委员会提供相关信息。</w:t>
            </w:r>
          </w:p>
        </w:tc>
        <w:tc>
          <w:tcPr>
            <w:tcW w:w="682" w:type="dxa"/>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5</w:t>
            </w:r>
          </w:p>
        </w:tc>
        <w:tc>
          <w:tcPr>
            <w:tcW w:w="87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r>
              <w:rPr>
                <w:rFonts w:hint="eastAsia" w:ascii="宋体" w:hAnsi="宋体" w:cs="宋体"/>
                <w:sz w:val="22"/>
                <w:szCs w:val="22"/>
              </w:rPr>
              <w:t>评审委员打分</w:t>
            </w:r>
          </w:p>
        </w:tc>
        <w:tc>
          <w:tcPr>
            <w:tcW w:w="80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45" w:hRule="atLeast"/>
          <w:jc w:val="center"/>
        </w:trPr>
        <w:tc>
          <w:tcPr>
            <w:tcW w:w="9702" w:type="dxa"/>
            <w:gridSpan w:val="6"/>
            <w:tcBorders>
              <w:top w:val="single" w:color="000000" w:sz="4" w:space="0"/>
              <w:left w:val="single" w:color="000000" w:sz="4" w:space="0"/>
              <w:bottom w:val="single" w:color="000000" w:sz="4" w:space="0"/>
              <w:right w:val="single" w:color="000000" w:sz="4" w:space="0"/>
            </w:tcBorders>
            <w:shd w:val="clear" w:color="auto" w:fill="D9D9D9"/>
            <w:vAlign w:val="center"/>
          </w:tcPr>
          <w:p>
            <w:pPr>
              <w:widowControl/>
              <w:jc w:val="center"/>
              <w:textAlignment w:val="center"/>
              <w:rPr>
                <w:rFonts w:ascii="宋体" w:hAnsi="宋体" w:cs="宋体"/>
                <w:sz w:val="22"/>
                <w:szCs w:val="22"/>
              </w:rPr>
            </w:pPr>
            <w:r>
              <w:rPr>
                <w:rFonts w:hint="eastAsia" w:ascii="宋体" w:hAnsi="宋体" w:cs="宋体"/>
                <w:b/>
                <w:bCs/>
                <w:kern w:val="0"/>
                <w:sz w:val="22"/>
                <w:szCs w:val="22"/>
                <w:lang w:bidi="ar"/>
              </w:rPr>
              <w:t>三、技术部分（35分）</w:t>
            </w:r>
          </w:p>
        </w:tc>
      </w:tr>
      <w:tr>
        <w:tblPrEx>
          <w:tblCellMar>
            <w:top w:w="0" w:type="dxa"/>
            <w:left w:w="108" w:type="dxa"/>
            <w:bottom w:w="0" w:type="dxa"/>
            <w:right w:w="108" w:type="dxa"/>
          </w:tblCellMar>
        </w:tblPrEx>
        <w:trPr>
          <w:trHeight w:val="491" w:hRule="atLeast"/>
          <w:jc w:val="center"/>
        </w:trPr>
        <w:tc>
          <w:tcPr>
            <w:tcW w:w="7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序号</w:t>
            </w:r>
          </w:p>
        </w:tc>
        <w:tc>
          <w:tcPr>
            <w:tcW w:w="791"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内容</w:t>
            </w:r>
          </w:p>
        </w:tc>
        <w:tc>
          <w:tcPr>
            <w:tcW w:w="5836"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评分规则</w:t>
            </w:r>
          </w:p>
        </w:tc>
        <w:tc>
          <w:tcPr>
            <w:tcW w:w="68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分值</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评分方式</w:t>
            </w:r>
          </w:p>
        </w:tc>
        <w:tc>
          <w:tcPr>
            <w:tcW w:w="8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得分</w:t>
            </w:r>
          </w:p>
        </w:tc>
      </w:tr>
      <w:tr>
        <w:tblPrEx>
          <w:tblCellMar>
            <w:top w:w="0" w:type="dxa"/>
            <w:left w:w="108" w:type="dxa"/>
            <w:bottom w:w="0" w:type="dxa"/>
            <w:right w:w="108" w:type="dxa"/>
          </w:tblCellMar>
        </w:tblPrEx>
        <w:trPr>
          <w:trHeight w:val="1416" w:hRule="atLeast"/>
          <w:jc w:val="center"/>
        </w:trPr>
        <w:tc>
          <w:tcPr>
            <w:tcW w:w="713"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1</w:t>
            </w:r>
          </w:p>
        </w:tc>
        <w:tc>
          <w:tcPr>
            <w:tcW w:w="791" w:type="dxa"/>
            <w:tcBorders>
              <w:top w:val="single" w:color="auto" w:sz="4" w:space="0"/>
              <w:left w:val="single" w:color="auto" w:sz="4" w:space="0"/>
              <w:bottom w:val="single" w:color="auto" w:sz="4" w:space="0"/>
              <w:right w:val="nil"/>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对项目的整体理解</w:t>
            </w:r>
          </w:p>
        </w:tc>
        <w:tc>
          <w:tcPr>
            <w:tcW w:w="5836" w:type="dxa"/>
            <w:tcBorders>
              <w:top w:val="single" w:color="auto" w:sz="4" w:space="0"/>
              <w:left w:val="single" w:color="000000" w:sz="4" w:space="0"/>
              <w:bottom w:val="single" w:color="auto" w:sz="4" w:space="0"/>
              <w:right w:val="single" w:color="auto" w:sz="4" w:space="0"/>
            </w:tcBorders>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考察对项目需求、项目目标、工作内容是否有完整的理解，进行横向综合比较。包含但不限于以下内容：</w:t>
            </w:r>
          </w:p>
          <w:p>
            <w:pPr>
              <w:widowControl/>
              <w:textAlignment w:val="center"/>
              <w:rPr>
                <w:rFonts w:ascii="宋体" w:hAnsi="宋体" w:cs="宋体"/>
                <w:kern w:val="0"/>
                <w:szCs w:val="21"/>
                <w:lang w:bidi="ar"/>
              </w:rPr>
            </w:pPr>
            <w:r>
              <w:rPr>
                <w:rFonts w:hint="eastAsia" w:ascii="宋体" w:hAnsi="宋体" w:cs="宋体"/>
                <w:kern w:val="0"/>
                <w:szCs w:val="21"/>
                <w:lang w:bidi="ar"/>
              </w:rPr>
              <w:t>1.对背景的理解；</w:t>
            </w:r>
          </w:p>
          <w:p>
            <w:pPr>
              <w:widowControl/>
              <w:textAlignment w:val="center"/>
              <w:rPr>
                <w:rFonts w:ascii="宋体" w:hAnsi="宋体" w:cs="宋体"/>
                <w:kern w:val="0"/>
                <w:szCs w:val="21"/>
                <w:lang w:bidi="ar"/>
              </w:rPr>
            </w:pPr>
            <w:r>
              <w:rPr>
                <w:rFonts w:hint="eastAsia" w:ascii="宋体" w:hAnsi="宋体" w:cs="宋体"/>
                <w:kern w:val="0"/>
                <w:szCs w:val="21"/>
                <w:lang w:bidi="ar"/>
              </w:rPr>
              <w:t>2.对项目需求及目标解读；</w:t>
            </w:r>
          </w:p>
          <w:p>
            <w:pPr>
              <w:widowControl/>
              <w:textAlignment w:val="center"/>
              <w:rPr>
                <w:rFonts w:ascii="宋体" w:hAnsi="宋体" w:cs="宋体"/>
                <w:kern w:val="0"/>
                <w:szCs w:val="21"/>
                <w:lang w:bidi="ar"/>
              </w:rPr>
            </w:pPr>
            <w:r>
              <w:rPr>
                <w:rFonts w:hint="eastAsia" w:ascii="宋体" w:hAnsi="宋体" w:cs="宋体"/>
                <w:kern w:val="0"/>
                <w:szCs w:val="21"/>
                <w:lang w:bidi="ar"/>
              </w:rPr>
              <w:t>3.对工作内容整体解读。</w:t>
            </w:r>
          </w:p>
          <w:p>
            <w:pPr>
              <w:spacing w:line="340" w:lineRule="exact"/>
              <w:jc w:val="left"/>
              <w:rPr>
                <w:rFonts w:ascii="宋体" w:hAnsi="宋体" w:cs="宋体"/>
                <w:szCs w:val="21"/>
              </w:rPr>
            </w:pPr>
            <w:r>
              <w:rPr>
                <w:rFonts w:hint="eastAsia" w:ascii="宋体" w:hAnsi="宋体" w:cs="宋体"/>
                <w:szCs w:val="21"/>
              </w:rPr>
              <w:t>满足以上三项内容得9分，满足任意两项内容得6分，满足任意一项内容得3分；在此基础上，对投标人响应情况进行分档评分：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1.优评分标准：理解准确到位，概括性强加6分。</w:t>
            </w:r>
          </w:p>
          <w:p>
            <w:pPr>
              <w:spacing w:line="340" w:lineRule="exact"/>
              <w:jc w:val="left"/>
              <w:rPr>
                <w:rFonts w:ascii="宋体" w:hAnsi="宋体" w:cs="宋体"/>
                <w:szCs w:val="21"/>
              </w:rPr>
            </w:pPr>
            <w:r>
              <w:rPr>
                <w:rFonts w:hint="eastAsia" w:ascii="宋体" w:hAnsi="宋体" w:cs="宋体"/>
                <w:szCs w:val="21"/>
              </w:rPr>
              <w:t>2.良评分标准：理解到位，具有一定概括性，加3分。</w:t>
            </w:r>
          </w:p>
          <w:p>
            <w:pPr>
              <w:spacing w:line="340" w:lineRule="exact"/>
              <w:jc w:val="left"/>
              <w:rPr>
                <w:rFonts w:ascii="宋体" w:hAnsi="宋体" w:cs="宋体"/>
                <w:szCs w:val="21"/>
              </w:rPr>
            </w:pPr>
            <w:r>
              <w:rPr>
                <w:rFonts w:hint="eastAsia" w:ascii="宋体" w:hAnsi="宋体" w:cs="宋体"/>
                <w:szCs w:val="21"/>
              </w:rPr>
              <w:t>3.中评分标准：理解有缺漏但基本到位，概括性低，加1分。</w:t>
            </w:r>
          </w:p>
          <w:p>
            <w:pPr>
              <w:widowControl/>
              <w:textAlignment w:val="center"/>
              <w:rPr>
                <w:rFonts w:ascii="宋体" w:hAnsi="宋体" w:cs="宋体"/>
                <w:szCs w:val="21"/>
              </w:rPr>
            </w:pPr>
            <w:r>
              <w:rPr>
                <w:rFonts w:hint="eastAsia" w:ascii="宋体" w:hAnsi="宋体" w:cs="宋体"/>
                <w:szCs w:val="21"/>
              </w:rPr>
              <w:t>4.差评分标准：理解有严重缺漏，无概括性，不加分。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15</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3977" w:hRule="atLeast"/>
          <w:jc w:val="center"/>
        </w:trPr>
        <w:tc>
          <w:tcPr>
            <w:tcW w:w="7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2</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项目重点难点分析、应对措施及相关的合理化建议</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kern w:val="0"/>
                <w:szCs w:val="21"/>
                <w:lang w:bidi="ar"/>
              </w:rPr>
            </w:pPr>
            <w:r>
              <w:rPr>
                <w:rFonts w:hint="eastAsia" w:ascii="宋体" w:hAnsi="宋体" w:cs="宋体"/>
                <w:kern w:val="0"/>
                <w:szCs w:val="21"/>
                <w:lang w:bidi="ar"/>
              </w:rPr>
              <w:t>考察对项目重点难点分析，应对措施及相关的合理化建议情况，进行横向综合比较。包含但不限于以下内容：</w:t>
            </w:r>
          </w:p>
          <w:p>
            <w:pPr>
              <w:widowControl/>
              <w:textAlignment w:val="center"/>
              <w:rPr>
                <w:rFonts w:ascii="宋体" w:hAnsi="宋体" w:cs="宋体"/>
                <w:kern w:val="0"/>
                <w:szCs w:val="21"/>
                <w:lang w:bidi="ar"/>
              </w:rPr>
            </w:pPr>
            <w:r>
              <w:rPr>
                <w:rFonts w:hint="eastAsia" w:ascii="宋体" w:hAnsi="宋体" w:cs="宋体"/>
                <w:kern w:val="0"/>
                <w:szCs w:val="21"/>
                <w:lang w:bidi="ar"/>
              </w:rPr>
              <w:t>1.分析项目难点、重点情况；</w:t>
            </w:r>
          </w:p>
          <w:p>
            <w:pPr>
              <w:widowControl/>
              <w:textAlignment w:val="center"/>
              <w:rPr>
                <w:rFonts w:ascii="宋体" w:hAnsi="宋体" w:cs="宋体"/>
                <w:kern w:val="0"/>
                <w:szCs w:val="21"/>
                <w:lang w:bidi="ar"/>
              </w:rPr>
            </w:pPr>
            <w:r>
              <w:rPr>
                <w:rFonts w:hint="eastAsia" w:ascii="宋体" w:hAnsi="宋体" w:cs="宋体"/>
                <w:kern w:val="0"/>
                <w:szCs w:val="21"/>
                <w:lang w:bidi="ar"/>
              </w:rPr>
              <w:t>2.提出应对措施；</w:t>
            </w:r>
          </w:p>
          <w:p>
            <w:pPr>
              <w:widowControl/>
              <w:textAlignment w:val="center"/>
              <w:rPr>
                <w:rFonts w:ascii="宋体" w:hAnsi="宋体" w:cs="宋体"/>
                <w:kern w:val="0"/>
                <w:szCs w:val="21"/>
                <w:lang w:bidi="ar"/>
              </w:rPr>
            </w:pPr>
            <w:r>
              <w:rPr>
                <w:rFonts w:hint="eastAsia" w:ascii="宋体" w:hAnsi="宋体" w:cs="宋体"/>
                <w:kern w:val="0"/>
                <w:szCs w:val="21"/>
                <w:lang w:bidi="ar"/>
              </w:rPr>
              <w:t>3.对项目进行合理化建议；</w:t>
            </w:r>
          </w:p>
          <w:p>
            <w:pPr>
              <w:spacing w:line="340" w:lineRule="exact"/>
              <w:jc w:val="left"/>
              <w:rPr>
                <w:rFonts w:ascii="宋体" w:hAnsi="宋体" w:cs="宋体"/>
                <w:szCs w:val="21"/>
              </w:rPr>
            </w:pPr>
            <w:r>
              <w:rPr>
                <w:rFonts w:hint="eastAsia" w:ascii="宋体" w:hAnsi="宋体" w:cs="宋体"/>
                <w:szCs w:val="21"/>
              </w:rPr>
              <w:t>满足以上三项内容得9分，满足任意两项内容得4分，满足任意一项内容得2分；在此基础上，对投标人响应情况进行分档评分：</w:t>
            </w:r>
          </w:p>
          <w:p>
            <w:pPr>
              <w:spacing w:line="340" w:lineRule="exact"/>
              <w:jc w:val="left"/>
              <w:rPr>
                <w:rFonts w:ascii="宋体" w:hAnsi="宋体" w:cs="宋体"/>
                <w:szCs w:val="21"/>
              </w:rPr>
            </w:pPr>
            <w:r>
              <w:rPr>
                <w:rFonts w:hint="eastAsia" w:ascii="宋体" w:hAnsi="宋体" w:cs="宋体"/>
                <w:szCs w:val="21"/>
              </w:rPr>
              <w:t>1.优评分标准：分析准确到位，措施合理，建议可操作性强，加5分。</w:t>
            </w:r>
          </w:p>
          <w:p>
            <w:pPr>
              <w:spacing w:line="340" w:lineRule="exact"/>
              <w:jc w:val="left"/>
              <w:rPr>
                <w:rFonts w:ascii="宋体" w:hAnsi="宋体" w:cs="宋体"/>
                <w:szCs w:val="21"/>
              </w:rPr>
            </w:pPr>
            <w:r>
              <w:rPr>
                <w:rFonts w:hint="eastAsia" w:ascii="宋体" w:hAnsi="宋体" w:cs="宋体"/>
                <w:szCs w:val="21"/>
              </w:rPr>
              <w:t>2.良评分标准：分析到位，措施比较合理，建议可操作性较强，加3分。</w:t>
            </w:r>
          </w:p>
          <w:p>
            <w:pPr>
              <w:spacing w:line="340" w:lineRule="exact"/>
              <w:jc w:val="left"/>
              <w:rPr>
                <w:rFonts w:ascii="宋体" w:hAnsi="宋体" w:cs="宋体"/>
                <w:szCs w:val="21"/>
              </w:rPr>
            </w:pPr>
            <w:r>
              <w:rPr>
                <w:rFonts w:hint="eastAsia" w:ascii="宋体" w:hAnsi="宋体" w:cs="宋体"/>
                <w:szCs w:val="21"/>
              </w:rPr>
              <w:t>3.中评分标准：分析基本到位，措施基本合理，建议可操作性一般，加1分。</w:t>
            </w:r>
          </w:p>
          <w:p>
            <w:pPr>
              <w:widowControl/>
              <w:textAlignment w:val="center"/>
              <w:rPr>
                <w:rFonts w:ascii="宋体" w:hAnsi="宋体" w:cs="宋体"/>
                <w:szCs w:val="21"/>
              </w:rPr>
            </w:pPr>
            <w:r>
              <w:rPr>
                <w:rFonts w:hint="eastAsia" w:ascii="宋体" w:hAnsi="宋体" w:cs="宋体"/>
                <w:szCs w:val="21"/>
              </w:rPr>
              <w:t>4.差评分标准：分析有严重缺漏，措施不合理，建议可操作性差，不加分。</w:t>
            </w:r>
          </w:p>
        </w:tc>
        <w:tc>
          <w:tcPr>
            <w:tcW w:w="682" w:type="dxa"/>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sz w:val="22"/>
                <w:szCs w:val="22"/>
              </w:rPr>
              <w:t>14</w:t>
            </w:r>
          </w:p>
        </w:tc>
        <w:tc>
          <w:tcPr>
            <w:tcW w:w="87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000000" w:sz="4" w:space="0"/>
              <w:left w:val="single" w:color="000000" w:sz="4" w:space="0"/>
              <w:bottom w:val="single" w:color="auto" w:sz="4" w:space="0"/>
              <w:right w:val="single" w:color="000000" w:sz="4" w:space="0"/>
            </w:tcBorders>
            <w:vAlign w:val="center"/>
          </w:tcPr>
          <w:p>
            <w:pPr>
              <w:jc w:val="center"/>
              <w:rPr>
                <w:rFonts w:ascii="宋体" w:hAnsi="宋体" w:cs="宋体"/>
                <w:sz w:val="22"/>
                <w:szCs w:val="22"/>
              </w:rPr>
            </w:pPr>
          </w:p>
        </w:tc>
      </w:tr>
      <w:tr>
        <w:tblPrEx>
          <w:tblCellMar>
            <w:top w:w="0" w:type="dxa"/>
            <w:left w:w="108" w:type="dxa"/>
            <w:bottom w:w="0" w:type="dxa"/>
            <w:right w:w="108" w:type="dxa"/>
          </w:tblCellMar>
        </w:tblPrEx>
        <w:trPr>
          <w:trHeight w:val="661" w:hRule="atLeast"/>
          <w:jc w:val="center"/>
        </w:trPr>
        <w:tc>
          <w:tcPr>
            <w:tcW w:w="713"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3</w:t>
            </w:r>
          </w:p>
        </w:tc>
        <w:tc>
          <w:tcPr>
            <w:tcW w:w="791" w:type="dxa"/>
            <w:tcBorders>
              <w:top w:val="single" w:color="auto" w:sz="4" w:space="0"/>
              <w:left w:val="single" w:color="000000" w:sz="4" w:space="0"/>
              <w:bottom w:val="single" w:color="auto" w:sz="4" w:space="0"/>
              <w:right w:val="single" w:color="auto" w:sz="4" w:space="0"/>
            </w:tcBorders>
            <w:vAlign w:val="center"/>
          </w:tcPr>
          <w:p>
            <w:pPr>
              <w:widowControl/>
              <w:jc w:val="center"/>
              <w:textAlignment w:val="center"/>
              <w:rPr>
                <w:rFonts w:ascii="宋体" w:hAnsi="宋体" w:cs="宋体"/>
                <w:szCs w:val="21"/>
                <w:highlight w:val="cyan"/>
              </w:rPr>
            </w:pPr>
            <w:r>
              <w:rPr>
                <w:rFonts w:hint="eastAsia" w:ascii="宋体" w:hAnsi="宋体" w:cs="宋体"/>
                <w:kern w:val="0"/>
                <w:szCs w:val="21"/>
                <w:lang w:bidi="ar"/>
              </w:rPr>
              <w:t>进度计划及质量保证</w:t>
            </w:r>
          </w:p>
        </w:tc>
        <w:tc>
          <w:tcPr>
            <w:tcW w:w="5836" w:type="dxa"/>
            <w:tcBorders>
              <w:top w:val="single" w:color="auto" w:sz="4" w:space="0"/>
              <w:left w:val="single" w:color="auto" w:sz="4" w:space="0"/>
              <w:bottom w:val="single" w:color="auto" w:sz="4" w:space="0"/>
              <w:right w:val="single" w:color="auto" w:sz="4" w:space="0"/>
            </w:tcBorders>
            <w:vAlign w:val="center"/>
          </w:tcPr>
          <w:p>
            <w:pPr>
              <w:widowControl/>
              <w:textAlignment w:val="center"/>
            </w:pPr>
            <w:r>
              <w:rPr>
                <w:rFonts w:hint="eastAsia"/>
              </w:rPr>
              <w:t>（一）评分内容</w:t>
            </w:r>
          </w:p>
          <w:p>
            <w:pPr>
              <w:widowControl/>
              <w:textAlignment w:val="center"/>
            </w:pPr>
            <w:r>
              <w:rPr>
                <w:rFonts w:hint="eastAsia"/>
              </w:rPr>
              <w:t xml:space="preserve">1.进度安排。 </w:t>
            </w:r>
          </w:p>
          <w:p>
            <w:pPr>
              <w:widowControl/>
              <w:textAlignment w:val="center"/>
            </w:pPr>
            <w:r>
              <w:rPr>
                <w:rFonts w:hint="eastAsia"/>
              </w:rPr>
              <w:t xml:space="preserve">2.各阶段工作内容。 </w:t>
            </w:r>
          </w:p>
          <w:p>
            <w:pPr>
              <w:widowControl/>
              <w:textAlignment w:val="center"/>
            </w:pPr>
            <w:r>
              <w:rPr>
                <w:rFonts w:hint="eastAsia"/>
              </w:rPr>
              <w:t xml:space="preserve">3.项目进度保障措施和项目质量保障措施。 </w:t>
            </w:r>
          </w:p>
          <w:p>
            <w:pPr>
              <w:widowControl/>
              <w:textAlignment w:val="center"/>
            </w:pPr>
            <w:r>
              <w:rPr>
                <w:rFonts w:hint="eastAsia"/>
              </w:rPr>
              <w:t>投标文件提供每提供1项上述内容的得1分，全部提供的得3分。在此基础上对投标人响应情况进行分档评分：</w:t>
            </w:r>
          </w:p>
          <w:p>
            <w:pPr>
              <w:widowControl/>
              <w:textAlignment w:val="center"/>
            </w:pPr>
            <w:r>
              <w:rPr>
                <w:rFonts w:hint="eastAsia"/>
              </w:rPr>
              <w:t>1.项目进度安排合理详细；</w:t>
            </w:r>
          </w:p>
          <w:p>
            <w:pPr>
              <w:widowControl/>
              <w:textAlignment w:val="center"/>
            </w:pPr>
            <w:r>
              <w:rPr>
                <w:rFonts w:hint="eastAsia"/>
              </w:rPr>
              <w:t>2.各阶段工作内容全面详实；</w:t>
            </w:r>
          </w:p>
          <w:p>
            <w:pPr>
              <w:widowControl/>
              <w:textAlignment w:val="center"/>
            </w:pPr>
            <w:r>
              <w:rPr>
                <w:rFonts w:hint="eastAsia"/>
              </w:rPr>
              <w:t>3.项目进度保障措施和项目质量保障措施具体切实。</w:t>
            </w:r>
          </w:p>
          <w:p>
            <w:pPr>
              <w:widowControl/>
              <w:textAlignment w:val="center"/>
            </w:pPr>
            <w:r>
              <w:rPr>
                <w:rFonts w:hint="eastAsia"/>
              </w:rPr>
              <w:t>满足以上三项评价为优，加3分；满足以上2项，评价为良，加2分；满足以上1项，评价为中，加1分；全部不满足，评价为差，不加分。</w:t>
            </w:r>
          </w:p>
          <w:p>
            <w:pPr>
              <w:widowControl/>
              <w:textAlignment w:val="center"/>
              <w:rPr>
                <w:rFonts w:ascii="宋体" w:hAnsi="宋体" w:cs="宋体"/>
                <w:szCs w:val="21"/>
              </w:rPr>
            </w:pPr>
            <w:r>
              <w:rPr>
                <w:rFonts w:hint="eastAsia"/>
              </w:rPr>
              <w:t>注：不提供相关内容不得分。</w:t>
            </w:r>
          </w:p>
        </w:tc>
        <w:tc>
          <w:tcPr>
            <w:tcW w:w="682" w:type="dxa"/>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ascii="宋体" w:hAnsi="宋体"/>
                <w:sz w:val="22"/>
              </w:rPr>
            </w:pPr>
            <w:r>
              <w:rPr>
                <w:rFonts w:hint="eastAsia" w:ascii="宋体" w:hAnsi="宋体"/>
                <w:sz w:val="22"/>
              </w:rPr>
              <w:t>6</w:t>
            </w:r>
          </w:p>
        </w:tc>
        <w:tc>
          <w:tcPr>
            <w:tcW w:w="873"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评审委员打分</w:t>
            </w:r>
          </w:p>
        </w:tc>
        <w:tc>
          <w:tcPr>
            <w:tcW w:w="807" w:type="dxa"/>
            <w:tcBorders>
              <w:top w:val="single" w:color="auto" w:sz="4" w:space="0"/>
              <w:left w:val="single" w:color="000000" w:sz="4" w:space="0"/>
              <w:bottom w:val="single" w:color="auto" w:sz="4" w:space="0"/>
              <w:right w:val="single" w:color="auto" w:sz="4" w:space="0"/>
            </w:tcBorders>
            <w:vAlign w:val="center"/>
          </w:tcPr>
          <w:p>
            <w:pPr>
              <w:jc w:val="center"/>
              <w:rPr>
                <w:rFonts w:ascii="宋体" w:hAnsi="宋体" w:cs="宋体"/>
                <w:sz w:val="22"/>
                <w:szCs w:val="22"/>
              </w:rPr>
            </w:pP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0" w:name="_Toc834"/>
      <w:bookmarkStart w:id="21"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0"/>
    </w:p>
    <w:p>
      <w:pPr>
        <w:keepNext/>
        <w:keepLines/>
        <w:spacing w:before="260" w:after="260" w:line="360" w:lineRule="auto"/>
        <w:jc w:val="center"/>
        <w:outlineLvl w:val="1"/>
        <w:rPr>
          <w:rFonts w:ascii="宋体" w:hAnsi="宋体" w:cs="宋体"/>
          <w:b/>
          <w:bCs/>
          <w:sz w:val="24"/>
        </w:rPr>
      </w:pPr>
      <w:bookmarkStart w:id="22" w:name="_Toc6548"/>
      <w:bookmarkStart w:id="23" w:name="_Toc19494"/>
      <w:bookmarkStart w:id="24" w:name="_Toc31827"/>
      <w:bookmarkStart w:id="25" w:name="_Toc5116"/>
      <w:r>
        <w:rPr>
          <w:rFonts w:hint="eastAsia" w:ascii="宋体" w:hAnsi="宋体" w:cs="宋体"/>
          <w:b/>
          <w:sz w:val="24"/>
        </w:rPr>
        <w:t>一、</w:t>
      </w:r>
      <w:r>
        <w:rPr>
          <w:rFonts w:hint="eastAsia" w:ascii="宋体" w:hAnsi="宋体" w:cs="宋体"/>
          <w:b/>
          <w:bCs/>
          <w:sz w:val="24"/>
        </w:rPr>
        <w:t>投标文件包装封面参考</w:t>
      </w:r>
      <w:bookmarkEnd w:id="22"/>
      <w:bookmarkEnd w:id="23"/>
      <w:bookmarkEnd w:id="24"/>
      <w:bookmarkEnd w:id="25"/>
    </w:p>
    <w:tbl>
      <w:tblPr>
        <w:tblStyle w:val="22"/>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4"/>
        <w:rPr>
          <w:rFonts w:ascii="宋体" w:eastAsia="宋体" w:cs="宋体"/>
          <w:b/>
          <w:sz w:val="24"/>
        </w:rPr>
        <w:sectPr>
          <w:pgSz w:w="11906" w:h="16838"/>
          <w:pgMar w:top="1440" w:right="1650" w:bottom="1440" w:left="1650" w:header="851" w:footer="992" w:gutter="0"/>
          <w:cols w:space="720" w:num="1"/>
          <w:docGrid w:type="lines" w:linePitch="319" w:charSpace="0"/>
        </w:sectPr>
      </w:pPr>
      <w:bookmarkStart w:id="26" w:name="_Toc16724"/>
    </w:p>
    <w:p>
      <w:pPr>
        <w:pStyle w:val="4"/>
        <w:rPr>
          <w:rFonts w:ascii="宋体" w:cs="宋体"/>
          <w:b/>
          <w:sz w:val="24"/>
        </w:rPr>
      </w:pPr>
      <w:r>
        <w:rPr>
          <w:rFonts w:hint="eastAsia" w:ascii="宋体" w:eastAsia="宋体" w:cs="宋体"/>
          <w:b/>
          <w:sz w:val="24"/>
        </w:rPr>
        <w:t>二、投标文件—目录</w:t>
      </w:r>
      <w:bookmarkEnd w:id="26"/>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营业执照【其他组织提供《事业单位法人证书》或《民办非企业单位登记证书》】及税务登记册证副本复印件</w:t>
      </w:r>
      <w:r>
        <w:rPr>
          <w:rFonts w:ascii="宋体" w:hAnsi="宋体" w:cs="宋体"/>
          <w:sz w:val="24"/>
        </w:rPr>
        <w:t>（</w:t>
      </w:r>
      <w:r>
        <w:rPr>
          <w:rFonts w:hint="eastAsia" w:ascii="宋体" w:hAnsi="宋体" w:cs="宋体"/>
          <w:sz w:val="24"/>
          <w:lang w:val="fr-CH"/>
        </w:rPr>
        <w:t>加盖投标人公章，若提供的营业执照为三证合一，则税务登记证可不单独提供</w:t>
      </w:r>
      <w:r>
        <w:rPr>
          <w:rFonts w:ascii="宋体" w:hAnsi="宋体" w:cs="宋体"/>
          <w:sz w:val="24"/>
        </w:rPr>
        <w:t>）</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lang w:val="fr-CH"/>
        </w:rPr>
        <w:t>5、关于资格的声明函；</w:t>
      </w:r>
    </w:p>
    <w:p>
      <w:pPr>
        <w:pStyle w:val="29"/>
        <w:spacing w:line="360" w:lineRule="auto"/>
        <w:ind w:firstLine="480"/>
        <w:rPr>
          <w:lang w:val="fr-CH"/>
        </w:rPr>
      </w:pPr>
      <w:r>
        <w:rPr>
          <w:rFonts w:hint="eastAsia" w:ascii="宋体" w:hAnsi="宋体" w:cs="宋体"/>
          <w:kern w:val="2"/>
          <w:sz w:val="24"/>
          <w:szCs w:val="24"/>
          <w:lang w:val="fr-CH"/>
        </w:rPr>
        <w:t>6、企业诚信声明与承诺；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、同类项目业绩</w:t>
      </w:r>
    </w:p>
    <w:p>
      <w:pPr>
        <w:spacing w:line="360" w:lineRule="auto"/>
        <w:ind w:firstLine="480" w:firstLineChars="200"/>
        <w:rPr>
          <w:rFonts w:ascii="宋体" w:hAnsi="宋体" w:cs="宋体"/>
          <w:sz w:val="24"/>
          <w:lang w:val="fr-CH"/>
        </w:rPr>
      </w:pPr>
      <w:r>
        <w:rPr>
          <w:rFonts w:hint="eastAsia" w:ascii="宋体" w:hAnsi="宋体" w:cs="宋体"/>
          <w:sz w:val="24"/>
        </w:rPr>
        <w:t>12</w:t>
      </w:r>
      <w:r>
        <w:rPr>
          <w:rFonts w:hint="eastAsia" w:ascii="宋体" w:hAnsi="宋体" w:cs="宋体"/>
          <w:sz w:val="24"/>
          <w:lang w:val="fr-CH"/>
        </w:rPr>
        <w:t>、项目负责人</w:t>
      </w:r>
    </w:p>
    <w:p>
      <w:pPr>
        <w:spacing w:line="360" w:lineRule="auto"/>
        <w:ind w:firstLine="480" w:firstLineChars="200"/>
        <w:rPr>
          <w:rFonts w:ascii="宋体" w:hAnsi="宋体" w:cs="宋体"/>
          <w:sz w:val="24"/>
          <w:lang w:val="fr-CH"/>
        </w:rPr>
      </w:pPr>
      <w:r>
        <w:rPr>
          <w:rFonts w:hint="eastAsia" w:ascii="宋体" w:hAnsi="宋体" w:cs="宋体"/>
          <w:sz w:val="24"/>
        </w:rPr>
        <w:t>13</w:t>
      </w:r>
      <w:r>
        <w:rPr>
          <w:rFonts w:hint="eastAsia" w:ascii="宋体" w:hAnsi="宋体" w:cs="宋体"/>
          <w:sz w:val="24"/>
          <w:lang w:val="fr-CH"/>
        </w:rPr>
        <w:t>、团队成员（项目负责人除外）</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sq-AL"/>
        </w:rPr>
        <w:t>对项目的整体理解</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sq-AL"/>
        </w:rPr>
        <w:t>项目重点难点分析、应对措施及相关的合理化建议</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sq-AL"/>
        </w:rPr>
        <w:t>进度计划及质量保证</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5、</w:t>
      </w:r>
      <w:r>
        <w:rPr>
          <w:rFonts w:hint="eastAsia" w:ascii="宋体" w:hAnsi="宋体" w:cs="宋体"/>
          <w:sz w:val="24"/>
          <w:lang w:val="fr-CH"/>
        </w:rPr>
        <w:t>投标人认为有必要提供的其他材料。</w:t>
      </w:r>
    </w:p>
    <w:p>
      <w:pPr>
        <w:pStyle w:val="29"/>
        <w:ind w:firstLine="480"/>
        <w:rPr>
          <w:rFonts w:ascii="宋体" w:hAnsi="宋体" w:cs="宋体"/>
          <w:sz w:val="24"/>
          <w:lang w:val="fr-CH"/>
        </w:rPr>
      </w:pPr>
    </w:p>
    <w:p>
      <w:pPr>
        <w:pStyle w:val="29"/>
        <w:ind w:firstLine="480"/>
        <w:rPr>
          <w:rFonts w:ascii="宋体" w:hAnsi="宋体" w:cs="宋体"/>
          <w:sz w:val="24"/>
          <w:lang w:val="fr-CH"/>
        </w:rPr>
      </w:pPr>
    </w:p>
    <w:p/>
    <w:p>
      <w:pPr>
        <w:pStyle w:val="4"/>
      </w:pPr>
    </w:p>
    <w:p/>
    <w:p>
      <w:pPr>
        <w:pStyle w:val="4"/>
      </w:pPr>
    </w:p>
    <w:p>
      <w:pPr>
        <w:pStyle w:val="4"/>
      </w:pPr>
    </w:p>
    <w:p/>
    <w:p>
      <w:pPr>
        <w:pStyle w:val="4"/>
      </w:pPr>
    </w:p>
    <w:p>
      <w:pPr>
        <w:spacing w:line="360" w:lineRule="auto"/>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2"/>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pP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p>
      <w:pPr>
        <w:spacing w:line="360" w:lineRule="auto"/>
        <w:rPr>
          <w:rFonts w:ascii="宋体" w:hAnsi="宋体" w:cs="宋体"/>
          <w:sz w:val="24"/>
          <w:u w:val="single"/>
        </w:rPr>
      </w:pPr>
    </w:p>
    <w:tbl>
      <w:tblPr>
        <w:tblStyle w:val="22"/>
        <w:tblW w:w="8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039"/>
        <w:gridCol w:w="1177"/>
        <w:gridCol w:w="1297"/>
        <w:gridCol w:w="1240"/>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373" w:type="dxa"/>
            <w:vAlign w:val="center"/>
          </w:tcPr>
          <w:p>
            <w:pPr>
              <w:pStyle w:val="12"/>
              <w:spacing w:line="360" w:lineRule="auto"/>
              <w:jc w:val="center"/>
              <w:rPr>
                <w:rFonts w:hAnsi="宋体" w:cs="宋体"/>
                <w:sz w:val="22"/>
                <w:szCs w:val="22"/>
              </w:rPr>
            </w:pPr>
            <w:r>
              <w:rPr>
                <w:rFonts w:hint="eastAsia" w:hAnsi="宋体" w:cs="宋体"/>
                <w:sz w:val="22"/>
                <w:szCs w:val="22"/>
              </w:rPr>
              <w:t>序号</w:t>
            </w:r>
          </w:p>
        </w:tc>
        <w:tc>
          <w:tcPr>
            <w:tcW w:w="2039" w:type="dxa"/>
            <w:vAlign w:val="center"/>
          </w:tcPr>
          <w:p>
            <w:pPr>
              <w:spacing w:line="360" w:lineRule="auto"/>
              <w:jc w:val="center"/>
              <w:rPr>
                <w:rFonts w:ascii="宋体" w:hAnsi="宋体" w:cs="宋体"/>
                <w:sz w:val="22"/>
                <w:szCs w:val="22"/>
              </w:rPr>
            </w:pPr>
            <w:r>
              <w:rPr>
                <w:rFonts w:hint="eastAsia" w:ascii="宋体" w:hAnsi="宋体" w:cs="宋体"/>
                <w:sz w:val="22"/>
                <w:szCs w:val="22"/>
              </w:rPr>
              <w:t>服务内容</w:t>
            </w:r>
          </w:p>
        </w:tc>
        <w:tc>
          <w:tcPr>
            <w:tcW w:w="1177" w:type="dxa"/>
            <w:vAlign w:val="center"/>
          </w:tcPr>
          <w:p>
            <w:pPr>
              <w:spacing w:line="360" w:lineRule="auto"/>
              <w:jc w:val="center"/>
              <w:rPr>
                <w:rFonts w:ascii="宋体" w:hAnsi="宋体" w:cs="宋体"/>
                <w:sz w:val="22"/>
                <w:szCs w:val="22"/>
              </w:rPr>
            </w:pPr>
            <w:r>
              <w:rPr>
                <w:rFonts w:hint="eastAsia" w:ascii="宋体" w:hAnsi="宋体" w:cs="宋体"/>
                <w:sz w:val="22"/>
                <w:szCs w:val="22"/>
              </w:rPr>
              <w:t>数量</w:t>
            </w:r>
          </w:p>
        </w:tc>
        <w:tc>
          <w:tcPr>
            <w:tcW w:w="1297" w:type="dxa"/>
            <w:vAlign w:val="center"/>
          </w:tcPr>
          <w:p>
            <w:pPr>
              <w:pStyle w:val="12"/>
              <w:spacing w:line="360" w:lineRule="auto"/>
              <w:jc w:val="center"/>
              <w:rPr>
                <w:rFonts w:hAnsi="宋体" w:cs="宋体"/>
                <w:sz w:val="22"/>
                <w:szCs w:val="22"/>
              </w:rPr>
            </w:pPr>
            <w:r>
              <w:rPr>
                <w:rFonts w:hint="eastAsia" w:hAnsi="宋体" w:cs="宋体"/>
                <w:sz w:val="22"/>
                <w:szCs w:val="22"/>
              </w:rPr>
              <w:t>单价</w:t>
            </w:r>
          </w:p>
        </w:tc>
        <w:tc>
          <w:tcPr>
            <w:tcW w:w="1240" w:type="dxa"/>
            <w:vAlign w:val="center"/>
          </w:tcPr>
          <w:p>
            <w:pPr>
              <w:pStyle w:val="12"/>
              <w:spacing w:line="360" w:lineRule="auto"/>
              <w:jc w:val="center"/>
              <w:rPr>
                <w:rFonts w:hAnsi="宋体" w:cs="宋体"/>
                <w:sz w:val="22"/>
                <w:szCs w:val="22"/>
              </w:rPr>
            </w:pPr>
            <w:r>
              <w:rPr>
                <w:rFonts w:hint="eastAsia" w:hAnsi="宋体" w:cs="宋体"/>
                <w:sz w:val="22"/>
                <w:szCs w:val="22"/>
              </w:rPr>
              <w:t>总价</w:t>
            </w:r>
          </w:p>
        </w:tc>
        <w:tc>
          <w:tcPr>
            <w:tcW w:w="1471" w:type="dxa"/>
            <w:vAlign w:val="center"/>
          </w:tcPr>
          <w:p>
            <w:pPr>
              <w:pStyle w:val="12"/>
              <w:spacing w:line="360" w:lineRule="auto"/>
              <w:jc w:val="center"/>
              <w:rPr>
                <w:rFonts w:hAnsi="宋体" w:cs="宋体"/>
                <w:sz w:val="22"/>
                <w:szCs w:val="22"/>
              </w:rPr>
            </w:pPr>
            <w:r>
              <w:rPr>
                <w:rFonts w:hint="eastAsia"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1</w:t>
            </w:r>
          </w:p>
        </w:tc>
        <w:tc>
          <w:tcPr>
            <w:tcW w:w="2039" w:type="dxa"/>
            <w:vAlign w:val="center"/>
          </w:tcPr>
          <w:p>
            <w:pPr>
              <w:pStyle w:val="12"/>
              <w:spacing w:line="360" w:lineRule="auto"/>
              <w:jc w:val="center"/>
              <w:rPr>
                <w:rFonts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2</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3</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4</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5</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6</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7</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8</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9</w:t>
            </w:r>
          </w:p>
        </w:tc>
        <w:tc>
          <w:tcPr>
            <w:tcW w:w="2039" w:type="dxa"/>
            <w:vAlign w:val="center"/>
          </w:tcPr>
          <w:p>
            <w:pPr>
              <w:autoSpaceDE w:val="0"/>
              <w:autoSpaceDN w:val="0"/>
              <w:adjustRightInd w:val="0"/>
              <w:spacing w:line="360" w:lineRule="auto"/>
              <w:jc w:val="center"/>
              <w:rPr>
                <w:rFonts w:ascii="宋体" w:hAnsi="宋体" w:cs="宋体"/>
                <w:sz w:val="24"/>
              </w:rPr>
            </w:pP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373" w:type="dxa"/>
            <w:vAlign w:val="bottom"/>
          </w:tcPr>
          <w:p>
            <w:pPr>
              <w:pStyle w:val="12"/>
              <w:spacing w:line="360" w:lineRule="auto"/>
              <w:jc w:val="center"/>
              <w:rPr>
                <w:rFonts w:hAnsi="宋体" w:cs="宋体"/>
                <w:sz w:val="24"/>
              </w:rPr>
            </w:pPr>
            <w:r>
              <w:rPr>
                <w:rFonts w:hint="eastAsia" w:hAnsi="宋体" w:cs="宋体"/>
                <w:sz w:val="24"/>
              </w:rPr>
              <w:t>…</w:t>
            </w:r>
          </w:p>
        </w:tc>
        <w:tc>
          <w:tcPr>
            <w:tcW w:w="2039" w:type="dxa"/>
            <w:vAlign w:val="center"/>
          </w:tcPr>
          <w:p>
            <w:pPr>
              <w:pStyle w:val="12"/>
              <w:spacing w:line="360" w:lineRule="auto"/>
              <w:jc w:val="center"/>
              <w:rPr>
                <w:rFonts w:hAnsi="宋体" w:cs="宋体"/>
                <w:sz w:val="24"/>
              </w:rPr>
            </w:pPr>
            <w:r>
              <w:rPr>
                <w:rFonts w:hint="eastAsia" w:hAnsi="宋体" w:cs="宋体"/>
                <w:sz w:val="24"/>
              </w:rPr>
              <w:t>…</w:t>
            </w:r>
          </w:p>
        </w:tc>
        <w:tc>
          <w:tcPr>
            <w:tcW w:w="1177" w:type="dxa"/>
            <w:vAlign w:val="center"/>
          </w:tcPr>
          <w:p>
            <w:pPr>
              <w:pStyle w:val="12"/>
              <w:spacing w:line="360" w:lineRule="auto"/>
              <w:jc w:val="center"/>
              <w:rPr>
                <w:rFonts w:hAnsi="宋体" w:cs="宋体"/>
                <w:sz w:val="24"/>
              </w:rPr>
            </w:pPr>
          </w:p>
        </w:tc>
        <w:tc>
          <w:tcPr>
            <w:tcW w:w="1297" w:type="dxa"/>
            <w:vAlign w:val="center"/>
          </w:tcPr>
          <w:p>
            <w:pPr>
              <w:pStyle w:val="12"/>
              <w:spacing w:line="360" w:lineRule="auto"/>
              <w:jc w:val="center"/>
              <w:rPr>
                <w:rFonts w:hAnsi="宋体" w:cs="宋体"/>
                <w:sz w:val="24"/>
              </w:rPr>
            </w:pPr>
          </w:p>
        </w:tc>
        <w:tc>
          <w:tcPr>
            <w:tcW w:w="1240" w:type="dxa"/>
            <w:vAlign w:val="center"/>
          </w:tcPr>
          <w:p>
            <w:pPr>
              <w:pStyle w:val="12"/>
              <w:spacing w:line="360" w:lineRule="auto"/>
              <w:jc w:val="center"/>
              <w:rPr>
                <w:rFonts w:hAnsi="宋体" w:cs="宋体"/>
                <w:sz w:val="24"/>
              </w:rPr>
            </w:pPr>
          </w:p>
        </w:tc>
        <w:tc>
          <w:tcPr>
            <w:tcW w:w="1471" w:type="dxa"/>
            <w:vAlign w:val="center"/>
          </w:tcPr>
          <w:p>
            <w:pPr>
              <w:pStyle w:val="12"/>
              <w:spacing w:line="360" w:lineRule="auto"/>
              <w:jc w:val="center"/>
              <w:rPr>
                <w:rFonts w:hAnsi="宋体" w:cs="宋体"/>
                <w:sz w:val="24"/>
              </w:rPr>
            </w:pPr>
          </w:p>
        </w:tc>
      </w:tr>
    </w:tbl>
    <w:p>
      <w:pPr>
        <w:spacing w:line="360" w:lineRule="auto"/>
        <w:rPr>
          <w:rFonts w:ascii="宋体" w:hAnsi="宋体" w:cs="宋体"/>
          <w:sz w:val="24"/>
        </w:rPr>
      </w:pPr>
      <w:r>
        <w:rPr>
          <w:rFonts w:hint="eastAsia" w:ascii="宋体" w:hAnsi="宋体" w:cs="宋体"/>
          <w:sz w:val="24"/>
        </w:rPr>
        <w:t>注：可根据需要自行调整报价格式。</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6"/>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9"/>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ascii="宋体" w:hAnsi="宋体" w:cs="宋体"/>
          <w:b/>
          <w:bCs/>
          <w:sz w:val="24"/>
        </w:rPr>
        <w:t>2</w:t>
      </w:r>
      <w:r>
        <w:rPr>
          <w:rFonts w:hint="eastAsia" w:ascii="宋体" w:hAnsi="宋体" w:cs="宋体"/>
          <w:b/>
          <w:bCs/>
          <w:sz w:val="24"/>
        </w:rPr>
        <w:t>、</w:t>
      </w:r>
      <w:r>
        <w:rPr>
          <w:rFonts w:hint="eastAsia" w:ascii="宋体" w:hAnsi="宋体" w:cs="宋体"/>
          <w:b/>
          <w:bCs/>
          <w:sz w:val="24"/>
          <w:lang w:val="fr-CH"/>
        </w:rPr>
        <w:t>营业证照</w:t>
      </w:r>
    </w:p>
    <w:p>
      <w:pPr>
        <w:pStyle w:val="4"/>
        <w:jc w:val="both"/>
        <w:rPr>
          <w:lang w:val="fr-CH"/>
        </w:rPr>
      </w:pP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【其他组织提供《事业单位法人证书》或《民办非企业单位登记证书》】或其他开办登记证照及税务登记册证副本复印件</w:t>
      </w:r>
      <w:r>
        <w:rPr>
          <w:rFonts w:ascii="宋体" w:hAnsi="宋体" w:cs="宋体"/>
          <w:sz w:val="24"/>
        </w:rPr>
        <w:t>（</w:t>
      </w:r>
      <w:r>
        <w:rPr>
          <w:rFonts w:hint="eastAsia" w:ascii="宋体" w:hAnsi="宋体" w:cs="宋体"/>
          <w:sz w:val="24"/>
          <w:lang w:val="fr-CH"/>
        </w:rPr>
        <w:t>加盖投标人公章，若提供的营业证照为三证合一，则税务登记证可不单独提供</w:t>
      </w:r>
      <w:r>
        <w:rPr>
          <w:rFonts w:ascii="宋体" w:hAnsi="宋体" w:cs="宋体"/>
          <w:sz w:val="24"/>
        </w:rPr>
        <w:t>）</w:t>
      </w:r>
      <w:r>
        <w:rPr>
          <w:rFonts w:hint="eastAsia" w:ascii="宋体" w:hAnsi="宋体" w:cs="宋体"/>
          <w:sz w:val="24"/>
          <w:lang w:val="fr-CH"/>
        </w:rPr>
        <w:t>；</w:t>
      </w:r>
    </w:p>
    <w:p>
      <w:pPr>
        <w:widowControl/>
        <w:jc w:val="left"/>
        <w:rPr>
          <w:rFonts w:ascii="宋体" w:hAnsi="宋体" w:cs="宋体"/>
          <w:b/>
          <w:bCs/>
          <w:sz w:val="24"/>
        </w:rPr>
      </w:pPr>
      <w:r>
        <w:rPr>
          <w:rFonts w:ascii="宋体" w:hAnsi="宋体" w:cs="宋体"/>
          <w:b/>
          <w:bCs/>
          <w:sz w:val="24"/>
        </w:rPr>
        <w:br w:type="page"/>
      </w:r>
    </w:p>
    <w:p>
      <w:pPr>
        <w:tabs>
          <w:tab w:val="left" w:pos="640"/>
          <w:tab w:val="left" w:pos="1260"/>
          <w:tab w:val="left" w:pos="1418"/>
        </w:tabs>
        <w:spacing w:line="360" w:lineRule="auto"/>
        <w:jc w:val="center"/>
        <w:rPr>
          <w:sz w:val="22"/>
          <w:szCs w:val="18"/>
          <w:lang w:val="fr-CH"/>
        </w:rPr>
      </w:pPr>
      <w:r>
        <w:rPr>
          <w:rFonts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无串通投标、弄虚作假不良行为记录被暂停投标资格期间或涉嫌串通投标、弄虚作假并正在接受主管部门调查的情况；以及不存在被有关部门禁止参与政府采购活动且在有效期内的情况，无因违反建设工程法律、法规规定而受到建设行政主管部门红色警示并正在红色警示期间的情况；</w:t>
      </w:r>
    </w:p>
    <w:p>
      <w:pPr>
        <w:widowControl/>
        <w:shd w:val="clear" w:color="auto" w:fill="FFFFFF"/>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12"/>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pStyle w:val="29"/>
        <w:ind w:firstLine="482"/>
        <w:rPr>
          <w:rFonts w:ascii="宋体" w:hAnsi="宋体" w:cs="宋体"/>
          <w:b/>
          <w:sz w:val="24"/>
        </w:rPr>
      </w:pPr>
    </w:p>
    <w:p>
      <w:pPr>
        <w:widowControl/>
        <w:jc w:val="left"/>
        <w:rPr>
          <w:rFonts w:ascii="宋体" w:hAnsi="宋体" w:cs="宋体"/>
          <w:b/>
          <w:bCs/>
          <w:sz w:val="24"/>
        </w:rPr>
      </w:pPr>
      <w:r>
        <w:rPr>
          <w:rFonts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12"/>
        <w:spacing w:line="360" w:lineRule="auto"/>
        <w:jc w:val="center"/>
        <w:rPr>
          <w:rFonts w:hAnsi="宋体" w:cs="宋体"/>
          <w:sz w:val="24"/>
        </w:rPr>
      </w:pPr>
      <w:r>
        <w:rPr>
          <w:rFonts w:hint="eastAsia" w:hAnsi="宋体" w:cs="宋体"/>
          <w:sz w:val="24"/>
        </w:rPr>
        <w:t xml:space="preserve">                                  承诺日期：    年  月  日</w:t>
      </w:r>
    </w:p>
    <w:p>
      <w:pPr>
        <w:pStyle w:val="12"/>
        <w:spacing w:line="360" w:lineRule="auto"/>
        <w:jc w:val="left"/>
        <w:rPr>
          <w:rFonts w:hAnsi="宋体" w:cs="宋体"/>
          <w:sz w:val="24"/>
        </w:rPr>
      </w:pPr>
    </w:p>
    <w:p>
      <w:pPr>
        <w:pStyle w:val="12"/>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ascii="宋体" w:hAnsi="宋体" w:cs="宋体"/>
          <w:sz w:val="24"/>
        </w:rPr>
      </w:pPr>
    </w:p>
    <w:p>
      <w:pPr>
        <w:widowControl/>
        <w:jc w:val="left"/>
        <w:rPr>
          <w:rFonts w:ascii="宋体" w:hAnsi="宋体" w:cs="宋体"/>
          <w:b/>
          <w:sz w:val="24"/>
        </w:rPr>
      </w:pPr>
      <w:r>
        <w:rPr>
          <w:rFonts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r>
        <w:rPr>
          <w:rFonts w:ascii="宋体" w:hAnsi="宋体" w:cs="宋体"/>
          <w:sz w:val="24"/>
        </w:rPr>
        <w:t>。</w:t>
      </w: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szCs w:val="21"/>
        </w:rPr>
      </w:pPr>
      <w:r>
        <w:rPr>
          <w:rFonts w:hint="eastAsia" w:ascii="宋体" w:hAnsi="宋体" w:cs="宋体"/>
          <w:b/>
          <w:bCs/>
          <w:sz w:val="24"/>
        </w:rPr>
        <w:t>法定代表人（签字或盖章）：</w:t>
      </w: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pStyle w:val="12"/>
        <w:spacing w:line="360" w:lineRule="auto"/>
        <w:jc w:val="center"/>
        <w:rPr>
          <w:rFonts w:hAnsi="宋体" w:cs="宋体"/>
          <w:b/>
          <w:sz w:val="24"/>
        </w:rPr>
      </w:pPr>
    </w:p>
    <w:p>
      <w:pPr>
        <w:pStyle w:val="2"/>
        <w:rPr>
          <w:rFonts w:ascii="宋体"/>
        </w:rPr>
      </w:pPr>
      <w:r>
        <w:br w:type="page"/>
      </w:r>
    </w:p>
    <w:p>
      <w:pPr>
        <w:pStyle w:val="12"/>
        <w:spacing w:line="360" w:lineRule="auto"/>
        <w:jc w:val="center"/>
        <w:rPr>
          <w:rFonts w:hAnsi="宋体" w:cs="宋体"/>
          <w:b/>
          <w:sz w:val="24"/>
        </w:rPr>
      </w:pPr>
      <w:r>
        <w:rPr>
          <w:rFonts w:hint="eastAsia" w:hAnsi="宋体" w:cs="宋体"/>
          <w:b/>
          <w:sz w:val="24"/>
        </w:rPr>
        <w:t>8、法定代表人授权书</w:t>
      </w:r>
    </w:p>
    <w:p>
      <w:pPr>
        <w:pStyle w:val="12"/>
        <w:spacing w:line="360" w:lineRule="auto"/>
        <w:rPr>
          <w:rFonts w:hAnsi="宋体" w:cs="宋体"/>
          <w:sz w:val="24"/>
        </w:rPr>
      </w:pPr>
    </w:p>
    <w:p>
      <w:pPr>
        <w:pStyle w:val="12"/>
        <w:spacing w:line="360" w:lineRule="auto"/>
        <w:rPr>
          <w:rFonts w:hAnsi="宋体" w:cs="宋体"/>
          <w:sz w:val="24"/>
        </w:rPr>
      </w:pPr>
      <w:r>
        <w:rPr>
          <w:rFonts w:hint="eastAsia" w:hAnsi="宋体" w:cs="宋体"/>
          <w:b/>
          <w:sz w:val="24"/>
        </w:rPr>
        <w:t>深圳市前海深港现代服务业合作区管理局：</w:t>
      </w:r>
    </w:p>
    <w:p>
      <w:pPr>
        <w:pStyle w:val="12"/>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2"/>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2"/>
              <w:spacing w:line="360" w:lineRule="auto"/>
              <w:rPr>
                <w:rFonts w:ascii="Arial Narrow" w:hAnsi="Arial Narrow"/>
                <w:b/>
                <w:bCs/>
                <w:szCs w:val="21"/>
              </w:rPr>
            </w:pPr>
          </w:p>
        </w:tc>
        <w:tc>
          <w:tcPr>
            <w:tcW w:w="4677" w:type="dxa"/>
          </w:tcPr>
          <w:p>
            <w:pPr>
              <w:pStyle w:val="12"/>
              <w:spacing w:line="360" w:lineRule="auto"/>
              <w:rPr>
                <w:rFonts w:ascii="Arial Narrow" w:hAnsi="Arial Narrow"/>
                <w:b/>
                <w:bCs/>
                <w:szCs w:val="21"/>
              </w:rPr>
            </w:pPr>
          </w:p>
        </w:tc>
      </w:tr>
    </w:tbl>
    <w:p>
      <w:pPr>
        <w:widowControl/>
        <w:autoSpaceDE w:val="0"/>
        <w:autoSpaceDN w:val="0"/>
        <w:spacing w:line="360" w:lineRule="auto"/>
        <w:ind w:right="26"/>
        <w:textAlignment w:val="bottom"/>
        <w:rPr>
          <w:rFonts w:ascii="宋体" w:hAnsi="宋体" w:cs="宋体"/>
          <w:b/>
          <w:bCs/>
          <w:sz w:val="24"/>
        </w:rPr>
      </w:pPr>
    </w:p>
    <w:p>
      <w:pPr>
        <w:widowControl/>
        <w:jc w:val="left"/>
        <w:rPr>
          <w:rFonts w:ascii="宋体" w:hAnsi="宋体" w:cs="宋体"/>
          <w:b/>
          <w:bCs/>
          <w:sz w:val="24"/>
        </w:rPr>
      </w:pPr>
      <w:r>
        <w:rPr>
          <w:rFonts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ascii="宋体" w:hAnsi="宋体" w:cs="宋体"/>
          <w:sz w:val="24"/>
        </w:rPr>
        <w:t>账</w:t>
      </w:r>
      <w:r>
        <w:rPr>
          <w:rFonts w:hint="eastAsia" w:ascii="宋体" w:hAnsi="宋体" w:cs="宋体"/>
          <w:sz w:val="24"/>
        </w:rPr>
        <w:t>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pStyle w:val="4"/>
      </w:pP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rPr>
      </w:pPr>
      <w:r>
        <w:rPr>
          <w:rFonts w:hint="eastAsia" w:ascii="宋体" w:hAnsi="宋体" w:cs="宋体"/>
          <w:sz w:val="24"/>
          <w:lang w:val="fr-CH"/>
        </w:rPr>
        <w:br w:type="page"/>
      </w:r>
      <w:r>
        <w:rPr>
          <w:rFonts w:hint="eastAsia" w:ascii="宋体" w:hAnsi="宋体" w:cs="宋体"/>
          <w:b/>
          <w:bCs/>
          <w:sz w:val="24"/>
        </w:rPr>
        <w:t>10、投标人简介</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11、同类项目业绩</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12、项目负责人</w:t>
      </w:r>
    </w:p>
    <w:p>
      <w:pPr>
        <w:tabs>
          <w:tab w:val="left" w:pos="640"/>
          <w:tab w:val="left" w:pos="1260"/>
          <w:tab w:val="left" w:pos="1418"/>
        </w:tabs>
        <w:spacing w:line="360" w:lineRule="auto"/>
        <w:rPr>
          <w:rFonts w:ascii="宋体" w:hAnsi="宋体" w:cs="宋体"/>
          <w:b/>
          <w:bCs/>
          <w:sz w:val="24"/>
        </w:rPr>
      </w:pPr>
      <w:r>
        <w:rPr>
          <w:rFonts w:hint="eastAsia" w:ascii="宋体" w:hAnsi="宋体" w:cs="宋体"/>
          <w:b/>
          <w:bCs/>
          <w:sz w:val="24"/>
        </w:rPr>
        <w:t>13、团队成员（项目负责人除外）</w:t>
      </w:r>
    </w:p>
    <w:p>
      <w:pPr>
        <w:tabs>
          <w:tab w:val="left" w:pos="640"/>
          <w:tab w:val="left" w:pos="1260"/>
          <w:tab w:val="left" w:pos="1418"/>
        </w:tabs>
        <w:spacing w:line="360" w:lineRule="auto"/>
        <w:rPr>
          <w:rFonts w:ascii="宋体" w:hAnsi="宋体" w:cs="宋体"/>
          <w:sz w:val="24"/>
        </w:rPr>
      </w:pPr>
      <w:r>
        <w:rPr>
          <w:rFonts w:hint="eastAsia" w:ascii="宋体" w:hAnsi="宋体" w:cs="宋体"/>
          <w:b/>
          <w:bCs/>
          <w:sz w:val="24"/>
        </w:rPr>
        <w:t>14、投标人认为有必要提供的其他材料</w:t>
      </w:r>
    </w:p>
    <w:p>
      <w:pPr>
        <w:spacing w:line="360" w:lineRule="auto"/>
        <w:outlineLvl w:val="2"/>
        <w:rPr>
          <w:rFonts w:ascii="宋体" w:hAnsi="宋体" w:cs="宋体"/>
          <w:b/>
          <w:bCs/>
          <w:sz w:val="24"/>
          <w:lang w:val="fr-CH"/>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2"/>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pStyle w:val="12"/>
        <w:spacing w:line="360" w:lineRule="auto"/>
        <w:rPr>
          <w:rFonts w:hAnsi="宋体" w:cs="宋体"/>
          <w:bCs/>
          <w:sz w:val="24"/>
        </w:rPr>
      </w:pPr>
    </w:p>
    <w:p>
      <w:pPr>
        <w:pStyle w:val="12"/>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sz w:val="24"/>
          <w:lang w:val="sq-AL"/>
        </w:rPr>
        <w:br w:type="page"/>
      </w:r>
      <w:r>
        <w:rPr>
          <w:rFonts w:hint="eastAsia" w:ascii="宋体" w:hAnsi="宋体" w:cs="宋体"/>
          <w:b/>
          <w:bCs/>
          <w:sz w:val="24"/>
        </w:rPr>
        <w:t>2、对项目的整体理解；</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4、进度计划及质量保证；</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5、投标人认为有必要提供的其他材料</w:t>
      </w:r>
    </w:p>
    <w:p>
      <w:pPr>
        <w:pStyle w:val="2"/>
      </w:pP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注：</w:t>
      </w:r>
    </w:p>
    <w:p>
      <w:pPr>
        <w:tabs>
          <w:tab w:val="left" w:pos="640"/>
          <w:tab w:val="left" w:pos="1260"/>
          <w:tab w:val="left" w:pos="1418"/>
        </w:tabs>
        <w:spacing w:line="360" w:lineRule="auto"/>
        <w:jc w:val="left"/>
        <w:rPr>
          <w:rFonts w:ascii="宋体" w:hAnsi="宋体" w:cs="宋体"/>
          <w:b/>
          <w:bCs/>
          <w:sz w:val="24"/>
        </w:rPr>
      </w:pPr>
      <w:r>
        <w:rPr>
          <w:rFonts w:hint="eastAsia" w:ascii="宋体" w:hAnsi="宋体" w:cs="宋体"/>
          <w:b/>
          <w:bCs/>
          <w:sz w:val="24"/>
        </w:rPr>
        <w:t>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1"/>
      <w:bookmarkStart w:id="27" w:name="_Toc3166"/>
      <w:bookmarkStart w:id="28" w:name="_Toc6251"/>
      <w:r>
        <w:rPr>
          <w:rFonts w:hint="eastAsia" w:ascii="宋体" w:hAnsi="宋体" w:cs="宋体"/>
          <w:b/>
          <w:bCs/>
          <w:sz w:val="24"/>
        </w:rPr>
        <w:t>（1）附件：相关政策</w:t>
      </w:r>
      <w:bookmarkEnd w:id="27"/>
      <w:bookmarkEnd w:id="28"/>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pStyle w:val="4"/>
        <w:rPr>
          <w:rFonts w:ascii="宋体" w:cs="宋体"/>
          <w:kern w:val="0"/>
          <w:sz w:val="24"/>
        </w:rPr>
      </w:pPr>
    </w:p>
    <w:p>
      <w:pPr>
        <w:pStyle w:val="4"/>
        <w:jc w:val="both"/>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w:t>
      </w:r>
      <w:r>
        <w:rPr>
          <w:rFonts w:ascii="宋体" w:hAnsi="宋体" w:cs="宋体"/>
          <w:kern w:val="0"/>
          <w:sz w:val="24"/>
        </w:rPr>
        <w:t>（</w:t>
      </w:r>
      <w:r>
        <w:rPr>
          <w:rFonts w:hint="eastAsia" w:ascii="宋体" w:hAnsi="宋体" w:cs="宋体"/>
          <w:kern w:val="0"/>
          <w:sz w:val="24"/>
        </w:rPr>
        <w:t>本项目以10%扣除</w:t>
      </w:r>
      <w:r>
        <w:rPr>
          <w:rFonts w:ascii="宋体" w:hAnsi="宋体" w:cs="宋体"/>
          <w:kern w:val="0"/>
          <w:sz w:val="24"/>
        </w:rPr>
        <w:t>）</w:t>
      </w:r>
      <w:r>
        <w:rPr>
          <w:rFonts w:hint="eastAsia" w:ascii="宋体" w:hAnsi="宋体" w:cs="宋体"/>
          <w:kern w:val="0"/>
          <w:sz w:val="24"/>
        </w:rPr>
        <w:t>，用扣除后的价格参加评审。适用招标投标法的政府采购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b/>
          <w:bCs/>
          <w:sz w:val="24"/>
        </w:rPr>
      </w:pPr>
      <w:r>
        <w:rPr>
          <w:rFonts w:hint="eastAsia" w:ascii="宋体" w:hAnsi="宋体" w:cs="宋体"/>
          <w:b/>
          <w:bCs/>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4"/>
        <w:jc w:val="both"/>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4"/>
        <w:jc w:val="both"/>
      </w:pPr>
    </w:p>
    <w:p>
      <w:pPr>
        <w:pStyle w:val="2"/>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b/>
          <w:bCs/>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pacing w:val="-2"/>
          <w:sz w:val="24"/>
        </w:rPr>
      </w:pP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2"/>
        <w:tblW w:w="882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411"/>
        <w:gridCol w:w="2505"/>
        <w:gridCol w:w="1905"/>
        <w:gridCol w:w="2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b/>
                <w:sz w:val="24"/>
                <w:szCs w:val="24"/>
              </w:rPr>
            </w:pPr>
            <w:r>
              <w:rPr>
                <w:rFonts w:hint="eastAsia"/>
                <w:b/>
                <w:sz w:val="24"/>
                <w:szCs w:val="24"/>
              </w:rPr>
              <w:t>序号</w:t>
            </w:r>
          </w:p>
        </w:tc>
        <w:tc>
          <w:tcPr>
            <w:tcW w:w="1411" w:type="dxa"/>
            <w:vAlign w:val="center"/>
          </w:tcPr>
          <w:p>
            <w:pPr>
              <w:pStyle w:val="53"/>
              <w:jc w:val="center"/>
              <w:rPr>
                <w:b/>
                <w:sz w:val="24"/>
                <w:szCs w:val="24"/>
              </w:rPr>
            </w:pPr>
            <w:r>
              <w:rPr>
                <w:rFonts w:hint="eastAsia"/>
                <w:b/>
                <w:sz w:val="24"/>
                <w:szCs w:val="24"/>
              </w:rPr>
              <w:t>项目名称</w:t>
            </w:r>
          </w:p>
        </w:tc>
        <w:tc>
          <w:tcPr>
            <w:tcW w:w="2505" w:type="dxa"/>
            <w:vAlign w:val="center"/>
          </w:tcPr>
          <w:p>
            <w:pPr>
              <w:pStyle w:val="53"/>
              <w:jc w:val="center"/>
              <w:rPr>
                <w:b/>
                <w:sz w:val="24"/>
                <w:szCs w:val="24"/>
              </w:rPr>
            </w:pPr>
            <w:r>
              <w:rPr>
                <w:rFonts w:hint="eastAsia"/>
                <w:b/>
                <w:sz w:val="24"/>
                <w:szCs w:val="24"/>
              </w:rPr>
              <w:t>预留选项</w:t>
            </w:r>
          </w:p>
        </w:tc>
        <w:tc>
          <w:tcPr>
            <w:tcW w:w="1905" w:type="dxa"/>
            <w:vAlign w:val="center"/>
          </w:tcPr>
          <w:p>
            <w:pPr>
              <w:pStyle w:val="53"/>
              <w:jc w:val="center"/>
              <w:rPr>
                <w:b/>
                <w:sz w:val="24"/>
                <w:szCs w:val="24"/>
              </w:rPr>
            </w:pPr>
            <w:r>
              <w:rPr>
                <w:rFonts w:hint="eastAsia"/>
                <w:b/>
                <w:sz w:val="24"/>
                <w:szCs w:val="24"/>
              </w:rPr>
              <w:t>面向中小企业采购金额</w:t>
            </w:r>
          </w:p>
        </w:tc>
        <w:tc>
          <w:tcPr>
            <w:tcW w:w="2135" w:type="dxa"/>
            <w:vAlign w:val="center"/>
          </w:tcPr>
          <w:p>
            <w:pPr>
              <w:pStyle w:val="53"/>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870" w:type="dxa"/>
            <w:vMerge w:val="restart"/>
            <w:vAlign w:val="center"/>
          </w:tcPr>
          <w:p>
            <w:pPr>
              <w:pStyle w:val="53"/>
              <w:jc w:val="center"/>
              <w:rPr>
                <w:sz w:val="24"/>
                <w:szCs w:val="24"/>
              </w:rPr>
            </w:pPr>
          </w:p>
        </w:tc>
        <w:tc>
          <w:tcPr>
            <w:tcW w:w="1411" w:type="dxa"/>
            <w:tcBorders>
              <w:bottom w:val="nil"/>
            </w:tcBorders>
            <w:vAlign w:val="center"/>
          </w:tcPr>
          <w:p>
            <w:pPr>
              <w:pStyle w:val="53"/>
              <w:jc w:val="center"/>
            </w:pPr>
          </w:p>
        </w:tc>
        <w:tc>
          <w:tcPr>
            <w:tcW w:w="2505" w:type="dxa"/>
            <w:tcBorders>
              <w:bottom w:val="nil"/>
            </w:tcBorders>
            <w:vAlign w:val="center"/>
          </w:tcPr>
          <w:p>
            <w:pPr>
              <w:pStyle w:val="53"/>
              <w:jc w:val="center"/>
            </w:pPr>
            <w:r>
              <w:rPr>
                <w:rFonts w:hint="eastAsia"/>
              </w:rPr>
              <w:t>（填写“采购项</w:t>
            </w:r>
          </w:p>
        </w:tc>
        <w:tc>
          <w:tcPr>
            <w:tcW w:w="1905" w:type="dxa"/>
            <w:tcBorders>
              <w:bottom w:val="nil"/>
            </w:tcBorders>
            <w:vAlign w:val="center"/>
          </w:tcPr>
          <w:p>
            <w:pPr>
              <w:pStyle w:val="53"/>
              <w:jc w:val="center"/>
            </w:pPr>
          </w:p>
        </w:tc>
        <w:tc>
          <w:tcPr>
            <w:tcW w:w="2135" w:type="dxa"/>
            <w:vMerge w:val="restart"/>
            <w:vAlign w:val="center"/>
          </w:tcPr>
          <w:p>
            <w:pPr>
              <w:pStyle w:val="53"/>
              <w:jc w:val="center"/>
            </w:pPr>
          </w:p>
          <w:p>
            <w:pPr>
              <w:pStyle w:val="53"/>
              <w:jc w:val="center"/>
            </w:pPr>
          </w:p>
          <w:p>
            <w:pPr>
              <w:pStyle w:val="53"/>
              <w:jc w:val="center"/>
            </w:pPr>
            <w:r>
              <w:rPr>
                <w:rFonts w:hint="eastAsia"/>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目整体预留”、</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“设置专门采购</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（填写集中采</w:t>
            </w:r>
          </w:p>
        </w:tc>
        <w:tc>
          <w:tcPr>
            <w:tcW w:w="2505" w:type="dxa"/>
            <w:tcBorders>
              <w:top w:val="nil"/>
              <w:bottom w:val="nil"/>
            </w:tcBorders>
            <w:vAlign w:val="center"/>
          </w:tcPr>
          <w:p>
            <w:pPr>
              <w:pStyle w:val="53"/>
              <w:jc w:val="center"/>
            </w:pPr>
            <w:r>
              <w:rPr>
                <w:rFonts w:hint="eastAsia"/>
              </w:rPr>
              <w:t>包”、“要求以</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购目录以内或</w:t>
            </w:r>
          </w:p>
        </w:tc>
        <w:tc>
          <w:tcPr>
            <w:tcW w:w="2505" w:type="dxa"/>
            <w:tcBorders>
              <w:top w:val="nil"/>
              <w:bottom w:val="nil"/>
            </w:tcBorders>
            <w:vAlign w:val="center"/>
          </w:tcPr>
          <w:p>
            <w:pPr>
              <w:pStyle w:val="53"/>
              <w:jc w:val="center"/>
            </w:pPr>
            <w:r>
              <w:rPr>
                <w:rFonts w:hint="eastAsia"/>
              </w:rPr>
              <w:t>联合体形式参</w:t>
            </w:r>
          </w:p>
        </w:tc>
        <w:tc>
          <w:tcPr>
            <w:tcW w:w="1905" w:type="dxa"/>
            <w:tcBorders>
              <w:top w:val="nil"/>
              <w:bottom w:val="nil"/>
            </w:tcBorders>
            <w:vAlign w:val="center"/>
          </w:tcPr>
          <w:p>
            <w:pPr>
              <w:pStyle w:val="53"/>
              <w:jc w:val="center"/>
            </w:pPr>
            <w:r>
              <w:rPr>
                <w:rFonts w:hint="eastAsia"/>
              </w:rPr>
              <w:t>（精确到万元）</w:t>
            </w: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者采购限额标</w:t>
            </w:r>
          </w:p>
        </w:tc>
        <w:tc>
          <w:tcPr>
            <w:tcW w:w="2505" w:type="dxa"/>
            <w:tcBorders>
              <w:top w:val="nil"/>
              <w:bottom w:val="nil"/>
            </w:tcBorders>
            <w:vAlign w:val="center"/>
          </w:tcPr>
          <w:p>
            <w:pPr>
              <w:pStyle w:val="53"/>
              <w:jc w:val="center"/>
            </w:pPr>
            <w:r>
              <w:rPr>
                <w:rFonts w:hint="eastAsia"/>
              </w:rPr>
              <w:t>加”或者“要求</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准以上的采购</w:t>
            </w:r>
          </w:p>
        </w:tc>
        <w:tc>
          <w:tcPr>
            <w:tcW w:w="2505" w:type="dxa"/>
            <w:tcBorders>
              <w:top w:val="nil"/>
              <w:bottom w:val="nil"/>
            </w:tcBorders>
            <w:vAlign w:val="center"/>
          </w:tcPr>
          <w:p>
            <w:pPr>
              <w:pStyle w:val="53"/>
              <w:jc w:val="center"/>
            </w:pPr>
            <w:r>
              <w:rPr>
                <w:rFonts w:hint="eastAsia"/>
              </w:rPr>
              <w:t>合同分包”，除</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r>
              <w:rPr>
                <w:rFonts w:hint="eastAsia"/>
              </w:rPr>
              <w:t>项目</w:t>
            </w:r>
          </w:p>
        </w:tc>
        <w:tc>
          <w:tcPr>
            <w:tcW w:w="2505" w:type="dxa"/>
            <w:tcBorders>
              <w:top w:val="nil"/>
              <w:bottom w:val="nil"/>
            </w:tcBorders>
            <w:vAlign w:val="center"/>
          </w:tcPr>
          <w:p>
            <w:pPr>
              <w:pStyle w:val="53"/>
              <w:jc w:val="center"/>
            </w:pPr>
            <w:r>
              <w:rPr>
                <w:rFonts w:hint="eastAsia"/>
              </w:rPr>
              <w:t>“采购项目全部</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预留”外，还应</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bottom w:val="nil"/>
            </w:tcBorders>
            <w:vAlign w:val="center"/>
          </w:tcPr>
          <w:p>
            <w:pPr>
              <w:pStyle w:val="53"/>
              <w:jc w:val="center"/>
            </w:pPr>
          </w:p>
        </w:tc>
        <w:tc>
          <w:tcPr>
            <w:tcW w:w="2505" w:type="dxa"/>
            <w:tcBorders>
              <w:top w:val="nil"/>
              <w:bottom w:val="nil"/>
            </w:tcBorders>
            <w:vAlign w:val="center"/>
          </w:tcPr>
          <w:p>
            <w:pPr>
              <w:pStyle w:val="53"/>
              <w:jc w:val="center"/>
            </w:pPr>
            <w:r>
              <w:rPr>
                <w:rFonts w:hint="eastAsia"/>
              </w:rPr>
              <w:t>当填写预留给中</w:t>
            </w:r>
          </w:p>
        </w:tc>
        <w:tc>
          <w:tcPr>
            <w:tcW w:w="1905" w:type="dxa"/>
            <w:tcBorders>
              <w:top w:val="nil"/>
              <w:bottom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870" w:type="dxa"/>
            <w:vMerge w:val="continue"/>
            <w:tcBorders>
              <w:top w:val="nil"/>
            </w:tcBorders>
            <w:vAlign w:val="center"/>
          </w:tcPr>
          <w:p>
            <w:pPr>
              <w:jc w:val="center"/>
              <w:rPr>
                <w:rFonts w:ascii="宋体" w:hAnsi="宋体" w:cs="宋体"/>
                <w:sz w:val="24"/>
              </w:rPr>
            </w:pPr>
          </w:p>
        </w:tc>
        <w:tc>
          <w:tcPr>
            <w:tcW w:w="1411" w:type="dxa"/>
            <w:tcBorders>
              <w:top w:val="nil"/>
            </w:tcBorders>
            <w:vAlign w:val="center"/>
          </w:tcPr>
          <w:p>
            <w:pPr>
              <w:pStyle w:val="53"/>
              <w:jc w:val="center"/>
            </w:pPr>
          </w:p>
        </w:tc>
        <w:tc>
          <w:tcPr>
            <w:tcW w:w="2505" w:type="dxa"/>
            <w:tcBorders>
              <w:top w:val="nil"/>
            </w:tcBorders>
            <w:vAlign w:val="center"/>
          </w:tcPr>
          <w:p>
            <w:pPr>
              <w:pStyle w:val="53"/>
              <w:jc w:val="center"/>
            </w:pPr>
            <w:r>
              <w:rPr>
                <w:rFonts w:hint="eastAsia"/>
              </w:rPr>
              <w:t>小企业的比例）</w:t>
            </w:r>
          </w:p>
        </w:tc>
        <w:tc>
          <w:tcPr>
            <w:tcW w:w="1905" w:type="dxa"/>
            <w:tcBorders>
              <w:top w:val="nil"/>
            </w:tcBorders>
            <w:vAlign w:val="center"/>
          </w:tcPr>
          <w:p>
            <w:pPr>
              <w:pStyle w:val="53"/>
              <w:jc w:val="center"/>
            </w:pPr>
          </w:p>
        </w:tc>
        <w:tc>
          <w:tcPr>
            <w:tcW w:w="2135" w:type="dxa"/>
            <w:vMerge w:val="continue"/>
            <w:tcBorders>
              <w:top w:val="nil"/>
            </w:tcBorders>
            <w:vAlign w:val="center"/>
          </w:tcPr>
          <w:p>
            <w:pPr>
              <w:jc w:val="center"/>
              <w:rPr>
                <w:rFonts w:ascii="宋体" w:hAnsi="宋体" w:cs="宋体"/>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53"/>
              <w:jc w:val="center"/>
              <w:rPr>
                <w:sz w:val="24"/>
                <w:szCs w:val="24"/>
              </w:rPr>
            </w:pPr>
            <w:r>
              <w:rPr>
                <w:rFonts w:hint="eastAsia"/>
                <w:sz w:val="24"/>
                <w:szCs w:val="24"/>
              </w:rPr>
              <w:t>……</w:t>
            </w:r>
          </w:p>
        </w:tc>
        <w:tc>
          <w:tcPr>
            <w:tcW w:w="1411" w:type="dxa"/>
            <w:vAlign w:val="center"/>
          </w:tcPr>
          <w:p>
            <w:pPr>
              <w:pStyle w:val="53"/>
              <w:jc w:val="center"/>
            </w:pPr>
            <w:r>
              <w:rPr>
                <w:rFonts w:hint="eastAsia"/>
              </w:rPr>
              <w:t>……</w:t>
            </w:r>
          </w:p>
        </w:tc>
        <w:tc>
          <w:tcPr>
            <w:tcW w:w="2505" w:type="dxa"/>
            <w:vAlign w:val="center"/>
          </w:tcPr>
          <w:p>
            <w:pPr>
              <w:pStyle w:val="53"/>
              <w:jc w:val="center"/>
            </w:pPr>
            <w:r>
              <w:rPr>
                <w:rFonts w:hint="eastAsia"/>
              </w:rPr>
              <w:t>……</w:t>
            </w:r>
          </w:p>
        </w:tc>
        <w:tc>
          <w:tcPr>
            <w:tcW w:w="1905" w:type="dxa"/>
            <w:vAlign w:val="center"/>
          </w:tcPr>
          <w:p>
            <w:pPr>
              <w:pStyle w:val="53"/>
              <w:jc w:val="center"/>
            </w:pPr>
            <w:r>
              <w:rPr>
                <w:rFonts w:hint="eastAsia"/>
              </w:rPr>
              <w:t>……</w:t>
            </w:r>
          </w:p>
        </w:tc>
        <w:tc>
          <w:tcPr>
            <w:tcW w:w="2135" w:type="dxa"/>
            <w:vAlign w:val="center"/>
          </w:tcPr>
          <w:p>
            <w:pPr>
              <w:pStyle w:val="53"/>
              <w:jc w:val="center"/>
            </w:pPr>
            <w:r>
              <w:rPr>
                <w:rFonts w:hint="eastAsia"/>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 xml:space="preserve">部门（单位）名称： </w:t>
      </w:r>
    </w:p>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日期：</w:t>
      </w:r>
    </w:p>
    <w:p>
      <w:pPr>
        <w:pStyle w:val="2"/>
        <w:tabs>
          <w:tab w:val="left" w:pos="562"/>
          <w:tab w:val="left" w:pos="3372"/>
          <w:tab w:val="left" w:pos="3653"/>
        </w:tabs>
        <w:rPr>
          <w:rFonts w:ascii="宋体" w:hAnsi="宋体" w:cs="宋体"/>
          <w:sz w:val="24"/>
        </w:rPr>
      </w:pPr>
    </w:p>
    <w:p>
      <w:pPr>
        <w:tabs>
          <w:tab w:val="left" w:pos="360"/>
        </w:tabs>
        <w:spacing w:line="360" w:lineRule="auto"/>
        <w:outlineLvl w:val="1"/>
        <w:rPr>
          <w:rFonts w:ascii="宋体" w:hAnsi="宋体" w:cs="宋体"/>
          <w:b/>
          <w:bCs/>
          <w:sz w:val="24"/>
        </w:rPr>
      </w:pPr>
      <w:r>
        <w:rPr>
          <w:rFonts w:hint="eastAsia" w:ascii="宋体" w:hAnsi="宋体" w:cs="宋体"/>
          <w:b/>
          <w:bCs/>
          <w:sz w:val="24"/>
        </w:rPr>
        <w:t>2、工业</w:t>
      </w:r>
      <w:r>
        <w:rPr>
          <w:rFonts w:hint="eastAsia" w:ascii="宋体" w:hAnsi="宋体" w:cs="宋体"/>
          <w:b/>
          <w:bCs/>
          <w:sz w:val="24"/>
          <w:lang w:val="en-US" w:eastAsia="zh-CN"/>
        </w:rPr>
        <w:t>和</w:t>
      </w:r>
      <w:bookmarkStart w:id="31" w:name="_GoBack"/>
      <w:bookmarkEnd w:id="31"/>
      <w:r>
        <w:rPr>
          <w:rFonts w:hint="eastAsia" w:ascii="宋体" w:hAnsi="宋体" w:cs="宋体"/>
          <w:b/>
          <w:bCs/>
          <w:sz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pStyle w:val="4"/>
        <w:rPr>
          <w:rFonts w:ascii="宋体" w:cs="宋体"/>
          <w:sz w:val="24"/>
        </w:rPr>
      </w:pPr>
    </w:p>
    <w:p>
      <w:pPr>
        <w:rPr>
          <w:rFonts w:ascii="宋体" w:hAnsi="宋体" w:cs="宋体"/>
          <w:sz w:val="24"/>
        </w:rPr>
      </w:pPr>
    </w:p>
    <w:p>
      <w:pPr>
        <w:pStyle w:val="4"/>
        <w:rPr>
          <w:rFonts w:ascii="宋体" w:cs="宋体"/>
          <w:sz w:val="24"/>
        </w:rPr>
      </w:pPr>
    </w:p>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20"/>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4"/>
        <w:rPr>
          <w:rFonts w:ascii="宋体" w:cs="宋体"/>
          <w:kern w:val="0"/>
          <w:sz w:val="24"/>
        </w:rPr>
      </w:pPr>
    </w:p>
    <w:p>
      <w:pPr>
        <w:rPr>
          <w:rFonts w:ascii="宋体" w:hAnsi="宋体" w:cs="宋体"/>
          <w:kern w:val="0"/>
          <w:sz w:val="24"/>
        </w:rPr>
      </w:pPr>
    </w:p>
    <w:p>
      <w:pPr>
        <w:pStyle w:val="4"/>
      </w:pP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jc w:val="center"/>
        <w:rPr>
          <w:rFonts w:ascii="宋体" w:hAnsi="宋体" w:cs="宋体"/>
          <w:b/>
          <w:sz w:val="24"/>
        </w:rPr>
      </w:pPr>
      <w:r>
        <w:rPr>
          <w:rFonts w:hint="eastAsia" w:ascii="宋体" w:hAnsi="宋体" w:cs="宋体"/>
          <w:b/>
          <w:sz w:val="24"/>
        </w:rPr>
        <w:t>关于促进残疾人就业政府采购政策的通知</w:t>
      </w:r>
    </w:p>
    <w:p>
      <w:pPr>
        <w:pStyle w:val="19"/>
        <w:shd w:val="clear" w:color="auto" w:fill="FFFFFF"/>
        <w:spacing w:before="0" w:beforeAutospacing="0" w:after="0" w:afterAutospacing="0" w:line="360" w:lineRule="auto"/>
        <w:jc w:val="center"/>
      </w:pPr>
      <w:r>
        <w:rPr>
          <w:rFonts w:hint="eastAsia"/>
        </w:rPr>
        <w:t>　　</w:t>
      </w:r>
      <w:bookmarkStart w:id="29" w:name="sendNo"/>
      <w:r>
        <w:rPr>
          <w:rFonts w:hint="eastAsia"/>
        </w:rPr>
        <w:t>财库〔</w:t>
      </w:r>
      <w:bookmarkEnd w:id="29"/>
      <w:r>
        <w:rPr>
          <w:rFonts w:hint="eastAsia"/>
        </w:rPr>
        <w:t>2017〕141号</w:t>
      </w:r>
    </w:p>
    <w:p>
      <w:pPr>
        <w:pStyle w:val="19"/>
        <w:shd w:val="clear" w:color="auto" w:fill="FFFFFF"/>
        <w:spacing w:before="0" w:beforeAutospacing="0" w:after="0" w:afterAutospacing="0" w:line="360" w:lineRule="auto"/>
        <w:ind w:firstLine="480" w:firstLineChars="200"/>
      </w:pPr>
      <w:bookmarkStart w:id="30"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0"/>
      <w:r>
        <w:rPr>
          <w:rFonts w:hint="eastAsia"/>
        </w:rPr>
        <w:t>：</w:t>
      </w:r>
    </w:p>
    <w:p>
      <w:pPr>
        <w:pStyle w:val="19"/>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9"/>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9"/>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9"/>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9"/>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9"/>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9"/>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9"/>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9"/>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9"/>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9"/>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9"/>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9"/>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9"/>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9"/>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9"/>
        <w:shd w:val="clear" w:color="auto" w:fill="FFFFFF"/>
        <w:spacing w:before="0" w:beforeAutospacing="0" w:after="0" w:afterAutospacing="0" w:line="360" w:lineRule="auto"/>
        <w:ind w:firstLine="480" w:firstLineChars="200"/>
      </w:pPr>
      <w:r>
        <w:rPr>
          <w:rFonts w:hint="eastAsia"/>
        </w:rPr>
        <w:t>七、本通知自2017年10月1日起执行。</w:t>
      </w: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pPr>
    </w:p>
    <w:p>
      <w:pPr>
        <w:pStyle w:val="19"/>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9"/>
        <w:shd w:val="clear" w:color="auto" w:fill="FFFFFF"/>
        <w:spacing w:before="0" w:beforeAutospacing="0" w:after="0" w:afterAutospacing="0" w:line="360" w:lineRule="auto"/>
        <w:ind w:firstLine="480" w:firstLineChars="200"/>
        <w:jc w:val="right"/>
      </w:pPr>
      <w:r>
        <w:rPr>
          <w:rFonts w:hint="eastAsia"/>
        </w:rPr>
        <w:t>2017年8月22日</w:t>
      </w: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p>
    <w:p>
      <w:pPr>
        <w:pStyle w:val="54"/>
        <w:shd w:val="clear" w:color="auto" w:fill="FFFFFF"/>
        <w:spacing w:before="0" w:beforeAutospacing="0" w:after="0" w:afterAutospacing="0" w:line="360" w:lineRule="auto"/>
        <w:jc w:val="both"/>
      </w:pPr>
      <w:r>
        <w:rPr>
          <w:rFonts w:hint="eastAsia"/>
        </w:rPr>
        <w:t>附件：</w:t>
      </w:r>
    </w:p>
    <w:p>
      <w:pPr>
        <w:pStyle w:val="54"/>
        <w:shd w:val="clear" w:color="auto" w:fill="FFFFFF"/>
        <w:spacing w:before="0" w:beforeAutospacing="0" w:after="0" w:afterAutospacing="0" w:line="360" w:lineRule="auto"/>
        <w:ind w:firstLine="482" w:firstLineChars="200"/>
        <w:jc w:val="center"/>
      </w:pPr>
      <w:r>
        <w:rPr>
          <w:rStyle w:val="55"/>
          <w:rFonts w:hint="eastAsia"/>
          <w:b/>
          <w:bCs/>
        </w:rPr>
        <w:t>残疾人福利性单位声明函</w:t>
      </w:r>
    </w:p>
    <w:p>
      <w:pPr>
        <w:pStyle w:val="54"/>
        <w:shd w:val="clear" w:color="auto" w:fill="FFFFFF"/>
        <w:spacing w:before="0" w:beforeAutospacing="0" w:after="0" w:afterAutospacing="0" w:line="360" w:lineRule="auto"/>
        <w:ind w:firstLine="480" w:firstLineChars="200"/>
        <w:jc w:val="both"/>
      </w:pPr>
    </w:p>
    <w:p>
      <w:pPr>
        <w:pStyle w:val="54"/>
        <w:shd w:val="clear" w:color="auto" w:fill="FFFFFF"/>
        <w:spacing w:before="0" w:beforeAutospacing="0" w:after="0" w:afterAutospacing="0" w:line="360" w:lineRule="auto"/>
        <w:ind w:firstLine="480" w:firstLineChars="200"/>
        <w:jc w:val="both"/>
      </w:pPr>
      <w:r>
        <w:rPr>
          <w:rStyle w:val="55"/>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54"/>
        <w:shd w:val="clear" w:color="auto" w:fill="FFFFFF"/>
        <w:spacing w:before="0" w:beforeAutospacing="0" w:after="0" w:afterAutospacing="0" w:line="360" w:lineRule="auto"/>
        <w:ind w:firstLine="480" w:firstLineChars="200"/>
        <w:jc w:val="both"/>
      </w:pPr>
      <w:r>
        <w:rPr>
          <w:rStyle w:val="55"/>
          <w:rFonts w:hint="eastAsia"/>
        </w:rPr>
        <w:t>本单位对上述声明的真实性负责。如有虚假，将依法承担相应责任。</w:t>
      </w:r>
    </w:p>
    <w:p>
      <w:pPr>
        <w:pStyle w:val="54"/>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54"/>
        <w:shd w:val="clear" w:color="auto" w:fill="FFFFFF"/>
        <w:spacing w:before="0" w:beforeAutospacing="0" w:after="0" w:afterAutospacing="0" w:line="360" w:lineRule="auto"/>
        <w:ind w:firstLine="480" w:firstLineChars="200"/>
        <w:jc w:val="both"/>
      </w:pPr>
    </w:p>
    <w:p>
      <w:pPr>
        <w:pStyle w:val="54"/>
        <w:shd w:val="clear" w:color="auto" w:fill="FFFFFF"/>
        <w:spacing w:before="0" w:beforeAutospacing="0" w:after="0" w:afterAutospacing="0" w:line="360" w:lineRule="auto"/>
        <w:ind w:right="2100" w:rightChars="1000"/>
        <w:jc w:val="right"/>
      </w:pPr>
      <w:r>
        <w:rPr>
          <w:rStyle w:val="55"/>
          <w:rFonts w:hint="eastAsia"/>
        </w:rPr>
        <w:t>单位名称（盖章）：</w:t>
      </w:r>
    </w:p>
    <w:p>
      <w:pPr>
        <w:pStyle w:val="54"/>
        <w:shd w:val="clear" w:color="auto" w:fill="FFFFFF"/>
        <w:spacing w:before="0" w:beforeAutospacing="0" w:after="0" w:afterAutospacing="0" w:line="360" w:lineRule="auto"/>
        <w:ind w:right="2100" w:rightChars="1000"/>
        <w:jc w:val="right"/>
        <w:rPr>
          <w:lang w:val="fr-CH"/>
        </w:rPr>
      </w:pPr>
      <w:r>
        <w:rPr>
          <w:rStyle w:val="55"/>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sectPr>
      <w:headerReference r:id="rId10" w:type="first"/>
      <w:headerReference r:id="rId8" w:type="default"/>
      <w:headerReference r:id="rId9"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黑体简体">
    <w:altName w:val="等线"/>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7</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8</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21</w:t>
    </w:r>
    <w:r>
      <w:rPr>
        <w:lang w:val="zh-CN"/>
      </w:rPr>
      <w:fldChar w:fldCharType="end"/>
    </w:r>
  </w:p>
  <w:p>
    <w:pPr>
      <w:pStyle w:val="1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3073"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text="f"/>
          <v:textpath on="t" fitshape="t" fitpath="t" trim="f" xscale="f" string="黄志翔20230207"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B60EDFBE"/>
    <w:multiLevelType w:val="singleLevel"/>
    <w:tmpl w:val="B60EDFBE"/>
    <w:lvl w:ilvl="0" w:tentative="0">
      <w:start w:val="1"/>
      <w:numFmt w:val="decimal"/>
      <w:suff w:val="nothing"/>
      <w:lvlText w:val="（%1）"/>
      <w:lvlJc w:val="left"/>
    </w:lvl>
  </w:abstractNum>
  <w:abstractNum w:abstractNumId="2">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3">
    <w:nsid w:val="557559BE"/>
    <w:multiLevelType w:val="singleLevel"/>
    <w:tmpl w:val="557559BE"/>
    <w:lvl w:ilvl="0" w:tentative="0">
      <w:start w:val="2"/>
      <w:numFmt w:val="chineseCounting"/>
      <w:suff w:val="nothing"/>
      <w:lvlText w:val="（%1）"/>
      <w:lvlJc w:val="left"/>
      <w:rPr>
        <w:rFonts w:hint="eastAsia"/>
      </w:rPr>
    </w:lvl>
  </w:abstractNum>
  <w:abstractNum w:abstractNumId="4">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5">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evenAndOddHeaders w:val="1"/>
  <w:drawingGridHorizontalSpacing w:val="105"/>
  <w:drawingGridVerticalSpacing w:val="319"/>
  <w:noPunctuationKerning w:val="1"/>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NmI0YTU1MTNiYzE0NWU1M2FjMTAyNzM3ZGI0NWQifQ=="/>
  </w:docVars>
  <w:rsids>
    <w:rsidRoot w:val="000A03C9"/>
    <w:rsid w:val="00012816"/>
    <w:rsid w:val="00013C11"/>
    <w:rsid w:val="00050316"/>
    <w:rsid w:val="00060D38"/>
    <w:rsid w:val="00083A6F"/>
    <w:rsid w:val="00097523"/>
    <w:rsid w:val="000A03C9"/>
    <w:rsid w:val="000E1139"/>
    <w:rsid w:val="00100FAE"/>
    <w:rsid w:val="0011760F"/>
    <w:rsid w:val="0011772A"/>
    <w:rsid w:val="00132F58"/>
    <w:rsid w:val="001405B8"/>
    <w:rsid w:val="001547DB"/>
    <w:rsid w:val="00161255"/>
    <w:rsid w:val="001656EE"/>
    <w:rsid w:val="00165AC8"/>
    <w:rsid w:val="00195D4B"/>
    <w:rsid w:val="00197EE5"/>
    <w:rsid w:val="001C583F"/>
    <w:rsid w:val="001C7267"/>
    <w:rsid w:val="001E1A47"/>
    <w:rsid w:val="0020254F"/>
    <w:rsid w:val="00211CA0"/>
    <w:rsid w:val="00254AF5"/>
    <w:rsid w:val="002719BF"/>
    <w:rsid w:val="00285123"/>
    <w:rsid w:val="0029395D"/>
    <w:rsid w:val="002A1AF1"/>
    <w:rsid w:val="002B3F9B"/>
    <w:rsid w:val="002D1734"/>
    <w:rsid w:val="002F2C22"/>
    <w:rsid w:val="00311414"/>
    <w:rsid w:val="003172CA"/>
    <w:rsid w:val="00323585"/>
    <w:rsid w:val="00343577"/>
    <w:rsid w:val="00345639"/>
    <w:rsid w:val="00376653"/>
    <w:rsid w:val="00385850"/>
    <w:rsid w:val="003C2306"/>
    <w:rsid w:val="003D1B6E"/>
    <w:rsid w:val="003D4F4C"/>
    <w:rsid w:val="003F5B3F"/>
    <w:rsid w:val="00401BD0"/>
    <w:rsid w:val="00401EB3"/>
    <w:rsid w:val="0042043F"/>
    <w:rsid w:val="00424CFA"/>
    <w:rsid w:val="00426E83"/>
    <w:rsid w:val="00433FC9"/>
    <w:rsid w:val="004432A6"/>
    <w:rsid w:val="004F5E60"/>
    <w:rsid w:val="004F6D6E"/>
    <w:rsid w:val="00505C6A"/>
    <w:rsid w:val="00537D11"/>
    <w:rsid w:val="006304E7"/>
    <w:rsid w:val="0064558C"/>
    <w:rsid w:val="006833C1"/>
    <w:rsid w:val="006A554B"/>
    <w:rsid w:val="006B6F72"/>
    <w:rsid w:val="006C61C8"/>
    <w:rsid w:val="006C6E4B"/>
    <w:rsid w:val="00703AD2"/>
    <w:rsid w:val="007342C9"/>
    <w:rsid w:val="00737C28"/>
    <w:rsid w:val="0075213F"/>
    <w:rsid w:val="00753EA2"/>
    <w:rsid w:val="00766282"/>
    <w:rsid w:val="00786374"/>
    <w:rsid w:val="00787209"/>
    <w:rsid w:val="007A2ED1"/>
    <w:rsid w:val="007D3CAE"/>
    <w:rsid w:val="007D7C67"/>
    <w:rsid w:val="008011B0"/>
    <w:rsid w:val="00816292"/>
    <w:rsid w:val="00832B49"/>
    <w:rsid w:val="00834FB1"/>
    <w:rsid w:val="00843468"/>
    <w:rsid w:val="0085718E"/>
    <w:rsid w:val="008652CD"/>
    <w:rsid w:val="00885B4B"/>
    <w:rsid w:val="0089023E"/>
    <w:rsid w:val="00892F70"/>
    <w:rsid w:val="008A6326"/>
    <w:rsid w:val="008C5042"/>
    <w:rsid w:val="008D6FAF"/>
    <w:rsid w:val="008E3EA1"/>
    <w:rsid w:val="00917FB3"/>
    <w:rsid w:val="00932EB7"/>
    <w:rsid w:val="00945665"/>
    <w:rsid w:val="009527F9"/>
    <w:rsid w:val="009616B4"/>
    <w:rsid w:val="009A3B81"/>
    <w:rsid w:val="009C7955"/>
    <w:rsid w:val="009D661F"/>
    <w:rsid w:val="00A1236C"/>
    <w:rsid w:val="00A17DB9"/>
    <w:rsid w:val="00A310EF"/>
    <w:rsid w:val="00A4283D"/>
    <w:rsid w:val="00A51F18"/>
    <w:rsid w:val="00A63EBC"/>
    <w:rsid w:val="00A648EF"/>
    <w:rsid w:val="00A777F1"/>
    <w:rsid w:val="00AB324C"/>
    <w:rsid w:val="00AB45A4"/>
    <w:rsid w:val="00B143A6"/>
    <w:rsid w:val="00B144F0"/>
    <w:rsid w:val="00B25982"/>
    <w:rsid w:val="00B259ED"/>
    <w:rsid w:val="00B31A25"/>
    <w:rsid w:val="00B7425E"/>
    <w:rsid w:val="00BA5DD2"/>
    <w:rsid w:val="00BE5EAE"/>
    <w:rsid w:val="00C13B37"/>
    <w:rsid w:val="00C22086"/>
    <w:rsid w:val="00C50A1D"/>
    <w:rsid w:val="00C62CF0"/>
    <w:rsid w:val="00C73E9F"/>
    <w:rsid w:val="00CC1A8C"/>
    <w:rsid w:val="00D000A7"/>
    <w:rsid w:val="00D02429"/>
    <w:rsid w:val="00D03BA7"/>
    <w:rsid w:val="00D126E4"/>
    <w:rsid w:val="00D47730"/>
    <w:rsid w:val="00D5302C"/>
    <w:rsid w:val="00D60748"/>
    <w:rsid w:val="00D657EB"/>
    <w:rsid w:val="00D71356"/>
    <w:rsid w:val="00D93AA8"/>
    <w:rsid w:val="00DD5E18"/>
    <w:rsid w:val="00E3725B"/>
    <w:rsid w:val="00E60E6A"/>
    <w:rsid w:val="00E6754C"/>
    <w:rsid w:val="00E737B6"/>
    <w:rsid w:val="00EB2976"/>
    <w:rsid w:val="00EB5CD8"/>
    <w:rsid w:val="00EB6DAC"/>
    <w:rsid w:val="00EC4BC9"/>
    <w:rsid w:val="00F908A8"/>
    <w:rsid w:val="00F919F7"/>
    <w:rsid w:val="00FD11FF"/>
    <w:rsid w:val="03193C38"/>
    <w:rsid w:val="038C3C8D"/>
    <w:rsid w:val="04AE4570"/>
    <w:rsid w:val="053C21BF"/>
    <w:rsid w:val="05CD2DD6"/>
    <w:rsid w:val="064A228E"/>
    <w:rsid w:val="06E31BE3"/>
    <w:rsid w:val="071023CF"/>
    <w:rsid w:val="07327CB2"/>
    <w:rsid w:val="07523881"/>
    <w:rsid w:val="0790598C"/>
    <w:rsid w:val="082A3964"/>
    <w:rsid w:val="085D25E7"/>
    <w:rsid w:val="089D7C92"/>
    <w:rsid w:val="08AD1D28"/>
    <w:rsid w:val="08F62CB1"/>
    <w:rsid w:val="092D54BA"/>
    <w:rsid w:val="093B4F71"/>
    <w:rsid w:val="0A2307BE"/>
    <w:rsid w:val="0A721337"/>
    <w:rsid w:val="0A7A6B3D"/>
    <w:rsid w:val="0BA32880"/>
    <w:rsid w:val="0CD81BE1"/>
    <w:rsid w:val="0CE83016"/>
    <w:rsid w:val="0CFB3713"/>
    <w:rsid w:val="0D63079C"/>
    <w:rsid w:val="0DCE6580"/>
    <w:rsid w:val="0ED938D7"/>
    <w:rsid w:val="0F9D4375"/>
    <w:rsid w:val="10491542"/>
    <w:rsid w:val="10B879D1"/>
    <w:rsid w:val="10E70644"/>
    <w:rsid w:val="11997B61"/>
    <w:rsid w:val="137F7750"/>
    <w:rsid w:val="141077A2"/>
    <w:rsid w:val="14B922F8"/>
    <w:rsid w:val="150572EB"/>
    <w:rsid w:val="158C17BA"/>
    <w:rsid w:val="15B6625F"/>
    <w:rsid w:val="161569FA"/>
    <w:rsid w:val="163C6D3C"/>
    <w:rsid w:val="168B0076"/>
    <w:rsid w:val="16D83A0F"/>
    <w:rsid w:val="185F6D12"/>
    <w:rsid w:val="188C4DE8"/>
    <w:rsid w:val="190478B9"/>
    <w:rsid w:val="192173DA"/>
    <w:rsid w:val="19F44886"/>
    <w:rsid w:val="1BAF21B2"/>
    <w:rsid w:val="1C191192"/>
    <w:rsid w:val="1D125EE3"/>
    <w:rsid w:val="1DA67191"/>
    <w:rsid w:val="1E59657F"/>
    <w:rsid w:val="1F046865"/>
    <w:rsid w:val="1FCB7C3B"/>
    <w:rsid w:val="1FFD0469"/>
    <w:rsid w:val="207A6477"/>
    <w:rsid w:val="20987265"/>
    <w:rsid w:val="20F3093F"/>
    <w:rsid w:val="22BE6CE5"/>
    <w:rsid w:val="22D075AB"/>
    <w:rsid w:val="23DB5571"/>
    <w:rsid w:val="24883A94"/>
    <w:rsid w:val="24F61A04"/>
    <w:rsid w:val="257F2EB4"/>
    <w:rsid w:val="259801A5"/>
    <w:rsid w:val="25FF38E2"/>
    <w:rsid w:val="267D25BB"/>
    <w:rsid w:val="28A54C15"/>
    <w:rsid w:val="2A6C01E7"/>
    <w:rsid w:val="2A77466A"/>
    <w:rsid w:val="2CCF4C71"/>
    <w:rsid w:val="2EED10C4"/>
    <w:rsid w:val="2F305F49"/>
    <w:rsid w:val="2F754B98"/>
    <w:rsid w:val="301D1535"/>
    <w:rsid w:val="31087096"/>
    <w:rsid w:val="317FC574"/>
    <w:rsid w:val="31A723A1"/>
    <w:rsid w:val="31AF440F"/>
    <w:rsid w:val="33915916"/>
    <w:rsid w:val="346076B1"/>
    <w:rsid w:val="356B6AA1"/>
    <w:rsid w:val="35B71AE4"/>
    <w:rsid w:val="36FA13DF"/>
    <w:rsid w:val="37201B14"/>
    <w:rsid w:val="377C3469"/>
    <w:rsid w:val="37985D2A"/>
    <w:rsid w:val="38B94633"/>
    <w:rsid w:val="3A4903CE"/>
    <w:rsid w:val="3A9B7C26"/>
    <w:rsid w:val="3BA698CF"/>
    <w:rsid w:val="3BC3996D"/>
    <w:rsid w:val="3C1934F8"/>
    <w:rsid w:val="3C65585E"/>
    <w:rsid w:val="3CFEC730"/>
    <w:rsid w:val="3D5F7E05"/>
    <w:rsid w:val="3D8D165C"/>
    <w:rsid w:val="3DF45004"/>
    <w:rsid w:val="3DF78C75"/>
    <w:rsid w:val="3EF13CC2"/>
    <w:rsid w:val="3EFB77BC"/>
    <w:rsid w:val="3F7647BE"/>
    <w:rsid w:val="3FBAF015"/>
    <w:rsid w:val="40D82C46"/>
    <w:rsid w:val="414A7D39"/>
    <w:rsid w:val="41683447"/>
    <w:rsid w:val="434E77E4"/>
    <w:rsid w:val="436C03B1"/>
    <w:rsid w:val="44226CC2"/>
    <w:rsid w:val="448434E4"/>
    <w:rsid w:val="45848D9E"/>
    <w:rsid w:val="45E06224"/>
    <w:rsid w:val="45E537EC"/>
    <w:rsid w:val="45F80563"/>
    <w:rsid w:val="46B61944"/>
    <w:rsid w:val="46F32B98"/>
    <w:rsid w:val="4760647F"/>
    <w:rsid w:val="47CD852C"/>
    <w:rsid w:val="4814724D"/>
    <w:rsid w:val="49862820"/>
    <w:rsid w:val="4A3E412A"/>
    <w:rsid w:val="4AB92EB6"/>
    <w:rsid w:val="4ACE6F39"/>
    <w:rsid w:val="4BC66ACD"/>
    <w:rsid w:val="4DA93125"/>
    <w:rsid w:val="4DD059E1"/>
    <w:rsid w:val="4E58280E"/>
    <w:rsid w:val="4E5A846A"/>
    <w:rsid w:val="4EF429D6"/>
    <w:rsid w:val="4FC845F9"/>
    <w:rsid w:val="50A32F39"/>
    <w:rsid w:val="516A3CD7"/>
    <w:rsid w:val="525025E4"/>
    <w:rsid w:val="53411E97"/>
    <w:rsid w:val="542E520F"/>
    <w:rsid w:val="54A85A59"/>
    <w:rsid w:val="555D77E7"/>
    <w:rsid w:val="55CA2D77"/>
    <w:rsid w:val="55E21CBB"/>
    <w:rsid w:val="55FB3A34"/>
    <w:rsid w:val="56FF43AA"/>
    <w:rsid w:val="574134AB"/>
    <w:rsid w:val="57DEB67F"/>
    <w:rsid w:val="57FFCF33"/>
    <w:rsid w:val="58BB18C5"/>
    <w:rsid w:val="58D81BED"/>
    <w:rsid w:val="58FE1D69"/>
    <w:rsid w:val="59BA3148"/>
    <w:rsid w:val="5A745864"/>
    <w:rsid w:val="5AB87D1C"/>
    <w:rsid w:val="5B0BE8A3"/>
    <w:rsid w:val="5B157F2A"/>
    <w:rsid w:val="5D230AB0"/>
    <w:rsid w:val="5D7063B0"/>
    <w:rsid w:val="5D8C2987"/>
    <w:rsid w:val="5DDC5CDC"/>
    <w:rsid w:val="5E5D0BCB"/>
    <w:rsid w:val="5E7DB791"/>
    <w:rsid w:val="5F3DB321"/>
    <w:rsid w:val="5FDF3181"/>
    <w:rsid w:val="5FF9637B"/>
    <w:rsid w:val="601D22B9"/>
    <w:rsid w:val="636DF860"/>
    <w:rsid w:val="63F773CC"/>
    <w:rsid w:val="63FF5EE3"/>
    <w:rsid w:val="64DE058B"/>
    <w:rsid w:val="650A1DA8"/>
    <w:rsid w:val="661E1837"/>
    <w:rsid w:val="664E34EF"/>
    <w:rsid w:val="66CE5E35"/>
    <w:rsid w:val="67566AFF"/>
    <w:rsid w:val="6757544D"/>
    <w:rsid w:val="6790410F"/>
    <w:rsid w:val="67EC2FBF"/>
    <w:rsid w:val="69076303"/>
    <w:rsid w:val="69CC7E02"/>
    <w:rsid w:val="6AA91CDD"/>
    <w:rsid w:val="6B695FD0"/>
    <w:rsid w:val="6D5E4474"/>
    <w:rsid w:val="6D7CAFCF"/>
    <w:rsid w:val="6D9A6775"/>
    <w:rsid w:val="6DEF63AF"/>
    <w:rsid w:val="6EA45800"/>
    <w:rsid w:val="6F2AF13D"/>
    <w:rsid w:val="6F5C0A2B"/>
    <w:rsid w:val="6F7B11AB"/>
    <w:rsid w:val="6FDA6B29"/>
    <w:rsid w:val="6FFA3C8D"/>
    <w:rsid w:val="718F3078"/>
    <w:rsid w:val="71FF6675"/>
    <w:rsid w:val="72334DCA"/>
    <w:rsid w:val="73EFC2E5"/>
    <w:rsid w:val="74E76064"/>
    <w:rsid w:val="74F567D4"/>
    <w:rsid w:val="76EFBE98"/>
    <w:rsid w:val="77375650"/>
    <w:rsid w:val="77FB97EF"/>
    <w:rsid w:val="78DBD621"/>
    <w:rsid w:val="78FA0850"/>
    <w:rsid w:val="7A022AB2"/>
    <w:rsid w:val="7A5E7D4D"/>
    <w:rsid w:val="7A763B8C"/>
    <w:rsid w:val="7AED5CDC"/>
    <w:rsid w:val="7B23F4BA"/>
    <w:rsid w:val="7B3B2A48"/>
    <w:rsid w:val="7B4F7B3D"/>
    <w:rsid w:val="7B72AEA9"/>
    <w:rsid w:val="7BB51A2E"/>
    <w:rsid w:val="7BEB7571"/>
    <w:rsid w:val="7BED23E4"/>
    <w:rsid w:val="7BEF6F6D"/>
    <w:rsid w:val="7BF5EB2A"/>
    <w:rsid w:val="7BFC38F2"/>
    <w:rsid w:val="7C57185D"/>
    <w:rsid w:val="7D5B5C7A"/>
    <w:rsid w:val="7D5E0397"/>
    <w:rsid w:val="7DDF2775"/>
    <w:rsid w:val="7DF90786"/>
    <w:rsid w:val="7E2117BD"/>
    <w:rsid w:val="7E46251D"/>
    <w:rsid w:val="7E714031"/>
    <w:rsid w:val="7EB329B8"/>
    <w:rsid w:val="7EDE76AE"/>
    <w:rsid w:val="7F0EF9CE"/>
    <w:rsid w:val="7F354FFD"/>
    <w:rsid w:val="7F4FB9F7"/>
    <w:rsid w:val="7F77BB0D"/>
    <w:rsid w:val="7FA24749"/>
    <w:rsid w:val="7FBAAD52"/>
    <w:rsid w:val="7FBE6736"/>
    <w:rsid w:val="7FBFC199"/>
    <w:rsid w:val="7FCE1EB7"/>
    <w:rsid w:val="7FCE7411"/>
    <w:rsid w:val="7FCF094A"/>
    <w:rsid w:val="7FD9F5BC"/>
    <w:rsid w:val="7FDFA76C"/>
    <w:rsid w:val="7FEF3C32"/>
    <w:rsid w:val="7FF5B316"/>
    <w:rsid w:val="7FFF9D56"/>
    <w:rsid w:val="7FFFC186"/>
    <w:rsid w:val="9CEA1F8E"/>
    <w:rsid w:val="9FAD2AD0"/>
    <w:rsid w:val="A7DCC141"/>
    <w:rsid w:val="ABDF74A1"/>
    <w:rsid w:val="ACF742ED"/>
    <w:rsid w:val="ADFF0B8B"/>
    <w:rsid w:val="B7EF7656"/>
    <w:rsid w:val="B93B2BF7"/>
    <w:rsid w:val="BD1E6F32"/>
    <w:rsid w:val="BD8C1983"/>
    <w:rsid w:val="BDFF3A4E"/>
    <w:rsid w:val="BEFB386F"/>
    <w:rsid w:val="BF77EB65"/>
    <w:rsid w:val="BF9683E4"/>
    <w:rsid w:val="BFB44B74"/>
    <w:rsid w:val="BFFFD89D"/>
    <w:rsid w:val="C7F752B7"/>
    <w:rsid w:val="C7FD7ADF"/>
    <w:rsid w:val="CD7D8B60"/>
    <w:rsid w:val="CD9942C2"/>
    <w:rsid w:val="CF5F42AE"/>
    <w:rsid w:val="D3F73569"/>
    <w:rsid w:val="D4B32F44"/>
    <w:rsid w:val="D6526685"/>
    <w:rsid w:val="D73AED10"/>
    <w:rsid w:val="D7BD603C"/>
    <w:rsid w:val="DADF412F"/>
    <w:rsid w:val="DB7F364C"/>
    <w:rsid w:val="DB93EF8A"/>
    <w:rsid w:val="DE3F8390"/>
    <w:rsid w:val="DE496B4E"/>
    <w:rsid w:val="DF9FC2AC"/>
    <w:rsid w:val="DFDFF450"/>
    <w:rsid w:val="E6FD0435"/>
    <w:rsid w:val="E77E0561"/>
    <w:rsid w:val="EBF92D84"/>
    <w:rsid w:val="EDFBB724"/>
    <w:rsid w:val="EF3BB1A1"/>
    <w:rsid w:val="EF9F3890"/>
    <w:rsid w:val="EFC72C59"/>
    <w:rsid w:val="F375EE14"/>
    <w:rsid w:val="F39DA0A9"/>
    <w:rsid w:val="F39FDE71"/>
    <w:rsid w:val="F3F71B61"/>
    <w:rsid w:val="F4DF58A4"/>
    <w:rsid w:val="F5DFD484"/>
    <w:rsid w:val="F6DDADCA"/>
    <w:rsid w:val="F6FC2AAB"/>
    <w:rsid w:val="F7BB73DF"/>
    <w:rsid w:val="F7F7F564"/>
    <w:rsid w:val="F9FEFCBD"/>
    <w:rsid w:val="FA7FD689"/>
    <w:rsid w:val="FBAE52E5"/>
    <w:rsid w:val="FBFF9B33"/>
    <w:rsid w:val="FC34AE60"/>
    <w:rsid w:val="FCDF47DF"/>
    <w:rsid w:val="FCE71967"/>
    <w:rsid w:val="FDBF4003"/>
    <w:rsid w:val="FDE7D572"/>
    <w:rsid w:val="FDFF0D32"/>
    <w:rsid w:val="FE598508"/>
    <w:rsid w:val="FECEDD30"/>
    <w:rsid w:val="FEFF20F7"/>
    <w:rsid w:val="FFBF4B91"/>
    <w:rsid w:val="FFFD02D8"/>
    <w:rsid w:val="FFFE3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30"/>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33"/>
    <w:unhideWhenUsed/>
    <w:qFormat/>
    <w:uiPriority w:val="0"/>
    <w:pPr>
      <w:spacing w:after="120"/>
    </w:pPr>
  </w:style>
  <w:style w:type="paragraph" w:styleId="8">
    <w:name w:val="Normal Indent"/>
    <w:basedOn w:val="1"/>
    <w:qFormat/>
    <w:uiPriority w:val="0"/>
    <w:pPr>
      <w:ind w:firstLine="420"/>
    </w:pPr>
    <w:rPr>
      <w:szCs w:val="20"/>
    </w:rPr>
  </w:style>
  <w:style w:type="paragraph" w:styleId="9">
    <w:name w:val="Document Map"/>
    <w:basedOn w:val="1"/>
    <w:link w:val="31"/>
    <w:unhideWhenUsed/>
    <w:qFormat/>
    <w:uiPriority w:val="99"/>
    <w:rPr>
      <w:rFonts w:ascii="宋体"/>
      <w:sz w:val="18"/>
      <w:szCs w:val="18"/>
    </w:rPr>
  </w:style>
  <w:style w:type="paragraph" w:styleId="10">
    <w:name w:val="annotation text"/>
    <w:basedOn w:val="1"/>
    <w:link w:val="32"/>
    <w:unhideWhenUsed/>
    <w:qFormat/>
    <w:uiPriority w:val="0"/>
    <w:pPr>
      <w:jc w:val="left"/>
    </w:pPr>
    <w:rPr>
      <w:kern w:val="0"/>
      <w:sz w:val="20"/>
    </w:rPr>
  </w:style>
  <w:style w:type="paragraph" w:styleId="11">
    <w:name w:val="Body Text Indent"/>
    <w:basedOn w:val="1"/>
    <w:unhideWhenUsed/>
    <w:qFormat/>
    <w:uiPriority w:val="99"/>
    <w:pPr>
      <w:spacing w:after="120"/>
      <w:ind w:left="420" w:leftChars="200"/>
    </w:pPr>
    <w:rPr>
      <w:kern w:val="0"/>
      <w:sz w:val="20"/>
      <w:szCs w:val="20"/>
    </w:rPr>
  </w:style>
  <w:style w:type="paragraph" w:styleId="12">
    <w:name w:val="Plain Text"/>
    <w:basedOn w:val="1"/>
    <w:next w:val="13"/>
    <w:link w:val="34"/>
    <w:qFormat/>
    <w:uiPriority w:val="0"/>
    <w:rPr>
      <w:rFonts w:ascii="宋体" w:hAnsi="Courier New"/>
    </w:rPr>
  </w:style>
  <w:style w:type="paragraph" w:customStyle="1" w:styleId="1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4">
    <w:name w:val="Balloon Text"/>
    <w:basedOn w:val="1"/>
    <w:link w:val="35"/>
    <w:unhideWhenUsed/>
    <w:qFormat/>
    <w:uiPriority w:val="99"/>
    <w:rPr>
      <w:kern w:val="0"/>
      <w:sz w:val="18"/>
      <w:szCs w:val="18"/>
    </w:rPr>
  </w:style>
  <w:style w:type="paragraph" w:styleId="15">
    <w:name w:val="footer"/>
    <w:basedOn w:val="1"/>
    <w:link w:val="36"/>
    <w:unhideWhenUsed/>
    <w:qFormat/>
    <w:uiPriority w:val="99"/>
    <w:pPr>
      <w:tabs>
        <w:tab w:val="center" w:pos="4153"/>
        <w:tab w:val="right" w:pos="8306"/>
      </w:tabs>
      <w:snapToGrid w:val="0"/>
      <w:jc w:val="left"/>
    </w:pPr>
    <w:rPr>
      <w:kern w:val="0"/>
      <w:sz w:val="18"/>
      <w:szCs w:val="18"/>
    </w:rPr>
  </w:style>
  <w:style w:type="paragraph" w:styleId="16">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Body Text 2"/>
    <w:basedOn w:val="1"/>
    <w:qFormat/>
    <w:uiPriority w:val="0"/>
    <w:pPr>
      <w:tabs>
        <w:tab w:val="left" w:pos="0"/>
      </w:tabs>
      <w:spacing w:line="400" w:lineRule="atLeast"/>
    </w:pPr>
    <w:rPr>
      <w:rFonts w:ascii="Arial" w:hAnsi="Arial"/>
      <w:color w:val="00000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Title"/>
    <w:basedOn w:val="1"/>
    <w:next w:val="1"/>
    <w:qFormat/>
    <w:uiPriority w:val="0"/>
    <w:pPr>
      <w:spacing w:before="240" w:after="60"/>
      <w:jc w:val="center"/>
      <w:outlineLvl w:val="0"/>
    </w:pPr>
    <w:rPr>
      <w:rFonts w:ascii="Arial" w:hAnsi="Arial" w:eastAsia="隶书"/>
      <w:b/>
      <w:bCs/>
      <w:sz w:val="32"/>
      <w:szCs w:val="32"/>
    </w:rPr>
  </w:style>
  <w:style w:type="paragraph" w:styleId="21">
    <w:name w:val="annotation subject"/>
    <w:basedOn w:val="10"/>
    <w:next w:val="10"/>
    <w:link w:val="38"/>
    <w:unhideWhenUsed/>
    <w:qFormat/>
    <w:uiPriority w:val="99"/>
    <w:rPr>
      <w:b/>
      <w:bCs/>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qFormat/>
    <w:uiPriority w:val="0"/>
  </w:style>
  <w:style w:type="character" w:styleId="26">
    <w:name w:val="FollowedHyperlink"/>
    <w:unhideWhenUsed/>
    <w:qFormat/>
    <w:uiPriority w:val="99"/>
    <w:rPr>
      <w:color w:val="954F72"/>
      <w:u w:val="single"/>
    </w:rPr>
  </w:style>
  <w:style w:type="character" w:styleId="27">
    <w:name w:val="Hyperlink"/>
    <w:qFormat/>
    <w:uiPriority w:val="0"/>
    <w:rPr>
      <w:color w:val="0000FF"/>
      <w:u w:val="none"/>
    </w:rPr>
  </w:style>
  <w:style w:type="character" w:styleId="28">
    <w:name w:val="annotation reference"/>
    <w:unhideWhenUsed/>
    <w:qFormat/>
    <w:uiPriority w:val="0"/>
    <w:rPr>
      <w:sz w:val="21"/>
      <w:szCs w:val="21"/>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character" w:customStyle="1" w:styleId="30">
    <w:name w:val="标题 5 字符"/>
    <w:link w:val="7"/>
    <w:semiHidden/>
    <w:qFormat/>
    <w:uiPriority w:val="9"/>
    <w:rPr>
      <w:b/>
      <w:bCs/>
      <w:kern w:val="2"/>
      <w:sz w:val="28"/>
      <w:szCs w:val="28"/>
    </w:rPr>
  </w:style>
  <w:style w:type="character" w:customStyle="1" w:styleId="31">
    <w:name w:val="文档结构图 字符"/>
    <w:link w:val="9"/>
    <w:semiHidden/>
    <w:qFormat/>
    <w:uiPriority w:val="99"/>
    <w:rPr>
      <w:rFonts w:ascii="宋体"/>
      <w:kern w:val="2"/>
      <w:sz w:val="18"/>
      <w:szCs w:val="18"/>
    </w:rPr>
  </w:style>
  <w:style w:type="character" w:customStyle="1" w:styleId="32">
    <w:name w:val="批注文字 字符"/>
    <w:link w:val="10"/>
    <w:qFormat/>
    <w:uiPriority w:val="0"/>
    <w:rPr>
      <w:rFonts w:ascii="Times New Roman" w:hAnsi="Times New Roman" w:eastAsia="宋体" w:cs="Times New Roman"/>
      <w:szCs w:val="24"/>
    </w:rPr>
  </w:style>
  <w:style w:type="character" w:customStyle="1" w:styleId="33">
    <w:name w:val="正文文本 字符"/>
    <w:link w:val="2"/>
    <w:qFormat/>
    <w:uiPriority w:val="0"/>
    <w:rPr>
      <w:kern w:val="2"/>
      <w:sz w:val="21"/>
      <w:szCs w:val="24"/>
    </w:rPr>
  </w:style>
  <w:style w:type="character" w:customStyle="1" w:styleId="34">
    <w:name w:val="纯文本 字符1"/>
    <w:link w:val="12"/>
    <w:qFormat/>
    <w:uiPriority w:val="0"/>
    <w:rPr>
      <w:rFonts w:ascii="宋体" w:hAnsi="Courier New"/>
      <w:kern w:val="2"/>
      <w:sz w:val="21"/>
      <w:szCs w:val="24"/>
    </w:rPr>
  </w:style>
  <w:style w:type="character" w:customStyle="1" w:styleId="35">
    <w:name w:val="批注框文本 字符"/>
    <w:link w:val="14"/>
    <w:semiHidden/>
    <w:qFormat/>
    <w:uiPriority w:val="99"/>
    <w:rPr>
      <w:rFonts w:ascii="Times New Roman" w:hAnsi="Times New Roman" w:eastAsia="宋体" w:cs="Times New Roman"/>
      <w:sz w:val="18"/>
      <w:szCs w:val="18"/>
    </w:rPr>
  </w:style>
  <w:style w:type="character" w:customStyle="1" w:styleId="36">
    <w:name w:val="页脚 字符1"/>
    <w:link w:val="15"/>
    <w:qFormat/>
    <w:uiPriority w:val="99"/>
    <w:rPr>
      <w:sz w:val="18"/>
      <w:szCs w:val="18"/>
    </w:rPr>
  </w:style>
  <w:style w:type="character" w:customStyle="1" w:styleId="37">
    <w:name w:val="页眉 字符"/>
    <w:link w:val="16"/>
    <w:qFormat/>
    <w:uiPriority w:val="99"/>
    <w:rPr>
      <w:sz w:val="18"/>
      <w:szCs w:val="18"/>
    </w:rPr>
  </w:style>
  <w:style w:type="character" w:customStyle="1" w:styleId="38">
    <w:name w:val="批注主题 字符"/>
    <w:link w:val="21"/>
    <w:semiHidden/>
    <w:qFormat/>
    <w:uiPriority w:val="99"/>
    <w:rPr>
      <w:rFonts w:ascii="Times New Roman" w:hAnsi="Times New Roman" w:eastAsia="宋体" w:cs="Times New Roman"/>
      <w:b/>
      <w:bCs/>
      <w:szCs w:val="24"/>
    </w:rPr>
  </w:style>
  <w:style w:type="paragraph" w:customStyle="1" w:styleId="39">
    <w:name w:val="Char"/>
    <w:basedOn w:val="1"/>
    <w:qFormat/>
    <w:uiPriority w:val="0"/>
    <w:pPr>
      <w:widowControl/>
      <w:spacing w:after="160" w:line="240" w:lineRule="exact"/>
      <w:jc w:val="left"/>
    </w:pPr>
  </w:style>
  <w:style w:type="paragraph" w:customStyle="1" w:styleId="40">
    <w:name w:val="正文格式"/>
    <w:basedOn w:val="11"/>
    <w:qFormat/>
    <w:uiPriority w:val="99"/>
    <w:pPr>
      <w:spacing w:after="0" w:line="360" w:lineRule="auto"/>
      <w:ind w:left="0" w:leftChars="0" w:firstLine="600"/>
    </w:pPr>
    <w:rPr>
      <w:rFonts w:eastAsia="仿宋_GB2312"/>
      <w:sz w:val="30"/>
      <w:szCs w:val="30"/>
    </w:rPr>
  </w:style>
  <w:style w:type="character" w:customStyle="1" w:styleId="41">
    <w:name w:val="页脚 字符"/>
    <w:qFormat/>
    <w:uiPriority w:val="99"/>
    <w:rPr>
      <w:rFonts w:ascii="Calibri" w:hAnsi="Calibri"/>
      <w:kern w:val="2"/>
      <w:sz w:val="18"/>
      <w:szCs w:val="18"/>
    </w:rPr>
  </w:style>
  <w:style w:type="character" w:customStyle="1" w:styleId="42">
    <w:name w:val="Hyperlink.0"/>
    <w:qFormat/>
    <w:uiPriority w:val="0"/>
    <w:rPr>
      <w:rFonts w:ascii="宋体" w:hAnsi="宋体" w:eastAsia="宋体" w:cs="宋体"/>
      <w:lang w:val="en-US" w:eastAsia="zh-TW"/>
    </w:rPr>
  </w:style>
  <w:style w:type="character" w:customStyle="1" w:styleId="43">
    <w:name w:val="批注文字 字符1"/>
    <w:qFormat/>
    <w:uiPriority w:val="0"/>
    <w:rPr>
      <w:rFonts w:ascii="Times New Roman" w:hAnsi="Times New Roman" w:eastAsia="宋体" w:cs="Times New Roman"/>
      <w:szCs w:val="24"/>
    </w:rPr>
  </w:style>
  <w:style w:type="character" w:customStyle="1" w:styleId="44">
    <w:name w:val="纯文本 字符"/>
    <w:semiHidden/>
    <w:qFormat/>
    <w:uiPriority w:val="99"/>
    <w:rPr>
      <w:rFonts w:ascii="宋体" w:hAnsi="Courier New" w:cs="Courier New"/>
      <w:kern w:val="2"/>
      <w:sz w:val="21"/>
      <w:szCs w:val="21"/>
    </w:rPr>
  </w:style>
  <w:style w:type="paragraph" w:customStyle="1" w:styleId="45">
    <w:name w:val="WPSOffice手动目录 1"/>
    <w:qFormat/>
    <w:uiPriority w:val="0"/>
    <w:rPr>
      <w:rFonts w:ascii="Times New Roman" w:hAnsi="Times New Roman" w:eastAsia="宋体" w:cs="Times New Roman"/>
      <w:lang w:val="en-US" w:eastAsia="zh-CN" w:bidi="ar-SA"/>
    </w:rPr>
  </w:style>
  <w:style w:type="paragraph" w:customStyle="1" w:styleId="4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1册标题2"/>
    <w:basedOn w:val="1"/>
    <w:next w:val="1"/>
    <w:qFormat/>
    <w:uiPriority w:val="0"/>
    <w:pPr>
      <w:adjustRightInd w:val="0"/>
      <w:spacing w:before="50" w:beforeLines="50" w:after="50" w:afterLines="50" w:line="300" w:lineRule="auto"/>
      <w:jc w:val="center"/>
      <w:textAlignment w:val="baseline"/>
      <w:outlineLvl w:val="1"/>
    </w:pPr>
    <w:rPr>
      <w:rFonts w:ascii="Arial" w:hAnsi="Arial" w:eastAsia="黑体"/>
      <w:bCs/>
      <w:kern w:val="0"/>
      <w:sz w:val="32"/>
    </w:rPr>
  </w:style>
  <w:style w:type="paragraph" w:customStyle="1" w:styleId="48">
    <w:name w:val="正文 A"/>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9">
    <w:name w:val="列出段落1"/>
    <w:basedOn w:val="1"/>
    <w:qFormat/>
    <w:uiPriority w:val="0"/>
    <w:pPr>
      <w:widowControl/>
      <w:ind w:left="835" w:firstLine="420" w:firstLineChars="200"/>
      <w:jc w:val="left"/>
    </w:pPr>
    <w:rPr>
      <w:rFonts w:ascii="Arial" w:hAnsi="Arial"/>
      <w:spacing w:val="-5"/>
      <w:kern w:val="0"/>
      <w:sz w:val="24"/>
      <w:szCs w:val="20"/>
      <w:lang w:bidi="he-IL"/>
    </w:rPr>
  </w:style>
  <w:style w:type="paragraph" w:customStyle="1" w:styleId="50">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列出段落2"/>
    <w:basedOn w:val="1"/>
    <w:qFormat/>
    <w:uiPriority w:val="34"/>
    <w:pPr>
      <w:ind w:firstLine="420" w:firstLineChars="200"/>
    </w:pPr>
  </w:style>
  <w:style w:type="character" w:customStyle="1" w:styleId="52">
    <w:name w:val="标题1"/>
    <w:qFormat/>
    <w:uiPriority w:val="0"/>
  </w:style>
  <w:style w:type="paragraph" w:customStyle="1" w:styleId="53">
    <w:name w:val="Table Paragraph"/>
    <w:basedOn w:val="1"/>
    <w:qFormat/>
    <w:uiPriority w:val="0"/>
    <w:pPr>
      <w:autoSpaceDE w:val="0"/>
      <w:autoSpaceDN w:val="0"/>
      <w:jc w:val="left"/>
    </w:pPr>
    <w:rPr>
      <w:rFonts w:ascii="宋体" w:hAnsi="宋体" w:cs="宋体"/>
      <w:kern w:val="0"/>
      <w:sz w:val="22"/>
      <w:szCs w:val="22"/>
    </w:rPr>
  </w:style>
  <w:style w:type="paragraph" w:customStyle="1" w:styleId="54">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55">
    <w:name w:val="qowt-font5-gb2312"/>
    <w:qFormat/>
    <w:uiPriority w:val="0"/>
  </w:style>
  <w:style w:type="paragraph" w:customStyle="1" w:styleId="56">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57">
    <w:name w:val="_Style 66"/>
    <w:basedOn w:val="1"/>
    <w:next w:val="58"/>
    <w:qFormat/>
    <w:uiPriority w:val="34"/>
    <w:pPr>
      <w:ind w:firstLine="420" w:firstLineChars="200"/>
    </w:pPr>
  </w:style>
  <w:style w:type="paragraph" w:styleId="58">
    <w:name w:val="List Paragraph"/>
    <w:basedOn w:val="1"/>
    <w:qFormat/>
    <w:uiPriority w:val="34"/>
    <w:pPr>
      <w:ind w:firstLine="420" w:firstLineChars="200"/>
    </w:pPr>
  </w:style>
  <w:style w:type="paragraph" w:customStyle="1" w:styleId="59">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qh-PC</Company>
  <Pages>78</Pages>
  <Words>6444</Words>
  <Characters>36731</Characters>
  <Lines>306</Lines>
  <Paragraphs>86</Paragraphs>
  <TotalTime>8</TotalTime>
  <ScaleCrop>false</ScaleCrop>
  <LinksUpToDate>false</LinksUpToDate>
  <CharactersWithSpaces>43089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2023-05-08T02:47:00Z</dcterms:created>
  <dc:creator>胡佳</dc:creator>
  <cp:lastModifiedBy>黎俊</cp:lastModifiedBy>
  <cp:lastPrinted>2023-05-08T09:24:00Z</cp:lastPrinted>
  <dcterms:modified xsi:type="dcterms:W3CDTF">2023-05-10T01:25:46Z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332E887D5FB04880B8ED1421F347DFDA</vt:lpwstr>
  </property>
</Properties>
</file>