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宋体"/>
          <w:kern w:val="0"/>
          <w:sz w:val="28"/>
          <w:szCs w:val="28"/>
          <w:highlight w:val="none"/>
        </w:rPr>
      </w:pPr>
    </w:p>
    <w:p>
      <w:pPr>
        <w:jc w:val="center"/>
        <w:rPr>
          <w:b/>
          <w:sz w:val="72"/>
          <w:szCs w:val="72"/>
          <w:highlight w:val="none"/>
        </w:rPr>
      </w:pPr>
    </w:p>
    <w:p>
      <w:pPr>
        <w:jc w:val="center"/>
        <w:rPr>
          <w:b/>
          <w:sz w:val="72"/>
          <w:szCs w:val="72"/>
          <w:highlight w:val="none"/>
        </w:rPr>
      </w:pPr>
    </w:p>
    <w:p>
      <w:pPr>
        <w:jc w:val="center"/>
        <w:rPr>
          <w:b/>
          <w:sz w:val="72"/>
          <w:szCs w:val="72"/>
          <w:highlight w:val="none"/>
        </w:rPr>
      </w:pPr>
      <w:r>
        <w:rPr>
          <w:rFonts w:hint="eastAsia"/>
          <w:b/>
          <w:sz w:val="72"/>
          <w:szCs w:val="72"/>
          <w:highlight w:val="none"/>
        </w:rPr>
        <w:t>简易招标文件</w:t>
      </w:r>
    </w:p>
    <w:p>
      <w:pPr>
        <w:rPr>
          <w:highlight w:val="none"/>
        </w:rPr>
      </w:pPr>
    </w:p>
    <w:p>
      <w:pPr>
        <w:rPr>
          <w:b/>
          <w:sz w:val="44"/>
          <w:highlight w:val="none"/>
        </w:rPr>
      </w:pPr>
    </w:p>
    <w:p>
      <w:pPr>
        <w:ind w:left="437" w:leftChars="208" w:firstLine="271" w:firstLineChars="75"/>
        <w:rPr>
          <w:rFonts w:hint="eastAsia" w:eastAsia="宋体"/>
          <w:b/>
          <w:sz w:val="36"/>
          <w:szCs w:val="36"/>
          <w:highlight w:val="none"/>
          <w:lang w:eastAsia="zh-CN"/>
        </w:rPr>
      </w:pPr>
      <w:r>
        <w:rPr>
          <w:rFonts w:hint="eastAsia"/>
          <w:b/>
          <w:sz w:val="36"/>
          <w:szCs w:val="36"/>
          <w:highlight w:val="none"/>
        </w:rPr>
        <w:t>招标编号：QH2022003</w:t>
      </w:r>
    </w:p>
    <w:p>
      <w:pPr>
        <w:ind w:firstLine="723" w:firstLineChars="200"/>
        <w:rPr>
          <w:b/>
          <w:sz w:val="36"/>
          <w:szCs w:val="36"/>
          <w:highlight w:val="none"/>
        </w:rPr>
      </w:pPr>
    </w:p>
    <w:p>
      <w:pPr>
        <w:ind w:left="2511" w:leftChars="344" w:hanging="1789" w:hangingChars="495"/>
        <w:rPr>
          <w:rFonts w:hint="eastAsia" w:eastAsia="宋体"/>
          <w:b/>
          <w:sz w:val="36"/>
          <w:szCs w:val="36"/>
          <w:highlight w:val="none"/>
          <w:lang w:eastAsia="zh-CN"/>
        </w:rPr>
      </w:pPr>
      <w:r>
        <w:rPr>
          <w:rFonts w:hint="eastAsia"/>
          <w:b/>
          <w:sz w:val="36"/>
          <w:szCs w:val="36"/>
          <w:highlight w:val="none"/>
        </w:rPr>
        <w:t>招标项目：</w:t>
      </w:r>
      <w:r>
        <w:rPr>
          <w:rFonts w:hint="eastAsia"/>
          <w:b/>
          <w:sz w:val="36"/>
          <w:szCs w:val="36"/>
          <w:highlight w:val="none"/>
          <w:lang w:eastAsia="zh-CN"/>
        </w:rPr>
        <w:t>2021年前海办公用房租金评估及租金政策评估</w:t>
      </w:r>
    </w:p>
    <w:p>
      <w:pPr>
        <w:ind w:firstLine="3264" w:firstLineChars="739"/>
        <w:rPr>
          <w:b/>
          <w:sz w:val="44"/>
          <w:highlight w:val="none"/>
        </w:rPr>
      </w:pPr>
    </w:p>
    <w:p>
      <w:pPr>
        <w:ind w:firstLine="442" w:firstLineChars="100"/>
        <w:rPr>
          <w:b/>
          <w:sz w:val="44"/>
          <w:highlight w:val="none"/>
        </w:rPr>
      </w:pPr>
    </w:p>
    <w:p>
      <w:pPr>
        <w:ind w:left="1260" w:leftChars="600" w:firstLine="1855" w:firstLineChars="420"/>
        <w:rPr>
          <w:b/>
          <w:sz w:val="44"/>
          <w:highlight w:val="none"/>
        </w:rPr>
      </w:pPr>
    </w:p>
    <w:p>
      <w:pPr>
        <w:rPr>
          <w:b/>
          <w:sz w:val="44"/>
          <w:highlight w:val="none"/>
        </w:rPr>
      </w:pPr>
    </w:p>
    <w:p>
      <w:pPr>
        <w:rPr>
          <w:b/>
          <w:sz w:val="44"/>
          <w:highlight w:val="none"/>
        </w:rPr>
      </w:pPr>
    </w:p>
    <w:p>
      <w:pPr>
        <w:jc w:val="center"/>
        <w:rPr>
          <w:b/>
          <w:sz w:val="36"/>
          <w:szCs w:val="36"/>
          <w:highlight w:val="none"/>
        </w:rPr>
      </w:pPr>
      <w:r>
        <w:rPr>
          <w:rFonts w:hint="eastAsia"/>
          <w:b/>
          <w:sz w:val="36"/>
          <w:szCs w:val="36"/>
          <w:highlight w:val="none"/>
        </w:rPr>
        <w:t>深圳市前海深港现代服务业合作区管理局</w:t>
      </w:r>
    </w:p>
    <w:p>
      <w:pPr>
        <w:jc w:val="center"/>
        <w:rPr>
          <w:sz w:val="36"/>
          <w:szCs w:val="36"/>
          <w:highlight w:val="none"/>
        </w:rPr>
      </w:pPr>
    </w:p>
    <w:p>
      <w:pPr>
        <w:jc w:val="center"/>
        <w:rPr>
          <w:b/>
          <w:sz w:val="44"/>
          <w:highlight w:val="none"/>
        </w:rPr>
      </w:pPr>
      <w:r>
        <w:rPr>
          <w:rFonts w:hint="eastAsia"/>
          <w:b/>
          <w:sz w:val="44"/>
          <w:highlight w:val="none"/>
        </w:rPr>
        <w:t>20</w:t>
      </w:r>
      <w:r>
        <w:rPr>
          <w:b/>
          <w:sz w:val="44"/>
          <w:highlight w:val="none"/>
        </w:rPr>
        <w:t>22</w:t>
      </w:r>
      <w:r>
        <w:rPr>
          <w:rFonts w:hint="eastAsia"/>
          <w:b/>
          <w:sz w:val="44"/>
          <w:highlight w:val="none"/>
        </w:rPr>
        <w:t>年</w:t>
      </w:r>
      <w:r>
        <w:rPr>
          <w:rFonts w:hint="eastAsia"/>
          <w:b/>
          <w:sz w:val="44"/>
          <w:highlight w:val="none"/>
          <w:lang w:val="en-US" w:eastAsia="zh-CN"/>
        </w:rPr>
        <w:t>2</w:t>
      </w:r>
      <w:r>
        <w:rPr>
          <w:rFonts w:hint="eastAsia"/>
          <w:b/>
          <w:sz w:val="44"/>
          <w:highlight w:val="none"/>
        </w:rPr>
        <w:t>月</w:t>
      </w:r>
    </w:p>
    <w:p>
      <w:pPr>
        <w:pStyle w:val="16"/>
        <w:rPr>
          <w:highlight w:val="none"/>
        </w:rPr>
      </w:pPr>
    </w:p>
    <w:p>
      <w:pPr>
        <w:pStyle w:val="16"/>
        <w:jc w:val="both"/>
        <w:rPr>
          <w:highlight w:val="none"/>
        </w:rPr>
      </w:pPr>
    </w:p>
    <w:p>
      <w:pPr>
        <w:rPr>
          <w:highlight w:val="none"/>
        </w:rPr>
      </w:pPr>
    </w:p>
    <w:p>
      <w:pPr>
        <w:pStyle w:val="16"/>
        <w:rPr>
          <w:sz w:val="48"/>
          <w:szCs w:val="48"/>
          <w:highlight w:val="none"/>
        </w:rPr>
      </w:pPr>
      <w:r>
        <w:rPr>
          <w:rFonts w:hint="eastAsia"/>
          <w:sz w:val="48"/>
          <w:szCs w:val="48"/>
          <w:highlight w:val="none"/>
        </w:rPr>
        <w:t>目 录</w:t>
      </w:r>
    </w:p>
    <w:p>
      <w:pPr>
        <w:rPr>
          <w:highlight w:val="none"/>
        </w:rPr>
      </w:pPr>
    </w:p>
    <w:p>
      <w:pPr>
        <w:pStyle w:val="17"/>
        <w:tabs>
          <w:tab w:val="right" w:leader="dot" w:pos="8296"/>
        </w:tabs>
        <w:rPr>
          <w:rFonts w:asciiTheme="minorHAnsi" w:hAnsiTheme="minorHAnsi" w:eastAsiaTheme="minorEastAsia" w:cstheme="minorBidi"/>
          <w:szCs w:val="21"/>
          <w:highlight w:val="none"/>
        </w:rPr>
      </w:pPr>
      <w:r>
        <w:rPr>
          <w:rFonts w:hint="eastAsia" w:ascii="宋体" w:hAnsi="宋体" w:cs="宋体"/>
          <w:b/>
          <w:bCs/>
          <w:szCs w:val="21"/>
          <w:highlight w:val="none"/>
        </w:rPr>
        <w:fldChar w:fldCharType="begin"/>
      </w:r>
      <w:r>
        <w:rPr>
          <w:rFonts w:hint="eastAsia" w:ascii="宋体" w:hAnsi="宋体" w:cs="宋体"/>
          <w:bCs/>
          <w:szCs w:val="21"/>
          <w:highlight w:val="none"/>
        </w:rPr>
        <w:instrText xml:space="preserve"> TOC \o "1-3" \h \z \u </w:instrText>
      </w:r>
      <w:r>
        <w:rPr>
          <w:rFonts w:hint="eastAsia" w:ascii="宋体" w:hAnsi="宋体" w:cs="宋体"/>
          <w:b/>
          <w:bCs/>
          <w:szCs w:val="21"/>
          <w:highlight w:val="none"/>
        </w:rPr>
        <w:fldChar w:fldCharType="separate"/>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"_Toc86918419" </w:instrText>
      </w:r>
      <w:r>
        <w:rPr>
          <w:highlight w:val="none"/>
        </w:rPr>
        <w:fldChar w:fldCharType="separate"/>
      </w:r>
      <w:r>
        <w:rPr>
          <w:rStyle w:val="26"/>
          <w:bCs/>
          <w:sz w:val="21"/>
          <w:szCs w:val="21"/>
          <w:highlight w:val="none"/>
        </w:rPr>
        <w:t>第一章 招标邀请书</w:t>
      </w:r>
      <w:r>
        <w:rPr>
          <w:sz w:val="21"/>
          <w:szCs w:val="21"/>
          <w:highlight w:val="none"/>
        </w:rPr>
        <w:tab/>
      </w:r>
      <w:r>
        <w:rPr>
          <w:sz w:val="21"/>
          <w:szCs w:val="21"/>
          <w:highlight w:val="none"/>
        </w:rPr>
        <w:fldChar w:fldCharType="begin"/>
      </w:r>
      <w:r>
        <w:rPr>
          <w:sz w:val="21"/>
          <w:szCs w:val="21"/>
          <w:highlight w:val="none"/>
        </w:rPr>
        <w:instrText xml:space="preserve"> PAGEREF _Toc86918419 \h </w:instrText>
      </w:r>
      <w:r>
        <w:rPr>
          <w:sz w:val="21"/>
          <w:szCs w:val="21"/>
          <w:highlight w:val="none"/>
        </w:rPr>
        <w:fldChar w:fldCharType="separate"/>
      </w:r>
      <w:r>
        <w:rPr>
          <w:sz w:val="21"/>
          <w:szCs w:val="21"/>
          <w:highlight w:val="none"/>
        </w:rPr>
        <w:t>5</w:t>
      </w:r>
      <w:r>
        <w:rPr>
          <w:sz w:val="21"/>
          <w:szCs w:val="21"/>
          <w:highlight w:val="none"/>
        </w:rPr>
        <w:fldChar w:fldCharType="end"/>
      </w:r>
      <w:r>
        <w:rPr>
          <w:sz w:val="21"/>
          <w:szCs w:val="21"/>
          <w:highlight w:val="none"/>
        </w:rPr>
        <w:fldChar w:fldCharType="end"/>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"_Toc86918420" </w:instrText>
      </w:r>
      <w:r>
        <w:rPr>
          <w:highlight w:val="none"/>
        </w:rPr>
        <w:fldChar w:fldCharType="separate"/>
      </w:r>
      <w:r>
        <w:rPr>
          <w:rStyle w:val="26"/>
          <w:bCs/>
          <w:sz w:val="21"/>
          <w:szCs w:val="21"/>
          <w:highlight w:val="none"/>
        </w:rPr>
        <w:t>第二章 投标须知</w:t>
      </w:r>
      <w:r>
        <w:rPr>
          <w:sz w:val="21"/>
          <w:szCs w:val="21"/>
          <w:highlight w:val="none"/>
        </w:rPr>
        <w:tab/>
      </w:r>
      <w:r>
        <w:rPr>
          <w:sz w:val="21"/>
          <w:szCs w:val="21"/>
          <w:highlight w:val="none"/>
        </w:rPr>
        <w:fldChar w:fldCharType="begin"/>
      </w:r>
      <w:r>
        <w:rPr>
          <w:sz w:val="21"/>
          <w:szCs w:val="21"/>
          <w:highlight w:val="none"/>
        </w:rPr>
        <w:instrText xml:space="preserve"> PAGEREF _Toc86918420 \h </w:instrText>
      </w:r>
      <w:r>
        <w:rPr>
          <w:sz w:val="21"/>
          <w:szCs w:val="21"/>
          <w:highlight w:val="none"/>
        </w:rPr>
        <w:fldChar w:fldCharType="separate"/>
      </w:r>
      <w:r>
        <w:rPr>
          <w:sz w:val="21"/>
          <w:szCs w:val="21"/>
          <w:highlight w:val="none"/>
        </w:rPr>
        <w:t>8</w:t>
      </w:r>
      <w:r>
        <w:rPr>
          <w:sz w:val="21"/>
          <w:szCs w:val="21"/>
          <w:highlight w:val="none"/>
        </w:rPr>
        <w:fldChar w:fldCharType="end"/>
      </w:r>
      <w:r>
        <w:rPr>
          <w:sz w:val="21"/>
          <w:szCs w:val="21"/>
          <w:highlight w:val="none"/>
        </w:rPr>
        <w:fldChar w:fldCharType="end"/>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"_Toc86918421" </w:instrText>
      </w:r>
      <w:r>
        <w:rPr>
          <w:highlight w:val="none"/>
        </w:rPr>
        <w:fldChar w:fldCharType="separate"/>
      </w:r>
      <w:r>
        <w:rPr>
          <w:rStyle w:val="26"/>
          <w:bCs/>
          <w:sz w:val="21"/>
          <w:szCs w:val="21"/>
          <w:highlight w:val="none"/>
        </w:rPr>
        <w:t>第三章 评标程序</w:t>
      </w:r>
      <w:r>
        <w:rPr>
          <w:sz w:val="21"/>
          <w:szCs w:val="21"/>
          <w:highlight w:val="none"/>
        </w:rPr>
        <w:tab/>
      </w:r>
      <w:r>
        <w:rPr>
          <w:sz w:val="21"/>
          <w:szCs w:val="21"/>
          <w:highlight w:val="none"/>
        </w:rPr>
        <w:fldChar w:fldCharType="begin"/>
      </w:r>
      <w:r>
        <w:rPr>
          <w:sz w:val="21"/>
          <w:szCs w:val="21"/>
          <w:highlight w:val="none"/>
        </w:rPr>
        <w:instrText xml:space="preserve"> PAGEREF _Toc86918421 \h </w:instrText>
      </w:r>
      <w:r>
        <w:rPr>
          <w:sz w:val="21"/>
          <w:szCs w:val="21"/>
          <w:highlight w:val="none"/>
        </w:rPr>
        <w:fldChar w:fldCharType="separate"/>
      </w:r>
      <w:r>
        <w:rPr>
          <w:sz w:val="21"/>
          <w:szCs w:val="21"/>
          <w:highlight w:val="none"/>
        </w:rPr>
        <w:t>11</w:t>
      </w:r>
      <w:r>
        <w:rPr>
          <w:sz w:val="21"/>
          <w:szCs w:val="21"/>
          <w:highlight w:val="none"/>
        </w:rPr>
        <w:fldChar w:fldCharType="end"/>
      </w:r>
      <w:r>
        <w:rPr>
          <w:sz w:val="21"/>
          <w:szCs w:val="21"/>
          <w:highlight w:val="none"/>
        </w:rPr>
        <w:fldChar w:fldCharType="end"/>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"_Toc86918422" </w:instrText>
      </w:r>
      <w:r>
        <w:rPr>
          <w:highlight w:val="none"/>
        </w:rPr>
        <w:fldChar w:fldCharType="separate"/>
      </w:r>
      <w:r>
        <w:rPr>
          <w:rStyle w:val="26"/>
          <w:rFonts w:ascii="宋体"/>
          <w:bCs/>
          <w:sz w:val="21"/>
          <w:szCs w:val="21"/>
          <w:highlight w:val="none"/>
        </w:rPr>
        <w:t>第四章 合 同</w:t>
      </w:r>
      <w:r>
        <w:rPr>
          <w:sz w:val="21"/>
          <w:szCs w:val="21"/>
          <w:highlight w:val="none"/>
        </w:rPr>
        <w:tab/>
      </w:r>
      <w:r>
        <w:rPr>
          <w:sz w:val="21"/>
          <w:szCs w:val="21"/>
          <w:highlight w:val="none"/>
        </w:rPr>
        <w:fldChar w:fldCharType="begin"/>
      </w:r>
      <w:r>
        <w:rPr>
          <w:sz w:val="21"/>
          <w:szCs w:val="21"/>
          <w:highlight w:val="none"/>
        </w:rPr>
        <w:instrText xml:space="preserve"> PAGEREF _Toc86918422 \h </w:instrText>
      </w:r>
      <w:r>
        <w:rPr>
          <w:sz w:val="21"/>
          <w:szCs w:val="21"/>
          <w:highlight w:val="none"/>
        </w:rPr>
        <w:fldChar w:fldCharType="separate"/>
      </w:r>
      <w:r>
        <w:rPr>
          <w:sz w:val="21"/>
          <w:szCs w:val="21"/>
          <w:highlight w:val="none"/>
        </w:rPr>
        <w:t>13</w:t>
      </w:r>
      <w:r>
        <w:rPr>
          <w:sz w:val="21"/>
          <w:szCs w:val="21"/>
          <w:highlight w:val="none"/>
        </w:rPr>
        <w:fldChar w:fldCharType="end"/>
      </w:r>
      <w:r>
        <w:rPr>
          <w:sz w:val="21"/>
          <w:szCs w:val="21"/>
          <w:highlight w:val="none"/>
        </w:rPr>
        <w:fldChar w:fldCharType="end"/>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"_Toc86918423" </w:instrText>
      </w:r>
      <w:r>
        <w:rPr>
          <w:highlight w:val="none"/>
        </w:rPr>
        <w:fldChar w:fldCharType="separate"/>
      </w:r>
      <w:r>
        <w:rPr>
          <w:rStyle w:val="26"/>
          <w:sz w:val="21"/>
          <w:szCs w:val="21"/>
          <w:highlight w:val="none"/>
        </w:rPr>
        <w:t>第五章 服务技术要求和商务要求</w:t>
      </w:r>
      <w:r>
        <w:rPr>
          <w:sz w:val="21"/>
          <w:szCs w:val="21"/>
          <w:highlight w:val="none"/>
        </w:rPr>
        <w:tab/>
      </w:r>
      <w:r>
        <w:rPr>
          <w:sz w:val="21"/>
          <w:szCs w:val="21"/>
          <w:highlight w:val="none"/>
        </w:rPr>
        <w:fldChar w:fldCharType="begin"/>
      </w:r>
      <w:r>
        <w:rPr>
          <w:sz w:val="21"/>
          <w:szCs w:val="21"/>
          <w:highlight w:val="none"/>
        </w:rPr>
        <w:instrText xml:space="preserve"> PAGEREF _Toc86918423 \h </w:instrText>
      </w:r>
      <w:r>
        <w:rPr>
          <w:sz w:val="21"/>
          <w:szCs w:val="21"/>
          <w:highlight w:val="none"/>
        </w:rPr>
        <w:fldChar w:fldCharType="separate"/>
      </w:r>
      <w:r>
        <w:rPr>
          <w:sz w:val="21"/>
          <w:szCs w:val="21"/>
          <w:highlight w:val="none"/>
        </w:rPr>
        <w:t>23</w:t>
      </w:r>
      <w:r>
        <w:rPr>
          <w:sz w:val="21"/>
          <w:szCs w:val="21"/>
          <w:highlight w:val="none"/>
        </w:rPr>
        <w:fldChar w:fldCharType="end"/>
      </w:r>
      <w:r>
        <w:rPr>
          <w:sz w:val="21"/>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"_Toc86918424" </w:instrText>
      </w:r>
      <w:r>
        <w:rPr>
          <w:highlight w:val="none"/>
        </w:rPr>
        <w:fldChar w:fldCharType="separate"/>
      </w:r>
      <w:r>
        <w:rPr>
          <w:rStyle w:val="26"/>
          <w:rFonts w:ascii="宋体" w:hAnsi="宋体" w:cs="宋体"/>
          <w:b/>
          <w:kern w:val="0"/>
          <w:szCs w:val="21"/>
          <w:highlight w:val="none"/>
        </w:rPr>
        <w:t>二、技术要求</w:t>
      </w:r>
      <w:r>
        <w:rPr>
          <w:szCs w:val="21"/>
          <w:highlight w:val="none"/>
        </w:rPr>
        <w:tab/>
      </w:r>
      <w:r>
        <w:rPr>
          <w:szCs w:val="21"/>
          <w:highlight w:val="none"/>
        </w:rPr>
        <w:fldChar w:fldCharType="begin"/>
      </w:r>
      <w:r>
        <w:rPr>
          <w:szCs w:val="21"/>
          <w:highlight w:val="none"/>
        </w:rPr>
        <w:instrText xml:space="preserve"> PAGEREF _Toc86918424 \h </w:instrText>
      </w:r>
      <w:r>
        <w:rPr>
          <w:szCs w:val="21"/>
          <w:highlight w:val="none"/>
        </w:rPr>
        <w:fldChar w:fldCharType="separate"/>
      </w:r>
      <w:r>
        <w:rPr>
          <w:szCs w:val="21"/>
          <w:highlight w:val="none"/>
        </w:rPr>
        <w:t>23</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"_Toc86918425" </w:instrText>
      </w:r>
      <w:r>
        <w:rPr>
          <w:highlight w:val="none"/>
        </w:rPr>
        <w:fldChar w:fldCharType="separate"/>
      </w:r>
      <w:r>
        <w:rPr>
          <w:rStyle w:val="26"/>
          <w:b/>
          <w:szCs w:val="21"/>
          <w:highlight w:val="none"/>
        </w:rPr>
        <w:t>三、商务要求</w:t>
      </w:r>
      <w:r>
        <w:rPr>
          <w:szCs w:val="21"/>
          <w:highlight w:val="none"/>
        </w:rPr>
        <w:tab/>
      </w:r>
      <w:r>
        <w:rPr>
          <w:szCs w:val="21"/>
          <w:highlight w:val="none"/>
        </w:rPr>
        <w:fldChar w:fldCharType="begin"/>
      </w:r>
      <w:r>
        <w:rPr>
          <w:szCs w:val="21"/>
          <w:highlight w:val="none"/>
        </w:rPr>
        <w:instrText xml:space="preserve"> PAGEREF _Toc86918425 \h </w:instrText>
      </w:r>
      <w:r>
        <w:rPr>
          <w:szCs w:val="21"/>
          <w:highlight w:val="none"/>
        </w:rPr>
        <w:fldChar w:fldCharType="separate"/>
      </w:r>
      <w:r>
        <w:rPr>
          <w:szCs w:val="21"/>
          <w:highlight w:val="none"/>
        </w:rPr>
        <w:t>23</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"_Toc86918426" </w:instrText>
      </w:r>
      <w:r>
        <w:rPr>
          <w:highlight w:val="none"/>
        </w:rPr>
        <w:fldChar w:fldCharType="separate"/>
      </w:r>
      <w:r>
        <w:rPr>
          <w:rStyle w:val="26"/>
          <w:b/>
          <w:szCs w:val="21"/>
          <w:highlight w:val="none"/>
        </w:rPr>
        <w:t>四、其他要求</w:t>
      </w:r>
      <w:r>
        <w:rPr>
          <w:szCs w:val="21"/>
          <w:highlight w:val="none"/>
        </w:rPr>
        <w:tab/>
      </w:r>
      <w:r>
        <w:rPr>
          <w:szCs w:val="21"/>
          <w:highlight w:val="none"/>
        </w:rPr>
        <w:fldChar w:fldCharType="begin"/>
      </w:r>
      <w:r>
        <w:rPr>
          <w:szCs w:val="21"/>
          <w:highlight w:val="none"/>
        </w:rPr>
        <w:instrText xml:space="preserve"> PAGEREF _Toc86918426 \h </w:instrText>
      </w:r>
      <w:r>
        <w:rPr>
          <w:szCs w:val="21"/>
          <w:highlight w:val="none"/>
        </w:rPr>
        <w:fldChar w:fldCharType="separate"/>
      </w:r>
      <w:r>
        <w:rPr>
          <w:szCs w:val="21"/>
          <w:highlight w:val="none"/>
        </w:rPr>
        <w:t>25</w:t>
      </w:r>
      <w:r>
        <w:rPr>
          <w:szCs w:val="21"/>
          <w:highlight w:val="none"/>
        </w:rPr>
        <w:fldChar w:fldCharType="end"/>
      </w:r>
      <w:r>
        <w:rPr>
          <w:szCs w:val="21"/>
          <w:highlight w:val="none"/>
        </w:rPr>
        <w:fldChar w:fldCharType="end"/>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"_Toc86918427" </w:instrText>
      </w:r>
      <w:r>
        <w:rPr>
          <w:highlight w:val="none"/>
        </w:rPr>
        <w:fldChar w:fldCharType="separate"/>
      </w:r>
      <w:r>
        <w:rPr>
          <w:rStyle w:val="26"/>
          <w:bCs/>
          <w:sz w:val="21"/>
          <w:szCs w:val="21"/>
          <w:highlight w:val="none"/>
        </w:rPr>
        <w:t>第六章 招标项目评分表</w:t>
      </w:r>
      <w:r>
        <w:rPr>
          <w:sz w:val="21"/>
          <w:szCs w:val="21"/>
          <w:highlight w:val="none"/>
        </w:rPr>
        <w:tab/>
      </w:r>
      <w:r>
        <w:rPr>
          <w:sz w:val="21"/>
          <w:szCs w:val="21"/>
          <w:highlight w:val="none"/>
        </w:rPr>
        <w:fldChar w:fldCharType="begin"/>
      </w:r>
      <w:r>
        <w:rPr>
          <w:sz w:val="21"/>
          <w:szCs w:val="21"/>
          <w:highlight w:val="none"/>
        </w:rPr>
        <w:instrText xml:space="preserve"> PAGEREF _Toc86918427 \h </w:instrText>
      </w:r>
      <w:r>
        <w:rPr>
          <w:sz w:val="21"/>
          <w:szCs w:val="21"/>
          <w:highlight w:val="none"/>
        </w:rPr>
        <w:fldChar w:fldCharType="separate"/>
      </w:r>
      <w:r>
        <w:rPr>
          <w:sz w:val="21"/>
          <w:szCs w:val="21"/>
          <w:highlight w:val="none"/>
        </w:rPr>
        <w:t>29</w:t>
      </w:r>
      <w:r>
        <w:rPr>
          <w:sz w:val="21"/>
          <w:szCs w:val="21"/>
          <w:highlight w:val="none"/>
        </w:rPr>
        <w:fldChar w:fldCharType="end"/>
      </w:r>
      <w:r>
        <w:rPr>
          <w:sz w:val="21"/>
          <w:szCs w:val="21"/>
          <w:highlight w:val="none"/>
        </w:rPr>
        <w:fldChar w:fldCharType="end"/>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"_Toc86918428" </w:instrText>
      </w:r>
      <w:r>
        <w:rPr>
          <w:highlight w:val="none"/>
        </w:rPr>
        <w:fldChar w:fldCharType="separate"/>
      </w:r>
      <w:r>
        <w:rPr>
          <w:rStyle w:val="26"/>
          <w:bCs/>
          <w:sz w:val="21"/>
          <w:szCs w:val="21"/>
          <w:highlight w:val="none"/>
        </w:rPr>
        <w:t>第七章 附件</w:t>
      </w:r>
      <w:r>
        <w:rPr>
          <w:sz w:val="21"/>
          <w:szCs w:val="21"/>
          <w:highlight w:val="none"/>
        </w:rPr>
        <w:tab/>
      </w:r>
      <w:r>
        <w:rPr>
          <w:sz w:val="21"/>
          <w:szCs w:val="21"/>
          <w:highlight w:val="none"/>
        </w:rPr>
        <w:fldChar w:fldCharType="begin"/>
      </w:r>
      <w:r>
        <w:rPr>
          <w:sz w:val="21"/>
          <w:szCs w:val="21"/>
          <w:highlight w:val="none"/>
        </w:rPr>
        <w:instrText xml:space="preserve"> PAGEREF _Toc86918428 \h </w:instrText>
      </w:r>
      <w:r>
        <w:rPr>
          <w:sz w:val="21"/>
          <w:szCs w:val="21"/>
          <w:highlight w:val="none"/>
        </w:rPr>
        <w:fldChar w:fldCharType="separate"/>
      </w:r>
      <w:r>
        <w:rPr>
          <w:sz w:val="21"/>
          <w:szCs w:val="21"/>
          <w:highlight w:val="none"/>
        </w:rPr>
        <w:t>32</w:t>
      </w:r>
      <w:r>
        <w:rPr>
          <w:sz w:val="21"/>
          <w:szCs w:val="21"/>
          <w:highlight w:val="none"/>
        </w:rPr>
        <w:fldChar w:fldCharType="end"/>
      </w:r>
      <w:r>
        <w:rPr>
          <w:sz w:val="21"/>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"_Toc86918429" </w:instrText>
      </w:r>
      <w:r>
        <w:rPr>
          <w:highlight w:val="none"/>
        </w:rPr>
        <w:fldChar w:fldCharType="separate"/>
      </w:r>
      <w:r>
        <w:rPr>
          <w:rStyle w:val="26"/>
          <w:b/>
          <w:bCs/>
          <w:szCs w:val="21"/>
          <w:highlight w:val="none"/>
        </w:rPr>
        <w:t>（一）投标人资格证明文件</w:t>
      </w:r>
      <w:r>
        <w:rPr>
          <w:szCs w:val="21"/>
          <w:highlight w:val="none"/>
        </w:rPr>
        <w:tab/>
      </w:r>
      <w:r>
        <w:rPr>
          <w:szCs w:val="21"/>
          <w:highlight w:val="none"/>
        </w:rPr>
        <w:fldChar w:fldCharType="begin"/>
      </w:r>
      <w:r>
        <w:rPr>
          <w:szCs w:val="21"/>
          <w:highlight w:val="none"/>
        </w:rPr>
        <w:instrText xml:space="preserve"> PAGEREF _Toc86918429 \h </w:instrText>
      </w:r>
      <w:r>
        <w:rPr>
          <w:szCs w:val="21"/>
          <w:highlight w:val="none"/>
        </w:rPr>
        <w:fldChar w:fldCharType="separate"/>
      </w:r>
      <w:r>
        <w:rPr>
          <w:szCs w:val="21"/>
          <w:highlight w:val="none"/>
        </w:rPr>
        <w:t>32</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"_Toc86918430" </w:instrText>
      </w:r>
      <w:r>
        <w:rPr>
          <w:highlight w:val="none"/>
        </w:rPr>
        <w:fldChar w:fldCharType="separate"/>
      </w:r>
      <w:r>
        <w:rPr>
          <w:rStyle w:val="26"/>
          <w:b/>
          <w:bCs/>
          <w:szCs w:val="21"/>
          <w:highlight w:val="none"/>
        </w:rPr>
        <w:t>（二）投标响应书</w:t>
      </w:r>
      <w:r>
        <w:rPr>
          <w:szCs w:val="21"/>
          <w:highlight w:val="none"/>
        </w:rPr>
        <w:tab/>
      </w:r>
      <w:r>
        <w:rPr>
          <w:szCs w:val="21"/>
          <w:highlight w:val="none"/>
        </w:rPr>
        <w:fldChar w:fldCharType="begin"/>
      </w:r>
      <w:r>
        <w:rPr>
          <w:szCs w:val="21"/>
          <w:highlight w:val="none"/>
        </w:rPr>
        <w:instrText xml:space="preserve"> PAGEREF _Toc86918430 \h </w:instrText>
      </w:r>
      <w:r>
        <w:rPr>
          <w:szCs w:val="21"/>
          <w:highlight w:val="none"/>
        </w:rPr>
        <w:fldChar w:fldCharType="separate"/>
      </w:r>
      <w:r>
        <w:rPr>
          <w:szCs w:val="21"/>
          <w:highlight w:val="none"/>
        </w:rPr>
        <w:t>36</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"_Toc86918431" </w:instrText>
      </w:r>
      <w:r>
        <w:rPr>
          <w:highlight w:val="none"/>
        </w:rPr>
        <w:fldChar w:fldCharType="separate"/>
      </w:r>
      <w:r>
        <w:rPr>
          <w:rStyle w:val="26"/>
          <w:b/>
          <w:bCs/>
          <w:szCs w:val="21"/>
          <w:highlight w:val="none"/>
        </w:rPr>
        <w:t>（三）报价表</w:t>
      </w:r>
      <w:r>
        <w:rPr>
          <w:szCs w:val="21"/>
          <w:highlight w:val="none"/>
        </w:rPr>
        <w:tab/>
      </w:r>
      <w:r>
        <w:rPr>
          <w:szCs w:val="21"/>
          <w:highlight w:val="none"/>
        </w:rPr>
        <w:fldChar w:fldCharType="begin"/>
      </w:r>
      <w:r>
        <w:rPr>
          <w:szCs w:val="21"/>
          <w:highlight w:val="none"/>
        </w:rPr>
        <w:instrText xml:space="preserve"> PAGEREF _Toc86918431 \h </w:instrText>
      </w:r>
      <w:r>
        <w:rPr>
          <w:szCs w:val="21"/>
          <w:highlight w:val="none"/>
        </w:rPr>
        <w:fldChar w:fldCharType="separate"/>
      </w:r>
      <w:r>
        <w:rPr>
          <w:szCs w:val="21"/>
          <w:highlight w:val="none"/>
        </w:rPr>
        <w:t>37</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"_Toc86918432" </w:instrText>
      </w:r>
      <w:r>
        <w:rPr>
          <w:highlight w:val="none"/>
        </w:rPr>
        <w:fldChar w:fldCharType="separate"/>
      </w:r>
      <w:r>
        <w:rPr>
          <w:rStyle w:val="26"/>
          <w:b/>
          <w:bCs/>
          <w:szCs w:val="21"/>
          <w:highlight w:val="none"/>
        </w:rPr>
        <w:t>（四）公司主营业务介绍</w:t>
      </w:r>
      <w:r>
        <w:rPr>
          <w:szCs w:val="21"/>
          <w:highlight w:val="none"/>
        </w:rPr>
        <w:tab/>
      </w:r>
      <w:r>
        <w:rPr>
          <w:szCs w:val="21"/>
          <w:highlight w:val="none"/>
        </w:rPr>
        <w:fldChar w:fldCharType="begin"/>
      </w:r>
      <w:r>
        <w:rPr>
          <w:szCs w:val="21"/>
          <w:highlight w:val="none"/>
        </w:rPr>
        <w:instrText xml:space="preserve"> PAGEREF _Toc86918432 \h </w:instrText>
      </w:r>
      <w:r>
        <w:rPr>
          <w:szCs w:val="21"/>
          <w:highlight w:val="none"/>
        </w:rPr>
        <w:fldChar w:fldCharType="separate"/>
      </w:r>
      <w:r>
        <w:rPr>
          <w:szCs w:val="21"/>
          <w:highlight w:val="none"/>
        </w:rPr>
        <w:t>38</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"_Toc86918433" </w:instrText>
      </w:r>
      <w:r>
        <w:rPr>
          <w:highlight w:val="none"/>
        </w:rPr>
        <w:fldChar w:fldCharType="separate"/>
      </w:r>
      <w:r>
        <w:rPr>
          <w:rStyle w:val="26"/>
          <w:b/>
          <w:bCs/>
          <w:szCs w:val="21"/>
          <w:highlight w:val="none"/>
        </w:rPr>
        <w:t>（五）同类项目主要业绩一览表</w:t>
      </w:r>
      <w:r>
        <w:rPr>
          <w:szCs w:val="21"/>
          <w:highlight w:val="none"/>
        </w:rPr>
        <w:tab/>
      </w:r>
      <w:r>
        <w:rPr>
          <w:szCs w:val="21"/>
          <w:highlight w:val="none"/>
        </w:rPr>
        <w:fldChar w:fldCharType="begin"/>
      </w:r>
      <w:r>
        <w:rPr>
          <w:szCs w:val="21"/>
          <w:highlight w:val="none"/>
        </w:rPr>
        <w:instrText xml:space="preserve"> PAGEREF _Toc86918433 \h </w:instrText>
      </w:r>
      <w:r>
        <w:rPr>
          <w:szCs w:val="21"/>
          <w:highlight w:val="none"/>
        </w:rPr>
        <w:fldChar w:fldCharType="separate"/>
      </w:r>
      <w:r>
        <w:rPr>
          <w:szCs w:val="21"/>
          <w:highlight w:val="none"/>
        </w:rPr>
        <w:t>39</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"_Toc86918434" </w:instrText>
      </w:r>
      <w:r>
        <w:rPr>
          <w:highlight w:val="none"/>
        </w:rPr>
        <w:fldChar w:fldCharType="separate"/>
      </w:r>
      <w:r>
        <w:rPr>
          <w:rStyle w:val="26"/>
          <w:b/>
          <w:bCs/>
          <w:szCs w:val="21"/>
          <w:highlight w:val="none"/>
        </w:rPr>
        <w:t>（六）项目负责人和团队人员情况表</w:t>
      </w:r>
      <w:r>
        <w:rPr>
          <w:szCs w:val="21"/>
          <w:highlight w:val="none"/>
        </w:rPr>
        <w:tab/>
      </w:r>
      <w:r>
        <w:rPr>
          <w:szCs w:val="21"/>
          <w:highlight w:val="none"/>
        </w:rPr>
        <w:fldChar w:fldCharType="begin"/>
      </w:r>
      <w:r>
        <w:rPr>
          <w:szCs w:val="21"/>
          <w:highlight w:val="none"/>
        </w:rPr>
        <w:instrText xml:space="preserve"> PAGEREF _Toc86918434 \h </w:instrText>
      </w:r>
      <w:r>
        <w:rPr>
          <w:szCs w:val="21"/>
          <w:highlight w:val="none"/>
        </w:rPr>
        <w:fldChar w:fldCharType="separate"/>
      </w:r>
      <w:r>
        <w:rPr>
          <w:szCs w:val="21"/>
          <w:highlight w:val="none"/>
        </w:rPr>
        <w:t>40</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"_Toc86918435" </w:instrText>
      </w:r>
      <w:r>
        <w:rPr>
          <w:highlight w:val="none"/>
        </w:rPr>
        <w:fldChar w:fldCharType="separate"/>
      </w:r>
      <w:r>
        <w:rPr>
          <w:rStyle w:val="26"/>
          <w:rFonts w:ascii="宋体" w:hAnsi="宋体" w:cs="宋体"/>
          <w:b/>
          <w:bCs/>
          <w:szCs w:val="21"/>
          <w:highlight w:val="none"/>
        </w:rPr>
        <w:t>（七）实施方案</w:t>
      </w:r>
      <w:r>
        <w:rPr>
          <w:szCs w:val="21"/>
          <w:highlight w:val="none"/>
        </w:rPr>
        <w:tab/>
      </w:r>
      <w:r>
        <w:rPr>
          <w:szCs w:val="21"/>
          <w:highlight w:val="none"/>
        </w:rPr>
        <w:fldChar w:fldCharType="begin"/>
      </w:r>
      <w:r>
        <w:rPr>
          <w:szCs w:val="21"/>
          <w:highlight w:val="none"/>
        </w:rPr>
        <w:instrText xml:space="preserve"> PAGEREF _Toc86918435 \h </w:instrText>
      </w:r>
      <w:r>
        <w:rPr>
          <w:szCs w:val="21"/>
          <w:highlight w:val="none"/>
        </w:rPr>
        <w:fldChar w:fldCharType="separate"/>
      </w:r>
      <w:r>
        <w:rPr>
          <w:szCs w:val="21"/>
          <w:highlight w:val="none"/>
        </w:rPr>
        <w:t>41</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"_Toc86918436" </w:instrText>
      </w:r>
      <w:r>
        <w:rPr>
          <w:highlight w:val="none"/>
        </w:rPr>
        <w:fldChar w:fldCharType="separate"/>
      </w:r>
      <w:r>
        <w:rPr>
          <w:rStyle w:val="26"/>
          <w:rFonts w:ascii="宋体" w:hAnsi="宋体" w:cs="宋体"/>
          <w:b/>
          <w:bCs/>
          <w:szCs w:val="21"/>
          <w:highlight w:val="none"/>
        </w:rPr>
        <w:t>（八）投标人诚信承诺函</w:t>
      </w:r>
      <w:r>
        <w:rPr>
          <w:szCs w:val="21"/>
          <w:highlight w:val="none"/>
        </w:rPr>
        <w:tab/>
      </w:r>
      <w:r>
        <w:rPr>
          <w:szCs w:val="21"/>
          <w:highlight w:val="none"/>
        </w:rPr>
        <w:fldChar w:fldCharType="begin"/>
      </w:r>
      <w:r>
        <w:rPr>
          <w:szCs w:val="21"/>
          <w:highlight w:val="none"/>
        </w:rPr>
        <w:instrText xml:space="preserve"> PAGEREF _Toc86918436 \h </w:instrText>
      </w:r>
      <w:r>
        <w:rPr>
          <w:szCs w:val="21"/>
          <w:highlight w:val="none"/>
        </w:rPr>
        <w:fldChar w:fldCharType="separate"/>
      </w:r>
      <w:r>
        <w:rPr>
          <w:szCs w:val="21"/>
          <w:highlight w:val="none"/>
        </w:rPr>
        <w:t>42</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"_Toc86918437" </w:instrText>
      </w:r>
      <w:r>
        <w:rPr>
          <w:highlight w:val="none"/>
        </w:rPr>
        <w:fldChar w:fldCharType="separate"/>
      </w:r>
      <w:r>
        <w:rPr>
          <w:rStyle w:val="26"/>
          <w:rFonts w:ascii="宋体" w:hAnsi="宋体" w:cs="宋体"/>
          <w:b/>
          <w:bCs/>
          <w:szCs w:val="21"/>
          <w:highlight w:val="none"/>
        </w:rPr>
        <w:t>（九）用户需求响应表</w:t>
      </w:r>
      <w:r>
        <w:rPr>
          <w:szCs w:val="21"/>
          <w:highlight w:val="none"/>
        </w:rPr>
        <w:tab/>
      </w:r>
      <w:r>
        <w:rPr>
          <w:szCs w:val="21"/>
          <w:highlight w:val="none"/>
        </w:rPr>
        <w:fldChar w:fldCharType="begin"/>
      </w:r>
      <w:r>
        <w:rPr>
          <w:szCs w:val="21"/>
          <w:highlight w:val="none"/>
        </w:rPr>
        <w:instrText xml:space="preserve"> PAGEREF _Toc86918437 \h </w:instrText>
      </w:r>
      <w:r>
        <w:rPr>
          <w:szCs w:val="21"/>
          <w:highlight w:val="none"/>
        </w:rPr>
        <w:fldChar w:fldCharType="separate"/>
      </w:r>
      <w:r>
        <w:rPr>
          <w:szCs w:val="21"/>
          <w:highlight w:val="none"/>
        </w:rPr>
        <w:t>43</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"_Toc86918438" </w:instrText>
      </w:r>
      <w:r>
        <w:rPr>
          <w:highlight w:val="none"/>
        </w:rPr>
        <w:fldChar w:fldCharType="separate"/>
      </w:r>
      <w:r>
        <w:rPr>
          <w:rStyle w:val="26"/>
          <w:rFonts w:ascii="宋体" w:hAnsi="宋体" w:cs="宋体"/>
          <w:b/>
          <w:bCs/>
          <w:szCs w:val="21"/>
          <w:highlight w:val="none"/>
        </w:rPr>
        <w:t>（十）投标人认为需提供的其它文件及评分所需证明文件</w:t>
      </w:r>
      <w:r>
        <w:rPr>
          <w:szCs w:val="21"/>
          <w:highlight w:val="none"/>
        </w:rPr>
        <w:tab/>
      </w:r>
      <w:r>
        <w:rPr>
          <w:szCs w:val="21"/>
          <w:highlight w:val="none"/>
        </w:rPr>
        <w:fldChar w:fldCharType="begin"/>
      </w:r>
      <w:r>
        <w:rPr>
          <w:szCs w:val="21"/>
          <w:highlight w:val="none"/>
        </w:rPr>
        <w:instrText xml:space="preserve"> PAGEREF _Toc86918438 \h </w:instrText>
      </w:r>
      <w:r>
        <w:rPr>
          <w:szCs w:val="21"/>
          <w:highlight w:val="none"/>
        </w:rPr>
        <w:fldChar w:fldCharType="separate"/>
      </w:r>
      <w:r>
        <w:rPr>
          <w:szCs w:val="21"/>
          <w:highlight w:val="none"/>
        </w:rPr>
        <w:t>51</w:t>
      </w:r>
      <w:r>
        <w:rPr>
          <w:szCs w:val="21"/>
          <w:highlight w:val="none"/>
        </w:rPr>
        <w:fldChar w:fldCharType="end"/>
      </w:r>
      <w:r>
        <w:rPr>
          <w:szCs w:val="21"/>
          <w:highlight w:val="none"/>
        </w:rPr>
        <w:fldChar w:fldCharType="end"/>
      </w:r>
    </w:p>
    <w:p>
      <w:pPr>
        <w:pStyle w:val="17"/>
        <w:tabs>
          <w:tab w:val="right" w:leader="dot" w:pos="8296"/>
        </w:tabs>
        <w:rPr>
          <w:rFonts w:asciiTheme="minorHAnsi" w:hAnsiTheme="minorHAnsi" w:eastAsiaTheme="minorEastAsia" w:cstheme="minorBidi"/>
          <w:szCs w:val="21"/>
          <w:highlight w:val="none"/>
        </w:rPr>
      </w:pPr>
      <w:r>
        <w:rPr>
          <w:highlight w:val="none"/>
        </w:rPr>
        <w:fldChar w:fldCharType="begin"/>
      </w:r>
      <w:r>
        <w:rPr>
          <w:highlight w:val="none"/>
        </w:rPr>
        <w:instrText xml:space="preserve"> HYPERLINK \l "_Toc86918439" </w:instrText>
      </w:r>
      <w:r>
        <w:rPr>
          <w:highlight w:val="none"/>
        </w:rPr>
        <w:fldChar w:fldCharType="separate"/>
      </w:r>
      <w:r>
        <w:rPr>
          <w:rStyle w:val="26"/>
          <w:rFonts w:ascii="宋体" w:hAnsi="宋体" w:cs="宋体"/>
          <w:b/>
          <w:bCs/>
          <w:szCs w:val="21"/>
          <w:highlight w:val="none"/>
        </w:rPr>
        <w:t>（十一）其他</w:t>
      </w:r>
      <w:r>
        <w:rPr>
          <w:szCs w:val="21"/>
          <w:highlight w:val="none"/>
        </w:rPr>
        <w:tab/>
      </w:r>
      <w:r>
        <w:rPr>
          <w:szCs w:val="21"/>
          <w:highlight w:val="none"/>
        </w:rPr>
        <w:fldChar w:fldCharType="begin"/>
      </w:r>
      <w:r>
        <w:rPr>
          <w:szCs w:val="21"/>
          <w:highlight w:val="none"/>
        </w:rPr>
        <w:instrText xml:space="preserve"> PAGEREF _Toc86918439 \h </w:instrText>
      </w:r>
      <w:r>
        <w:rPr>
          <w:szCs w:val="21"/>
          <w:highlight w:val="none"/>
        </w:rPr>
        <w:fldChar w:fldCharType="separate"/>
      </w:r>
      <w:r>
        <w:rPr>
          <w:szCs w:val="21"/>
          <w:highlight w:val="none"/>
        </w:rPr>
        <w:t>55</w:t>
      </w:r>
      <w:r>
        <w:rPr>
          <w:szCs w:val="21"/>
          <w:highlight w:val="none"/>
        </w:rPr>
        <w:fldChar w:fldCharType="end"/>
      </w:r>
      <w:r>
        <w:rPr>
          <w:szCs w:val="21"/>
          <w:highlight w:val="none"/>
        </w:rPr>
        <w:fldChar w:fldCharType="end"/>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"_Toc86918440" </w:instrText>
      </w:r>
      <w:r>
        <w:rPr>
          <w:highlight w:val="none"/>
        </w:rPr>
        <w:fldChar w:fldCharType="separate"/>
      </w:r>
      <w:r>
        <w:rPr>
          <w:rStyle w:val="26"/>
          <w:rFonts w:ascii="宋体" w:hAnsi="宋体" w:cs="仿宋"/>
          <w:bCs/>
          <w:sz w:val="21"/>
          <w:szCs w:val="21"/>
          <w:highlight w:val="none"/>
        </w:rPr>
        <w:t>《关于印发〈政府采购促进中小企业发展管理办法〉的通知》</w:t>
      </w:r>
      <w:r>
        <w:rPr>
          <w:sz w:val="21"/>
          <w:szCs w:val="21"/>
          <w:highlight w:val="none"/>
        </w:rPr>
        <w:tab/>
      </w:r>
      <w:r>
        <w:rPr>
          <w:sz w:val="21"/>
          <w:szCs w:val="21"/>
          <w:highlight w:val="none"/>
        </w:rPr>
        <w:fldChar w:fldCharType="begin"/>
      </w:r>
      <w:r>
        <w:rPr>
          <w:sz w:val="21"/>
          <w:szCs w:val="21"/>
          <w:highlight w:val="none"/>
        </w:rPr>
        <w:instrText xml:space="preserve"> PAGEREF _Toc86918440 \h </w:instrText>
      </w:r>
      <w:r>
        <w:rPr>
          <w:sz w:val="21"/>
          <w:szCs w:val="21"/>
          <w:highlight w:val="none"/>
        </w:rPr>
        <w:fldChar w:fldCharType="separate"/>
      </w:r>
      <w:r>
        <w:rPr>
          <w:sz w:val="21"/>
          <w:szCs w:val="21"/>
          <w:highlight w:val="none"/>
        </w:rPr>
        <w:t>55</w:t>
      </w:r>
      <w:r>
        <w:rPr>
          <w:sz w:val="21"/>
          <w:szCs w:val="21"/>
          <w:highlight w:val="none"/>
        </w:rPr>
        <w:fldChar w:fldCharType="end"/>
      </w:r>
      <w:r>
        <w:rPr>
          <w:sz w:val="21"/>
          <w:szCs w:val="21"/>
          <w:highlight w:val="none"/>
        </w:rPr>
        <w:fldChar w:fldCharType="end"/>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"_Toc86918441" </w:instrText>
      </w:r>
      <w:r>
        <w:rPr>
          <w:highlight w:val="none"/>
        </w:rPr>
        <w:fldChar w:fldCharType="separate"/>
      </w:r>
      <w:r>
        <w:rPr>
          <w:rStyle w:val="26"/>
          <w:rFonts w:ascii="宋体" w:hAnsi="宋体" w:cs="仿宋"/>
          <w:bCs/>
          <w:sz w:val="21"/>
          <w:szCs w:val="21"/>
          <w:highlight w:val="none"/>
        </w:rPr>
        <w:t>关于印发〈中小企业划型标准规定〉的通知</w:t>
      </w:r>
      <w:r>
        <w:rPr>
          <w:sz w:val="21"/>
          <w:szCs w:val="21"/>
          <w:highlight w:val="none"/>
        </w:rPr>
        <w:tab/>
      </w:r>
      <w:r>
        <w:rPr>
          <w:sz w:val="21"/>
          <w:szCs w:val="21"/>
          <w:highlight w:val="none"/>
        </w:rPr>
        <w:fldChar w:fldCharType="begin"/>
      </w:r>
      <w:r>
        <w:rPr>
          <w:sz w:val="21"/>
          <w:szCs w:val="21"/>
          <w:highlight w:val="none"/>
        </w:rPr>
        <w:instrText xml:space="preserve"> PAGEREF _Toc86918441 \h </w:instrText>
      </w:r>
      <w:r>
        <w:rPr>
          <w:sz w:val="21"/>
          <w:szCs w:val="21"/>
          <w:highlight w:val="none"/>
        </w:rPr>
        <w:fldChar w:fldCharType="separate"/>
      </w:r>
      <w:r>
        <w:rPr>
          <w:sz w:val="21"/>
          <w:szCs w:val="21"/>
          <w:highlight w:val="none"/>
        </w:rPr>
        <w:t>59</w:t>
      </w:r>
      <w:r>
        <w:rPr>
          <w:sz w:val="21"/>
          <w:szCs w:val="21"/>
          <w:highlight w:val="none"/>
        </w:rPr>
        <w:fldChar w:fldCharType="end"/>
      </w:r>
      <w:r>
        <w:rPr>
          <w:sz w:val="21"/>
          <w:szCs w:val="21"/>
          <w:highlight w:val="none"/>
        </w:rPr>
        <w:fldChar w:fldCharType="end"/>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"_Toc86918442" </w:instrText>
      </w:r>
      <w:r>
        <w:rPr>
          <w:highlight w:val="none"/>
        </w:rPr>
        <w:fldChar w:fldCharType="separate"/>
      </w:r>
      <w:r>
        <w:rPr>
          <w:rStyle w:val="26"/>
          <w:rFonts w:ascii="宋体" w:hAnsi="宋体" w:cs="仿宋"/>
          <w:bCs/>
          <w:sz w:val="21"/>
          <w:szCs w:val="21"/>
          <w:highlight w:val="none"/>
        </w:rPr>
        <w:t>国家统计局关于印发《统计上大中小微型企业划分办法（2017）》的通知</w:t>
      </w:r>
      <w:r>
        <w:rPr>
          <w:sz w:val="21"/>
          <w:szCs w:val="21"/>
          <w:highlight w:val="none"/>
        </w:rPr>
        <w:tab/>
      </w:r>
      <w:r>
        <w:rPr>
          <w:sz w:val="21"/>
          <w:szCs w:val="21"/>
          <w:highlight w:val="none"/>
        </w:rPr>
        <w:fldChar w:fldCharType="begin"/>
      </w:r>
      <w:r>
        <w:rPr>
          <w:sz w:val="21"/>
          <w:szCs w:val="21"/>
          <w:highlight w:val="none"/>
        </w:rPr>
        <w:instrText xml:space="preserve"> PAGEREF _Toc86918442 \h </w:instrText>
      </w:r>
      <w:r>
        <w:rPr>
          <w:sz w:val="21"/>
          <w:szCs w:val="21"/>
          <w:highlight w:val="none"/>
        </w:rPr>
        <w:fldChar w:fldCharType="separate"/>
      </w:r>
      <w:r>
        <w:rPr>
          <w:sz w:val="21"/>
          <w:szCs w:val="21"/>
          <w:highlight w:val="none"/>
        </w:rPr>
        <w:t>62</w:t>
      </w:r>
      <w:r>
        <w:rPr>
          <w:sz w:val="21"/>
          <w:szCs w:val="21"/>
          <w:highlight w:val="none"/>
        </w:rPr>
        <w:fldChar w:fldCharType="end"/>
      </w:r>
      <w:r>
        <w:rPr>
          <w:sz w:val="21"/>
          <w:szCs w:val="21"/>
          <w:highlight w:val="none"/>
        </w:rPr>
        <w:fldChar w:fldCharType="end"/>
      </w:r>
    </w:p>
    <w:p>
      <w:pPr>
        <w:pStyle w:val="16"/>
        <w:rPr>
          <w:rFonts w:asciiTheme="minorHAnsi" w:hAnsiTheme="minorHAnsi" w:eastAsiaTheme="minorEastAsia" w:cstheme="minorBidi"/>
          <w:b w:val="0"/>
          <w:sz w:val="21"/>
          <w:szCs w:val="21"/>
          <w:highlight w:val="none"/>
        </w:rPr>
      </w:pPr>
      <w:r>
        <w:rPr>
          <w:highlight w:val="none"/>
        </w:rPr>
        <w:fldChar w:fldCharType="begin"/>
      </w:r>
      <w:r>
        <w:rPr>
          <w:highlight w:val="none"/>
        </w:rPr>
        <w:instrText xml:space="preserve"> HYPERLINK \l "_Toc86918445" </w:instrText>
      </w:r>
      <w:r>
        <w:rPr>
          <w:highlight w:val="none"/>
        </w:rPr>
        <w:fldChar w:fldCharType="separate"/>
      </w:r>
      <w:r>
        <w:rPr>
          <w:rStyle w:val="26"/>
          <w:rFonts w:ascii="宋体" w:hAnsi="宋体" w:cs="仿宋"/>
          <w:bCs/>
          <w:sz w:val="21"/>
          <w:szCs w:val="21"/>
          <w:highlight w:val="none"/>
        </w:rPr>
        <w:t>关于促进残疾人就业政府采购政策的通知</w:t>
      </w:r>
      <w:r>
        <w:rPr>
          <w:sz w:val="21"/>
          <w:szCs w:val="21"/>
          <w:highlight w:val="none"/>
        </w:rPr>
        <w:tab/>
      </w:r>
      <w:r>
        <w:rPr>
          <w:sz w:val="21"/>
          <w:szCs w:val="21"/>
          <w:highlight w:val="none"/>
        </w:rPr>
        <w:fldChar w:fldCharType="begin"/>
      </w:r>
      <w:r>
        <w:rPr>
          <w:sz w:val="21"/>
          <w:szCs w:val="21"/>
          <w:highlight w:val="none"/>
        </w:rPr>
        <w:instrText xml:space="preserve"> PAGEREF _Toc86918445 \h </w:instrText>
      </w:r>
      <w:r>
        <w:rPr>
          <w:sz w:val="21"/>
          <w:szCs w:val="21"/>
          <w:highlight w:val="none"/>
        </w:rPr>
        <w:fldChar w:fldCharType="separate"/>
      </w:r>
      <w:r>
        <w:rPr>
          <w:sz w:val="21"/>
          <w:szCs w:val="21"/>
          <w:highlight w:val="none"/>
        </w:rPr>
        <w:t>65</w:t>
      </w:r>
      <w:r>
        <w:rPr>
          <w:sz w:val="21"/>
          <w:szCs w:val="21"/>
          <w:highlight w:val="none"/>
        </w:rPr>
        <w:fldChar w:fldCharType="end"/>
      </w:r>
      <w:r>
        <w:rPr>
          <w:sz w:val="21"/>
          <w:szCs w:val="21"/>
          <w:highlight w:val="none"/>
        </w:rPr>
        <w:fldChar w:fldCharType="end"/>
      </w:r>
    </w:p>
    <w:p>
      <w:pPr>
        <w:bidi w:val="0"/>
        <w:rPr>
          <w:highlight w:val="none"/>
        </w:rPr>
      </w:pPr>
      <w:r>
        <w:rPr>
          <w:rFonts w:hint="eastAsia"/>
          <w:highlight w:val="none"/>
        </w:rPr>
        <w:fldChar w:fldCharType="end"/>
      </w:r>
    </w:p>
    <w:p>
      <w:pPr>
        <w:jc w:val="center"/>
        <w:rPr>
          <w:rFonts w:ascii="黑体" w:eastAsia="黑体"/>
          <w:sz w:val="36"/>
          <w:szCs w:val="36"/>
          <w:highlight w:val="none"/>
        </w:rPr>
      </w:pPr>
      <w:bookmarkStart w:id="0" w:name="_Toc51746093"/>
      <w:bookmarkStart w:id="1" w:name="_Toc83405793"/>
      <w:bookmarkStart w:id="2" w:name="_Toc21468"/>
      <w:bookmarkStart w:id="3" w:name="_Toc13468"/>
      <w:bookmarkStart w:id="4" w:name="_Toc27894"/>
      <w:r>
        <w:rPr>
          <w:highlight w:val="none"/>
        </w:rPr>
        <w:br w:type="page"/>
      </w:r>
      <w:r>
        <w:rPr>
          <w:rFonts w:hint="eastAsia" w:ascii="黑体" w:eastAsia="黑体"/>
          <w:sz w:val="36"/>
          <w:szCs w:val="36"/>
          <w:highlight w:val="none"/>
        </w:rPr>
        <w:t>特别警示条款</w:t>
      </w:r>
    </w:p>
    <w:p>
      <w:pPr>
        <w:pStyle w:val="2"/>
        <w:rPr>
          <w:sz w:val="20"/>
          <w:szCs w:val="24"/>
          <w:highlight w:val="none"/>
        </w:rPr>
      </w:pPr>
    </w:p>
    <w:p>
      <w:pPr>
        <w:snapToGrid w:val="0"/>
        <w:spacing w:line="360" w:lineRule="auto"/>
        <w:ind w:firstLine="411" w:firstLineChars="196"/>
        <w:rPr>
          <w:rFonts w:ascii="宋体" w:hAnsi="宋体"/>
          <w:szCs w:val="21"/>
          <w:highlight w:val="none"/>
        </w:rPr>
      </w:pP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（一）在采购活动中应当回避而未回避的；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（二）未按本条例规定签订、履行采购合同，造成严重后果的；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（三）隐瞒真实情况，提供虚假资料的；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（四）以非法手段排斥其他供应商参与竞争的；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（五）与其他采购参加人串通投标的；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（六）恶意投诉的；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（七）向采购项目相关人行贿或者提供其他不当利益的；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（八）阻碍、抗拒主管部门监督检查的；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（九）其他违反本条例规定的行为。</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《深圳经济特区政府采购条例实施细则》第七十六条  供应商有下列行为之一的，由主管部门记入供应商诚信档案并作出以下处罚：</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《深圳经济特区政府采购条例实施细则》第七十九条  供应商有下列情形之一的，属于采购条例所称的串通投标行为，按照采购条例第五十七条有关规定处理：</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（一）投标供应商之间相互约定给予未中标的供应商利益补偿。</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（三）不同投标供应商的投标文件由同一单位或者同一人编制，或者由同一人分阶段参与编制的。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（四）不同投标供应商的投标文件或部分投标文件相互混装。</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（五）不同投标供应商的投标文件内容存在非正常一致。</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（六）由同一单位工作人员为两家以上（含两家）供应商进行同一项投标活动的。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（七）主管部门依照法律、法规认定的其他情形。</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《深圳经济特区政府采购条例实施细则》第八十一条  供应商有下列情形之一的，属于隐瞒真实情况，提供虚假资料，按照采购条例第五十七条的有关规定处理：</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（一）通过转让或者租借等方式从其他单位获取资格或者资质证书投标的。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（二）由其他单位或者其他单位负责人在投标供应商编制的投标文件上加盖印章或者签字的。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（三）项目负责人或者主要技术人员不是本单位人员的。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（四）投标保证金不是从投标供应商基本账户转出的。</w:t>
      </w:r>
    </w:p>
    <w:p>
      <w:pPr>
        <w:snapToGrid w:val="0"/>
        <w:spacing w:line="360" w:lineRule="auto"/>
        <w:ind w:firstLine="411" w:firstLineChars="196"/>
        <w:rPr>
          <w:rFonts w:ascii="宋体" w:hAnsi="宋体"/>
          <w:szCs w:val="21"/>
          <w:highlight w:val="none"/>
        </w:rPr>
      </w:pPr>
      <w:r>
        <w:rPr>
          <w:rFonts w:hint="eastAsia" w:ascii="宋体" w:hAnsi="宋体"/>
          <w:szCs w:val="21"/>
          <w:highlight w:val="none"/>
        </w:rPr>
        <w:t>（五）其他隐瞒真实情况、提供虚假资料的行为。</w:t>
      </w:r>
    </w:p>
    <w:p>
      <w:pPr>
        <w:bidi w:val="0"/>
        <w:ind w:firstLine="420" w:firstLineChars="200"/>
        <w:rPr>
          <w:highlight w:val="none"/>
        </w:rPr>
      </w:pPr>
      <w:bookmarkStart w:id="5" w:name="_Toc28531"/>
      <w:bookmarkStart w:id="6" w:name="_Toc86918418"/>
      <w:r>
        <w:rPr>
          <w:rFonts w:hint="eastAsia"/>
          <w:highlight w:val="none"/>
        </w:rPr>
        <w:t>投标供应商不能提供项目负责人或者主要技术人员的劳动合同、社会保险等劳动关系证明材料的，视为存在前款第（三）项规定的情形。</w:t>
      </w:r>
      <w:bookmarkEnd w:id="5"/>
      <w:bookmarkEnd w:id="6"/>
    </w:p>
    <w:p>
      <w:pPr>
        <w:rPr>
          <w:highlight w:val="none"/>
        </w:rPr>
      </w:pPr>
    </w:p>
    <w:p>
      <w:pPr>
        <w:rPr>
          <w:b/>
          <w:bCs/>
          <w:sz w:val="32"/>
          <w:highlight w:val="none"/>
        </w:rPr>
      </w:pPr>
      <w:r>
        <w:rPr>
          <w:rFonts w:hint="eastAsia"/>
          <w:b/>
          <w:bCs/>
          <w:sz w:val="32"/>
          <w:highlight w:val="none"/>
        </w:rPr>
        <w:br w:type="page"/>
      </w:r>
    </w:p>
    <w:p>
      <w:pPr>
        <w:spacing w:line="360" w:lineRule="auto"/>
        <w:jc w:val="center"/>
        <w:outlineLvl w:val="0"/>
        <w:rPr>
          <w:b/>
          <w:bCs/>
          <w:sz w:val="32"/>
          <w:highlight w:val="none"/>
        </w:rPr>
      </w:pPr>
      <w:bookmarkStart w:id="7" w:name="_Toc86918419"/>
      <w:r>
        <w:rPr>
          <w:rFonts w:hint="eastAsia"/>
          <w:b/>
          <w:bCs/>
          <w:sz w:val="32"/>
          <w:highlight w:val="none"/>
        </w:rPr>
        <w:t>第一章 招标邀请书</w:t>
      </w:r>
      <w:bookmarkEnd w:id="0"/>
      <w:bookmarkEnd w:id="1"/>
      <w:bookmarkEnd w:id="2"/>
      <w:bookmarkEnd w:id="3"/>
      <w:bookmarkEnd w:id="4"/>
      <w:bookmarkEnd w:id="7"/>
    </w:p>
    <w:p>
      <w:pPr>
        <w:ind w:firstLine="420" w:firstLineChars="200"/>
        <w:rPr>
          <w:szCs w:val="21"/>
          <w:highlight w:val="none"/>
        </w:rPr>
      </w:pPr>
      <w:r>
        <w:rPr>
          <w:rFonts w:hint="eastAsia"/>
          <w:szCs w:val="21"/>
          <w:highlight w:val="none"/>
        </w:rPr>
        <w:t>深圳市前海深港现代服务业合作区管理局就</w:t>
      </w:r>
      <w:r>
        <w:rPr>
          <w:rFonts w:hint="eastAsia"/>
          <w:szCs w:val="21"/>
          <w:highlight w:val="none"/>
          <w:lang w:val="en-US" w:eastAsia="zh-CN"/>
        </w:rPr>
        <w:t xml:space="preserve"> </w:t>
      </w:r>
      <w:r>
        <w:rPr>
          <w:rFonts w:hint="eastAsia"/>
          <w:szCs w:val="21"/>
          <w:highlight w:val="none"/>
        </w:rPr>
        <w:t>《</w:t>
      </w:r>
      <w:r>
        <w:rPr>
          <w:rFonts w:hint="eastAsia"/>
          <w:szCs w:val="21"/>
          <w:highlight w:val="none"/>
          <w:lang w:eastAsia="zh-CN"/>
        </w:rPr>
        <w:t>2021年前海办公用房租金评估及租金政策评估</w:t>
      </w:r>
      <w:r>
        <w:rPr>
          <w:rFonts w:hint="eastAsia"/>
          <w:szCs w:val="21"/>
          <w:highlight w:val="none"/>
        </w:rPr>
        <w:t>》课题</w:t>
      </w:r>
      <w:r>
        <w:rPr>
          <w:szCs w:val="21"/>
          <w:highlight w:val="none"/>
        </w:rPr>
        <w:t>项目（</w:t>
      </w:r>
      <w:r>
        <w:rPr>
          <w:rFonts w:hint="eastAsia"/>
          <w:szCs w:val="21"/>
          <w:highlight w:val="none"/>
        </w:rPr>
        <w:t>招标</w:t>
      </w:r>
      <w:r>
        <w:rPr>
          <w:szCs w:val="21"/>
          <w:highlight w:val="none"/>
        </w:rPr>
        <w:t>编号：</w:t>
      </w:r>
      <w:r>
        <w:rPr>
          <w:rFonts w:hint="eastAsia"/>
          <w:szCs w:val="21"/>
          <w:highlight w:val="none"/>
          <w:lang w:eastAsia="zh-CN"/>
        </w:rPr>
        <w:t>QH2022</w:t>
      </w:r>
      <w:r>
        <w:rPr>
          <w:rFonts w:hint="default"/>
          <w:szCs w:val="21"/>
          <w:highlight w:val="none"/>
          <w:lang w:eastAsia="zh-CN"/>
        </w:rPr>
        <w:t>003</w:t>
      </w:r>
      <w:r>
        <w:rPr>
          <w:rFonts w:hint="eastAsia"/>
          <w:szCs w:val="21"/>
          <w:highlight w:val="none"/>
        </w:rPr>
        <w:t xml:space="preserve"> </w:t>
      </w:r>
      <w:r>
        <w:rPr>
          <w:szCs w:val="21"/>
          <w:highlight w:val="none"/>
        </w:rPr>
        <w:t>）</w:t>
      </w:r>
      <w:r>
        <w:rPr>
          <w:rFonts w:hint="eastAsia"/>
          <w:szCs w:val="21"/>
          <w:highlight w:val="none"/>
        </w:rPr>
        <w:t>采用公开征集供应商简易招标方式，欢迎符合投标人资格要求的专业供应商积极参加投标。</w:t>
      </w:r>
    </w:p>
    <w:p>
      <w:pPr>
        <w:ind w:firstLine="420" w:firstLineChars="200"/>
        <w:rPr>
          <w:szCs w:val="21"/>
          <w:highlight w:val="none"/>
        </w:rPr>
      </w:pPr>
    </w:p>
    <w:tbl>
      <w:tblPr>
        <w:tblStyle w:val="23"/>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165"/>
      </w:tblGrid>
      <w:tr>
        <w:trPr>
          <w:cantSplit/>
          <w:trHeight w:val="20" w:hRule="atLeast"/>
        </w:trPr>
        <w:tc>
          <w:tcPr>
            <w:tcW w:w="1668" w:type="dxa"/>
          </w:tcPr>
          <w:p>
            <w:pPr>
              <w:spacing w:after="60" w:line="360" w:lineRule="auto"/>
              <w:rPr>
                <w:szCs w:val="21"/>
                <w:highlight w:val="none"/>
              </w:rPr>
            </w:pPr>
            <w:r>
              <w:rPr>
                <w:rFonts w:hint="eastAsia"/>
                <w:szCs w:val="21"/>
                <w:highlight w:val="none"/>
              </w:rPr>
              <w:t>招标编号</w:t>
            </w:r>
          </w:p>
        </w:tc>
        <w:tc>
          <w:tcPr>
            <w:tcW w:w="7165" w:type="dxa"/>
          </w:tcPr>
          <w:p>
            <w:pPr>
              <w:spacing w:line="360" w:lineRule="auto"/>
              <w:rPr>
                <w:rFonts w:hint="eastAsia" w:eastAsia="宋体"/>
                <w:szCs w:val="21"/>
                <w:highlight w:val="none"/>
                <w:lang w:eastAsia="zh-CN"/>
              </w:rPr>
            </w:pPr>
            <w:r>
              <w:rPr>
                <w:rFonts w:hint="eastAsia"/>
                <w:szCs w:val="21"/>
                <w:highlight w:val="none"/>
              </w:rPr>
              <w:t xml:space="preserve"> QH2022003</w:t>
            </w:r>
          </w:p>
        </w:tc>
      </w:tr>
      <w:tr>
        <w:trPr>
          <w:cantSplit/>
          <w:trHeight w:val="20" w:hRule="atLeast"/>
        </w:trPr>
        <w:tc>
          <w:tcPr>
            <w:tcW w:w="1668" w:type="dxa"/>
          </w:tcPr>
          <w:p>
            <w:pPr>
              <w:spacing w:after="60" w:line="360" w:lineRule="auto"/>
              <w:rPr>
                <w:szCs w:val="21"/>
                <w:highlight w:val="none"/>
              </w:rPr>
            </w:pPr>
            <w:r>
              <w:rPr>
                <w:rFonts w:hint="eastAsia"/>
                <w:szCs w:val="21"/>
                <w:highlight w:val="none"/>
              </w:rPr>
              <w:t>招标项目名称</w:t>
            </w:r>
          </w:p>
        </w:tc>
        <w:tc>
          <w:tcPr>
            <w:tcW w:w="7165" w:type="dxa"/>
          </w:tcPr>
          <w:p>
            <w:pPr>
              <w:spacing w:line="360" w:lineRule="auto"/>
              <w:rPr>
                <w:rFonts w:hint="eastAsia" w:eastAsia="宋体"/>
                <w:szCs w:val="21"/>
                <w:highlight w:val="none"/>
                <w:lang w:eastAsia="zh-CN"/>
              </w:rPr>
            </w:pPr>
            <w:r>
              <w:rPr>
                <w:rFonts w:hint="eastAsia"/>
                <w:kern w:val="0"/>
                <w:szCs w:val="21"/>
                <w:highlight w:val="none"/>
                <w:lang w:eastAsia="zh-CN"/>
              </w:rPr>
              <w:t>2021年前海办公用房租金评估及租金政策评估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668" w:type="dxa"/>
          </w:tcPr>
          <w:p>
            <w:pPr>
              <w:spacing w:after="60" w:line="360" w:lineRule="auto"/>
              <w:rPr>
                <w:szCs w:val="21"/>
                <w:highlight w:val="none"/>
              </w:rPr>
            </w:pPr>
            <w:r>
              <w:rPr>
                <w:rFonts w:hint="eastAsia"/>
                <w:szCs w:val="21"/>
                <w:highlight w:val="none"/>
              </w:rPr>
              <w:t>标的内容</w:t>
            </w:r>
          </w:p>
        </w:tc>
        <w:tc>
          <w:tcPr>
            <w:tcW w:w="7165" w:type="dxa"/>
          </w:tcPr>
          <w:p>
            <w:pPr>
              <w:spacing w:line="360" w:lineRule="auto"/>
              <w:rPr>
                <w:szCs w:val="21"/>
                <w:highlight w:val="none"/>
              </w:rPr>
            </w:pPr>
            <w:r>
              <w:rPr>
                <w:rFonts w:hint="eastAsia"/>
                <w:szCs w:val="21"/>
                <w:highlight w:val="none"/>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668" w:type="dxa"/>
          </w:tcPr>
          <w:p>
            <w:pPr>
              <w:spacing w:after="60" w:line="360" w:lineRule="auto"/>
              <w:rPr>
                <w:szCs w:val="21"/>
                <w:highlight w:val="none"/>
              </w:rPr>
            </w:pPr>
            <w:r>
              <w:rPr>
                <w:rFonts w:hint="eastAsia"/>
                <w:szCs w:val="21"/>
                <w:highlight w:val="none"/>
              </w:rPr>
              <w:t>预算金额</w:t>
            </w:r>
          </w:p>
        </w:tc>
        <w:tc>
          <w:tcPr>
            <w:tcW w:w="7165" w:type="dxa"/>
          </w:tcPr>
          <w:p>
            <w:pPr>
              <w:spacing w:line="360" w:lineRule="auto"/>
              <w:rPr>
                <w:szCs w:val="21"/>
                <w:highlight w:val="none"/>
              </w:rPr>
            </w:pPr>
            <w:r>
              <w:rPr>
                <w:rFonts w:hint="eastAsia"/>
                <w:szCs w:val="21"/>
                <w:highlight w:val="none"/>
              </w:rPr>
              <w:t>本项目招标总价控制为</w:t>
            </w:r>
            <w:r>
              <w:rPr>
                <w:rFonts w:hint="eastAsia"/>
                <w:szCs w:val="21"/>
                <w:highlight w:val="none"/>
                <w:lang w:val="en-US" w:eastAsia="zh-CN"/>
              </w:rPr>
              <w:t>30</w:t>
            </w:r>
            <w:r>
              <w:rPr>
                <w:rFonts w:hint="eastAsia"/>
                <w:szCs w:val="21"/>
                <w:highlight w:val="none"/>
              </w:rPr>
              <w:t>万元，财政性资金100%。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668" w:type="dxa"/>
          </w:tcPr>
          <w:p>
            <w:pPr>
              <w:spacing w:after="60" w:line="360" w:lineRule="auto"/>
              <w:rPr>
                <w:szCs w:val="21"/>
                <w:highlight w:val="none"/>
              </w:rPr>
            </w:pPr>
            <w:r>
              <w:rPr>
                <w:rFonts w:hint="eastAsia"/>
                <w:szCs w:val="21"/>
                <w:highlight w:val="none"/>
              </w:rPr>
              <w:t>评标方法</w:t>
            </w:r>
          </w:p>
        </w:tc>
        <w:tc>
          <w:tcPr>
            <w:tcW w:w="7165" w:type="dxa"/>
          </w:tcPr>
          <w:p>
            <w:pPr>
              <w:spacing w:line="360" w:lineRule="auto"/>
              <w:rPr>
                <w:szCs w:val="21"/>
                <w:highlight w:val="none"/>
              </w:rPr>
            </w:pPr>
            <w:r>
              <w:rPr>
                <w:rFonts w:hint="eastAsia"/>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46" w:hRule="atLeast"/>
        </w:trPr>
        <w:tc>
          <w:tcPr>
            <w:tcW w:w="1668" w:type="dxa"/>
          </w:tcPr>
          <w:p>
            <w:pPr>
              <w:spacing w:after="60" w:line="360" w:lineRule="auto"/>
              <w:rPr>
                <w:rFonts w:ascii="宋体" w:hAnsi="宋体"/>
                <w:kern w:val="0"/>
                <w:szCs w:val="21"/>
                <w:highlight w:val="none"/>
              </w:rPr>
            </w:pPr>
            <w:r>
              <w:rPr>
                <w:rFonts w:hint="eastAsia" w:ascii="宋体" w:hAnsi="宋体"/>
                <w:kern w:val="0"/>
                <w:szCs w:val="21"/>
                <w:highlight w:val="none"/>
              </w:rPr>
              <w:t>投标方式</w:t>
            </w:r>
          </w:p>
        </w:tc>
        <w:tc>
          <w:tcPr>
            <w:tcW w:w="7165" w:type="dxa"/>
          </w:tcPr>
          <w:p>
            <w:pPr>
              <w:adjustRightInd w:val="0"/>
              <w:snapToGrid w:val="0"/>
              <w:spacing w:line="280" w:lineRule="exact"/>
              <w:rPr>
                <w:rFonts w:hint="default"/>
                <w:highlight w:val="none"/>
              </w:rPr>
            </w:pPr>
            <w:r>
              <w:rPr>
                <w:rFonts w:hint="eastAsia"/>
                <w:highlight w:val="none"/>
              </w:rPr>
              <w:t>将投标文件（一式五份）密封并在投标截止时间202</w:t>
            </w:r>
            <w:r>
              <w:rPr>
                <w:rFonts w:hint="default"/>
                <w:highlight w:val="none"/>
              </w:rPr>
              <w:t>2</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22</w:t>
            </w:r>
            <w:r>
              <w:rPr>
                <w:rFonts w:hint="eastAsia"/>
                <w:highlight w:val="none"/>
              </w:rPr>
              <w:t>日下午14:30:00前送达至深圳市前海合作区</w:t>
            </w:r>
            <w:r>
              <w:rPr>
                <w:highlight w:val="none"/>
              </w:rPr>
              <w:t>前湾一路</w:t>
            </w:r>
            <w:r>
              <w:rPr>
                <w:rFonts w:hint="default"/>
                <w:highlight w:val="none"/>
              </w:rPr>
              <w:t>23号综合办公楼D105</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注：如需谈判，需半个小时内到达谈判现场。</w:t>
            </w:r>
          </w:p>
          <w:p>
            <w:pPr>
              <w:keepNext w:val="0"/>
              <w:keepLines w:val="0"/>
              <w:pageBreakBefore w:val="0"/>
              <w:widowControl w:val="0"/>
              <w:numPr>
                <w:ilvl w:val="255"/>
                <w:numId w:val="0"/>
              </w:numPr>
              <w:kinsoku/>
              <w:wordWrap/>
              <w:overflowPunct/>
              <w:topLinePunct w:val="0"/>
              <w:autoSpaceDE/>
              <w:autoSpaceDN/>
              <w:bidi w:val="0"/>
              <w:adjustRightInd/>
              <w:snapToGrid/>
              <w:spacing w:line="360" w:lineRule="auto"/>
              <w:textAlignment w:val="auto"/>
              <w:rPr>
                <w:rFonts w:hint="default" w:eastAsia="宋体"/>
                <w:highlight w:val="none"/>
                <w:lang w:val="en-US" w:eastAsia="zh-CN"/>
              </w:rPr>
            </w:pPr>
            <w:r>
              <w:rPr>
                <w:rFonts w:hint="eastAsia" w:ascii="Times New Roman" w:hAnsi="Times New Roman" w:eastAsia="宋体" w:cs="Times New Roman"/>
                <w:kern w:val="2"/>
                <w:sz w:val="21"/>
                <w:szCs w:val="24"/>
                <w:highlight w:val="none"/>
                <w:lang w:val="en-US" w:eastAsia="zh-CN" w:bidi="ar-SA"/>
              </w:rPr>
              <w:t xml:space="preserve"> 联系人：</w:t>
            </w:r>
            <w:r>
              <w:rPr>
                <w:rFonts w:hint="eastAsia"/>
                <w:szCs w:val="21"/>
                <w:highlight w:val="none"/>
              </w:rPr>
              <w:t>陈璐</w:t>
            </w:r>
            <w:r>
              <w:rPr>
                <w:rFonts w:hint="eastAsia" w:ascii="Times New Roman" w:hAnsi="Times New Roman" w:eastAsia="宋体" w:cs="Times New Roman"/>
                <w:kern w:val="2"/>
                <w:sz w:val="21"/>
                <w:szCs w:val="24"/>
                <w:highlight w:val="none"/>
                <w:lang w:val="en-US" w:eastAsia="zh-CN" w:bidi="ar-SA"/>
              </w:rPr>
              <w:t xml:space="preserve">  联系电话： </w:t>
            </w:r>
            <w:r>
              <w:rPr>
                <w:rFonts w:hint="eastAsia" w:cs="Times New Roman"/>
                <w:kern w:val="2"/>
                <w:sz w:val="21"/>
                <w:szCs w:val="24"/>
                <w:highlight w:val="none"/>
                <w:lang w:val="en-US" w:eastAsia="zh-CN" w:bidi="ar-SA"/>
              </w:rPr>
              <w:t>0</w:t>
            </w:r>
            <w:r>
              <w:rPr>
                <w:rFonts w:hint="eastAsia"/>
                <w:szCs w:val="21"/>
                <w:highlight w:val="none"/>
              </w:rPr>
              <w:t>755—36667657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55" w:hRule="atLeast"/>
        </w:trPr>
        <w:tc>
          <w:tcPr>
            <w:tcW w:w="1668" w:type="dxa"/>
          </w:tcPr>
          <w:p>
            <w:pPr>
              <w:spacing w:after="60" w:line="360" w:lineRule="auto"/>
              <w:rPr>
                <w:rFonts w:ascii="宋体" w:hAnsi="宋体"/>
                <w:kern w:val="0"/>
                <w:szCs w:val="21"/>
                <w:highlight w:val="none"/>
              </w:rPr>
            </w:pPr>
            <w:r>
              <w:rPr>
                <w:rFonts w:hint="eastAsia" w:ascii="宋体" w:hAnsi="宋体"/>
                <w:kern w:val="0"/>
                <w:szCs w:val="21"/>
                <w:highlight w:val="none"/>
              </w:rPr>
              <w:t>投标人资格要求</w:t>
            </w:r>
          </w:p>
        </w:tc>
        <w:tc>
          <w:tcPr>
            <w:tcW w:w="7165" w:type="dxa"/>
          </w:tcPr>
          <w:p>
            <w:pPr>
              <w:pStyle w:val="52"/>
              <w:rPr>
                <w:rStyle w:val="41"/>
                <w:color w:val="auto"/>
                <w:highlight w:val="none"/>
              </w:rPr>
            </w:pPr>
            <w:r>
              <w:rPr>
                <w:rStyle w:val="41"/>
                <w:rFonts w:hint="eastAsia"/>
                <w:color w:val="auto"/>
                <w:highlight w:val="none"/>
              </w:rPr>
              <w:t>1、投标人具有独立法人资格或为具有独立承担民事责任能力的其它组织（提供营业执照或事业单位法人证书等法人证明或其他证明材料复印件加盖公章，原件备查）；</w:t>
            </w:r>
          </w:p>
          <w:p>
            <w:pPr>
              <w:pStyle w:val="52"/>
              <w:rPr>
                <w:rStyle w:val="41"/>
                <w:color w:val="auto"/>
                <w:highlight w:val="none"/>
              </w:rPr>
            </w:pPr>
            <w:r>
              <w:rPr>
                <w:rStyle w:val="41"/>
                <w:rFonts w:hint="eastAsia"/>
                <w:color w:val="auto"/>
                <w:highlight w:val="none"/>
              </w:rPr>
              <w:t>2、本项目</w:t>
            </w:r>
            <w:r>
              <w:rPr>
                <w:rStyle w:val="41"/>
                <w:rFonts w:hint="eastAsia"/>
                <w:color w:val="auto"/>
                <w:highlight w:val="none"/>
                <w:lang w:eastAsia="zh-CN"/>
              </w:rPr>
              <w:t>不</w:t>
            </w:r>
            <w:r>
              <w:rPr>
                <w:rStyle w:val="41"/>
                <w:rFonts w:hint="eastAsia"/>
                <w:color w:val="auto"/>
                <w:highlight w:val="none"/>
              </w:rPr>
              <w:t>接受联合体投标；</w:t>
            </w:r>
          </w:p>
          <w:p>
            <w:pPr>
              <w:pStyle w:val="52"/>
              <w:rPr>
                <w:rStyle w:val="41"/>
                <w:color w:val="auto"/>
                <w:highlight w:val="none"/>
              </w:rPr>
            </w:pPr>
            <w:r>
              <w:rPr>
                <w:rStyle w:val="41"/>
                <w:rFonts w:hint="eastAsia"/>
                <w:color w:val="auto"/>
                <w:highlight w:val="none"/>
                <w:lang w:eastAsia="zh-CN"/>
              </w:rPr>
              <w:t>3</w:t>
            </w:r>
            <w:r>
              <w:rPr>
                <w:rStyle w:val="41"/>
                <w:rFonts w:hint="eastAsia"/>
                <w:color w:val="auto"/>
                <w:highlight w:val="none"/>
              </w:rPr>
              <w:t>、投标人近三年内（即从201</w:t>
            </w:r>
            <w:r>
              <w:rPr>
                <w:rStyle w:val="41"/>
                <w:rFonts w:hint="eastAsia"/>
                <w:color w:val="auto"/>
                <w:highlight w:val="none"/>
                <w:lang w:eastAsia="zh-CN"/>
              </w:rPr>
              <w:t>9</w:t>
            </w:r>
            <w:r>
              <w:rPr>
                <w:rStyle w:val="41"/>
                <w:rFonts w:hint="eastAsia"/>
                <w:color w:val="auto"/>
                <w:highlight w:val="none"/>
              </w:rPr>
              <w:t>年1月开始起算，供应商成立不足三年的可从成立之日起算）无行贿犯罪记录，由招标人查询。查询渠道为中国裁判文书网(http://wenshu.court.gov.cn/)；</w:t>
            </w:r>
          </w:p>
          <w:p>
            <w:pPr>
              <w:pStyle w:val="52"/>
              <w:rPr>
                <w:rStyle w:val="41"/>
                <w:color w:val="auto"/>
                <w:highlight w:val="none"/>
              </w:rPr>
            </w:pPr>
            <w:r>
              <w:rPr>
                <w:rStyle w:val="41"/>
                <w:rFonts w:hint="eastAsia"/>
                <w:color w:val="auto"/>
                <w:highlight w:val="none"/>
                <w:lang w:eastAsia="zh-CN"/>
              </w:rPr>
              <w:t>4、</w:t>
            </w:r>
            <w:r>
              <w:rPr>
                <w:rStyle w:val="41"/>
                <w:rFonts w:hint="eastAsia"/>
                <w:color w:val="auto"/>
                <w:highlight w:val="none"/>
                <w:lang w:val="en-US" w:eastAsia="zh-CN"/>
              </w:rPr>
              <w:t>本项目</w:t>
            </w:r>
            <w:r>
              <w:rPr>
                <w:rStyle w:val="41"/>
                <w:rFonts w:hint="eastAsia"/>
                <w:color w:val="auto"/>
                <w:highlight w:val="none"/>
              </w:rPr>
              <w:t>不允许转包、分包。</w:t>
            </w:r>
          </w:p>
          <w:p>
            <w:pPr>
              <w:pStyle w:val="52"/>
              <w:rPr>
                <w:color w:val="auto"/>
                <w:highlight w:val="none"/>
              </w:rPr>
            </w:pPr>
            <w:r>
              <w:rPr>
                <w:rStyle w:val="41"/>
                <w:rFonts w:hint="eastAsia"/>
                <w:color w:val="auto"/>
                <w:highlight w:val="none"/>
              </w:rPr>
              <w:t>【注：采购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tc>
      </w:tr>
      <w:tr>
        <w:trPr>
          <w:cantSplit/>
          <w:trHeight w:val="20" w:hRule="atLeast"/>
        </w:trPr>
        <w:tc>
          <w:tcPr>
            <w:tcW w:w="1668" w:type="dxa"/>
          </w:tcPr>
          <w:p>
            <w:pPr>
              <w:spacing w:after="60" w:line="360" w:lineRule="auto"/>
              <w:rPr>
                <w:rFonts w:ascii="宋体" w:hAnsi="宋体"/>
                <w:kern w:val="0"/>
                <w:szCs w:val="21"/>
                <w:highlight w:val="none"/>
              </w:rPr>
            </w:pPr>
            <w:r>
              <w:rPr>
                <w:rFonts w:hint="eastAsia"/>
                <w:highlight w:val="none"/>
              </w:rPr>
              <w:t>投标报价要求</w:t>
            </w:r>
          </w:p>
        </w:tc>
        <w:tc>
          <w:tcPr>
            <w:tcW w:w="7165" w:type="dxa"/>
          </w:tcPr>
          <w:p>
            <w:pPr>
              <w:adjustRightInd w:val="0"/>
              <w:snapToGrid w:val="0"/>
              <w:spacing w:before="78" w:beforeLines="25" w:after="78" w:afterLines="25" w:line="360" w:lineRule="auto"/>
              <w:jc w:val="left"/>
              <w:rPr>
                <w:rFonts w:cs="Arial"/>
                <w:szCs w:val="21"/>
                <w:highlight w:val="none"/>
              </w:rPr>
            </w:pPr>
            <w:r>
              <w:rPr>
                <w:rStyle w:val="41"/>
                <w:rFonts w:hint="eastAsia"/>
                <w:highlight w:val="none"/>
              </w:rPr>
              <w:t>本次投标为总价包干，投标报价包括了投标人完成本招标项目而发生的全部费用，包括调研费、</w:t>
            </w:r>
            <w:r>
              <w:rPr>
                <w:rStyle w:val="41"/>
                <w:rFonts w:hint="eastAsia"/>
                <w:highlight w:val="none"/>
                <w:lang w:eastAsia="zh-CN"/>
              </w:rPr>
              <w:t>监测费、交通费、</w:t>
            </w:r>
            <w:r>
              <w:rPr>
                <w:rStyle w:val="41"/>
                <w:rFonts w:hint="eastAsia"/>
                <w:highlight w:val="none"/>
              </w:rPr>
              <w:t>中标服务费、各种资料费、保险、税金、会议评审、广告宣传、公开展示、公众咨询等所有费用，并提供合同要求的成果文件，以及其它相关服务的全部费用。</w:t>
            </w:r>
          </w:p>
        </w:tc>
      </w:tr>
      <w:tr>
        <w:trPr>
          <w:cantSplit/>
          <w:trHeight w:val="20" w:hRule="atLeast"/>
        </w:trPr>
        <w:tc>
          <w:tcPr>
            <w:tcW w:w="1668" w:type="dxa"/>
          </w:tcPr>
          <w:p>
            <w:pPr>
              <w:spacing w:after="60" w:line="360" w:lineRule="auto"/>
              <w:rPr>
                <w:rFonts w:ascii="宋体" w:hAnsi="宋体"/>
                <w:kern w:val="0"/>
                <w:szCs w:val="21"/>
                <w:highlight w:val="none"/>
              </w:rPr>
            </w:pPr>
            <w:r>
              <w:rPr>
                <w:rFonts w:hint="eastAsia" w:ascii="宋体" w:hAnsi="宋体"/>
                <w:kern w:val="0"/>
                <w:szCs w:val="21"/>
                <w:highlight w:val="none"/>
              </w:rPr>
              <w:t>联系方式</w:t>
            </w:r>
          </w:p>
        </w:tc>
        <w:tc>
          <w:tcPr>
            <w:tcW w:w="7165" w:type="dxa"/>
          </w:tcPr>
          <w:p>
            <w:pPr>
              <w:spacing w:after="60"/>
              <w:rPr>
                <w:rFonts w:ascii="宋体" w:hAnsi="宋体"/>
                <w:kern w:val="0"/>
                <w:szCs w:val="21"/>
                <w:highlight w:val="none"/>
              </w:rPr>
            </w:pPr>
            <w:r>
              <w:rPr>
                <w:rFonts w:hint="eastAsia" w:ascii="宋体" w:hAnsi="宋体"/>
                <w:kern w:val="0"/>
                <w:szCs w:val="21"/>
                <w:highlight w:val="none"/>
              </w:rPr>
              <w:t>招标人信息：</w:t>
            </w:r>
          </w:p>
          <w:p>
            <w:pPr>
              <w:spacing w:after="60"/>
              <w:rPr>
                <w:rFonts w:ascii="宋体" w:hAnsi="宋体"/>
                <w:kern w:val="0"/>
                <w:szCs w:val="21"/>
                <w:highlight w:val="none"/>
              </w:rPr>
            </w:pPr>
            <w:r>
              <w:rPr>
                <w:rFonts w:hint="eastAsia" w:ascii="宋体" w:hAnsi="宋体"/>
                <w:kern w:val="0"/>
                <w:szCs w:val="21"/>
                <w:highlight w:val="none"/>
              </w:rPr>
              <w:t>名</w:t>
            </w:r>
            <w:r>
              <w:rPr>
                <w:rFonts w:ascii="宋体" w:hAnsi="宋体"/>
                <w:kern w:val="0"/>
                <w:szCs w:val="21"/>
                <w:highlight w:val="none"/>
              </w:rPr>
              <w:t xml:space="preserve">      </w:t>
            </w:r>
            <w:r>
              <w:rPr>
                <w:rFonts w:hint="eastAsia" w:ascii="宋体" w:hAnsi="宋体"/>
                <w:kern w:val="0"/>
                <w:szCs w:val="21"/>
                <w:highlight w:val="none"/>
              </w:rPr>
              <w:t>称：</w:t>
            </w:r>
            <w:r>
              <w:rPr>
                <w:rFonts w:ascii="宋体" w:hAnsi="宋体"/>
                <w:kern w:val="0"/>
                <w:szCs w:val="21"/>
                <w:highlight w:val="none"/>
              </w:rPr>
              <w:t xml:space="preserve"> </w:t>
            </w:r>
            <w:r>
              <w:rPr>
                <w:rFonts w:hint="eastAsia" w:ascii="宋体" w:hAnsi="宋体"/>
                <w:kern w:val="0"/>
                <w:szCs w:val="21"/>
                <w:highlight w:val="none"/>
              </w:rPr>
              <w:t>深圳市前海深港现代服务业合作区管理局</w:t>
            </w:r>
          </w:p>
          <w:p>
            <w:pPr>
              <w:spacing w:after="60"/>
              <w:rPr>
                <w:rFonts w:ascii="宋体" w:hAnsi="宋体"/>
                <w:kern w:val="0"/>
                <w:szCs w:val="21"/>
                <w:highlight w:val="none"/>
              </w:rPr>
            </w:pPr>
            <w:r>
              <w:rPr>
                <w:rFonts w:hint="eastAsia" w:ascii="宋体" w:hAnsi="宋体"/>
                <w:kern w:val="0"/>
                <w:szCs w:val="21"/>
                <w:highlight w:val="none"/>
              </w:rPr>
              <w:t>联</w:t>
            </w:r>
            <w:r>
              <w:rPr>
                <w:rFonts w:ascii="宋体" w:hAnsi="宋体"/>
                <w:kern w:val="0"/>
                <w:szCs w:val="21"/>
                <w:highlight w:val="none"/>
              </w:rPr>
              <w:t xml:space="preserve">  </w:t>
            </w:r>
            <w:r>
              <w:rPr>
                <w:rFonts w:hint="eastAsia" w:ascii="宋体" w:hAnsi="宋体"/>
                <w:kern w:val="0"/>
                <w:szCs w:val="21"/>
                <w:highlight w:val="none"/>
              </w:rPr>
              <w:t>系</w:t>
            </w:r>
            <w:r>
              <w:rPr>
                <w:rFonts w:ascii="宋体" w:hAnsi="宋体"/>
                <w:kern w:val="0"/>
                <w:szCs w:val="21"/>
                <w:highlight w:val="none"/>
              </w:rPr>
              <w:t xml:space="preserve">  </w:t>
            </w:r>
            <w:r>
              <w:rPr>
                <w:rFonts w:hint="eastAsia" w:ascii="宋体" w:hAnsi="宋体"/>
                <w:kern w:val="0"/>
                <w:szCs w:val="21"/>
                <w:highlight w:val="none"/>
              </w:rPr>
              <w:t>人：</w:t>
            </w:r>
            <w:r>
              <w:rPr>
                <w:rFonts w:ascii="宋体" w:hAnsi="宋体"/>
                <w:kern w:val="0"/>
                <w:szCs w:val="21"/>
                <w:highlight w:val="none"/>
              </w:rPr>
              <w:t xml:space="preserve"> </w:t>
            </w:r>
            <w:r>
              <w:rPr>
                <w:rFonts w:hint="eastAsia" w:ascii="宋体" w:hAnsi="宋体"/>
                <w:kern w:val="0"/>
                <w:szCs w:val="21"/>
                <w:highlight w:val="none"/>
                <w:lang w:val="en-US" w:eastAsia="zh-CN"/>
              </w:rPr>
              <w:t>陈璐</w:t>
            </w:r>
            <w:r>
              <w:rPr>
                <w:rFonts w:hint="eastAsia" w:ascii="宋体" w:hAnsi="宋体"/>
                <w:kern w:val="0"/>
                <w:szCs w:val="21"/>
                <w:highlight w:val="none"/>
              </w:rPr>
              <w:t xml:space="preserve"> </w:t>
            </w:r>
          </w:p>
          <w:p>
            <w:pPr>
              <w:spacing w:after="60"/>
              <w:rPr>
                <w:rFonts w:hint="eastAsia"/>
                <w:szCs w:val="21"/>
                <w:highlight w:val="none"/>
              </w:rPr>
            </w:pPr>
            <w:r>
              <w:rPr>
                <w:rFonts w:hint="eastAsia" w:ascii="宋体" w:hAnsi="宋体"/>
                <w:kern w:val="0"/>
                <w:szCs w:val="21"/>
                <w:highlight w:val="none"/>
              </w:rPr>
              <w:t>电</w:t>
            </w:r>
            <w:r>
              <w:rPr>
                <w:rFonts w:ascii="宋体" w:hAnsi="宋体"/>
                <w:kern w:val="0"/>
                <w:szCs w:val="21"/>
                <w:highlight w:val="none"/>
              </w:rPr>
              <w:t xml:space="preserve">      </w:t>
            </w:r>
            <w:r>
              <w:rPr>
                <w:rFonts w:hint="eastAsia" w:ascii="宋体" w:hAnsi="宋体"/>
                <w:kern w:val="0"/>
                <w:szCs w:val="21"/>
                <w:highlight w:val="none"/>
              </w:rPr>
              <w:t>话：</w:t>
            </w:r>
            <w:r>
              <w:rPr>
                <w:rFonts w:ascii="宋体" w:hAnsi="宋体"/>
                <w:kern w:val="0"/>
                <w:szCs w:val="21"/>
                <w:highlight w:val="none"/>
              </w:rPr>
              <w:t xml:space="preserve"> </w:t>
            </w:r>
            <w:r>
              <w:rPr>
                <w:rFonts w:hint="eastAsia"/>
                <w:szCs w:val="21"/>
                <w:highlight w:val="none"/>
              </w:rPr>
              <w:t>0755—36667657</w:t>
            </w:r>
          </w:p>
          <w:p>
            <w:pPr>
              <w:spacing w:after="60"/>
              <w:rPr>
                <w:rFonts w:ascii="宋体" w:hAnsi="宋体"/>
                <w:kern w:val="0"/>
                <w:szCs w:val="21"/>
                <w:highlight w:val="none"/>
              </w:rPr>
            </w:pPr>
            <w:r>
              <w:rPr>
                <w:rFonts w:hint="eastAsia" w:ascii="宋体" w:hAnsi="宋体"/>
                <w:kern w:val="0"/>
                <w:szCs w:val="21"/>
                <w:highlight w:val="none"/>
              </w:rPr>
              <w:t>采购代理机构信息：</w:t>
            </w:r>
          </w:p>
          <w:p>
            <w:pPr>
              <w:spacing w:after="60"/>
              <w:rPr>
                <w:rFonts w:ascii="宋体" w:hAnsi="宋体"/>
                <w:kern w:val="0"/>
                <w:szCs w:val="21"/>
                <w:highlight w:val="none"/>
              </w:rPr>
            </w:pPr>
            <w:r>
              <w:rPr>
                <w:rFonts w:hint="eastAsia" w:ascii="宋体" w:hAnsi="宋体"/>
                <w:kern w:val="0"/>
                <w:szCs w:val="21"/>
                <w:highlight w:val="none"/>
              </w:rPr>
              <w:t>名</w:t>
            </w:r>
            <w:r>
              <w:rPr>
                <w:rFonts w:ascii="宋体" w:hAnsi="宋体"/>
                <w:kern w:val="0"/>
                <w:szCs w:val="21"/>
                <w:highlight w:val="none"/>
              </w:rPr>
              <w:t xml:space="preserve">      称： </w:t>
            </w:r>
            <w:r>
              <w:rPr>
                <w:rFonts w:hint="eastAsia" w:ascii="宋体" w:hAnsi="宋体"/>
                <w:kern w:val="0"/>
                <w:szCs w:val="21"/>
                <w:highlight w:val="none"/>
                <w:u w:val="single"/>
              </w:rPr>
              <w:t>友和保险经纪有限公司</w:t>
            </w:r>
          </w:p>
          <w:p>
            <w:pPr>
              <w:spacing w:after="60"/>
              <w:rPr>
                <w:rFonts w:ascii="宋体" w:hAnsi="宋体"/>
                <w:kern w:val="0"/>
                <w:szCs w:val="21"/>
                <w:highlight w:val="none"/>
              </w:rPr>
            </w:pPr>
            <w:r>
              <w:rPr>
                <w:rFonts w:hint="eastAsia" w:ascii="宋体" w:hAnsi="宋体"/>
                <w:kern w:val="0"/>
                <w:szCs w:val="21"/>
                <w:highlight w:val="none"/>
              </w:rPr>
              <w:t>地</w:t>
            </w:r>
            <w:r>
              <w:rPr>
                <w:rFonts w:ascii="宋体" w:hAnsi="宋体"/>
                <w:kern w:val="0"/>
                <w:szCs w:val="21"/>
                <w:highlight w:val="none"/>
              </w:rPr>
              <w:t xml:space="preserve">      址： </w:t>
            </w:r>
            <w:r>
              <w:rPr>
                <w:rFonts w:hint="eastAsia" w:ascii="宋体" w:hAnsi="宋体"/>
                <w:kern w:val="0"/>
                <w:szCs w:val="21"/>
                <w:highlight w:val="none"/>
                <w:u w:val="single"/>
              </w:rPr>
              <w:t>深圳市福田区福强路</w:t>
            </w:r>
            <w:r>
              <w:rPr>
                <w:rFonts w:ascii="宋体" w:hAnsi="宋体"/>
                <w:kern w:val="0"/>
                <w:szCs w:val="21"/>
                <w:highlight w:val="none"/>
                <w:u w:val="single"/>
              </w:rPr>
              <w:t>3030号福田体育公园西北角友和招标代理服务中心（靠近北门）</w:t>
            </w:r>
          </w:p>
          <w:p>
            <w:pPr>
              <w:spacing w:after="60"/>
              <w:rPr>
                <w:rFonts w:ascii="宋体" w:hAnsi="宋体"/>
                <w:kern w:val="0"/>
                <w:szCs w:val="21"/>
                <w:highlight w:val="none"/>
              </w:rPr>
            </w:pPr>
            <w:r>
              <w:rPr>
                <w:rFonts w:hint="eastAsia" w:ascii="宋体" w:hAnsi="宋体"/>
                <w:kern w:val="0"/>
                <w:szCs w:val="21"/>
                <w:highlight w:val="none"/>
              </w:rPr>
              <w:t>联</w:t>
            </w:r>
            <w:r>
              <w:rPr>
                <w:rFonts w:ascii="宋体" w:hAnsi="宋体"/>
                <w:kern w:val="0"/>
                <w:szCs w:val="21"/>
                <w:highlight w:val="none"/>
              </w:rPr>
              <w:t xml:space="preserve">  </w:t>
            </w:r>
            <w:r>
              <w:rPr>
                <w:rFonts w:hint="eastAsia" w:ascii="宋体" w:hAnsi="宋体"/>
                <w:kern w:val="0"/>
                <w:szCs w:val="21"/>
                <w:highlight w:val="none"/>
              </w:rPr>
              <w:t>系</w:t>
            </w:r>
            <w:r>
              <w:rPr>
                <w:rFonts w:ascii="宋体" w:hAnsi="宋体"/>
                <w:kern w:val="0"/>
                <w:szCs w:val="21"/>
                <w:highlight w:val="none"/>
              </w:rPr>
              <w:t xml:space="preserve">  </w:t>
            </w:r>
            <w:r>
              <w:rPr>
                <w:rFonts w:hint="eastAsia" w:ascii="宋体" w:hAnsi="宋体"/>
                <w:kern w:val="0"/>
                <w:szCs w:val="21"/>
                <w:highlight w:val="none"/>
              </w:rPr>
              <w:t>人：</w:t>
            </w:r>
            <w:r>
              <w:rPr>
                <w:rFonts w:hint="eastAsia" w:ascii="宋体" w:hAnsi="宋体"/>
                <w:kern w:val="0"/>
                <w:szCs w:val="21"/>
                <w:highlight w:val="none"/>
                <w:lang w:val="en-US" w:eastAsia="zh-CN"/>
              </w:rPr>
              <w:t>吴倩娴</w:t>
            </w:r>
            <w:r>
              <w:rPr>
                <w:rFonts w:hint="eastAsia" w:ascii="宋体" w:hAnsi="宋体"/>
                <w:kern w:val="0"/>
                <w:szCs w:val="21"/>
                <w:highlight w:val="none"/>
              </w:rPr>
              <w:t xml:space="preserve"> </w:t>
            </w:r>
          </w:p>
          <w:p>
            <w:pPr>
              <w:spacing w:line="360" w:lineRule="auto"/>
              <w:rPr>
                <w:rFonts w:ascii="宋体" w:hAnsi="宋体"/>
                <w:szCs w:val="21"/>
                <w:highlight w:val="none"/>
              </w:rPr>
            </w:pPr>
            <w:r>
              <w:rPr>
                <w:rFonts w:hint="eastAsia" w:ascii="宋体" w:hAnsi="宋体"/>
                <w:kern w:val="0"/>
                <w:szCs w:val="21"/>
                <w:highlight w:val="none"/>
              </w:rPr>
              <w:t>电</w:t>
            </w:r>
            <w:r>
              <w:rPr>
                <w:rFonts w:ascii="宋体" w:hAnsi="宋体"/>
                <w:kern w:val="0"/>
                <w:szCs w:val="21"/>
                <w:highlight w:val="none"/>
              </w:rPr>
              <w:t xml:space="preserve">      </w:t>
            </w:r>
            <w:r>
              <w:rPr>
                <w:rFonts w:hint="eastAsia" w:ascii="宋体" w:hAnsi="宋体"/>
                <w:kern w:val="0"/>
                <w:szCs w:val="21"/>
                <w:highlight w:val="none"/>
              </w:rPr>
              <w:t>话：</w:t>
            </w:r>
            <w:r>
              <w:rPr>
                <w:rFonts w:ascii="宋体" w:hAnsi="宋体"/>
                <w:kern w:val="0"/>
                <w:szCs w:val="21"/>
                <w:highlight w:val="none"/>
                <w:u w:val="single"/>
              </w:rPr>
              <w:t xml:space="preserve"> </w:t>
            </w:r>
            <w:r>
              <w:rPr>
                <w:rFonts w:hint="eastAsia" w:ascii="宋体" w:hAnsi="宋体"/>
                <w:kern w:val="0"/>
                <w:szCs w:val="21"/>
                <w:highlight w:val="none"/>
                <w:u w:val="single"/>
              </w:rPr>
              <w:t>0755-83881283</w:t>
            </w:r>
          </w:p>
        </w:tc>
      </w:tr>
    </w:tbl>
    <w:p>
      <w:pPr>
        <w:adjustRightInd w:val="0"/>
        <w:snapToGrid w:val="0"/>
        <w:spacing w:line="360" w:lineRule="auto"/>
        <w:ind w:firstLine="420" w:firstLineChars="200"/>
        <w:jc w:val="right"/>
        <w:rPr>
          <w:szCs w:val="21"/>
          <w:highlight w:val="none"/>
        </w:rPr>
      </w:pPr>
    </w:p>
    <w:p>
      <w:pPr>
        <w:adjustRightInd w:val="0"/>
        <w:snapToGrid w:val="0"/>
        <w:spacing w:line="360" w:lineRule="auto"/>
        <w:ind w:firstLine="420" w:firstLineChars="200"/>
        <w:jc w:val="right"/>
        <w:rPr>
          <w:szCs w:val="21"/>
          <w:highlight w:val="none"/>
        </w:rPr>
      </w:pPr>
    </w:p>
    <w:p>
      <w:pPr>
        <w:adjustRightInd w:val="0"/>
        <w:snapToGrid w:val="0"/>
        <w:spacing w:line="360" w:lineRule="auto"/>
        <w:ind w:firstLine="420" w:firstLineChars="200"/>
        <w:jc w:val="right"/>
        <w:rPr>
          <w:rFonts w:ascii="宋体" w:hAnsi="宋体"/>
          <w:szCs w:val="21"/>
          <w:highlight w:val="none"/>
        </w:rPr>
      </w:pPr>
      <w:r>
        <w:rPr>
          <w:rFonts w:hint="eastAsia"/>
          <w:szCs w:val="21"/>
          <w:highlight w:val="none"/>
        </w:rPr>
        <w:t>深圳市前海深港现代服务业合作区管理局</w:t>
      </w:r>
    </w:p>
    <w:p>
      <w:pPr>
        <w:wordWrap w:val="0"/>
        <w:adjustRightInd w:val="0"/>
        <w:snapToGrid w:val="0"/>
        <w:spacing w:line="360" w:lineRule="auto"/>
        <w:ind w:firstLine="420" w:firstLineChars="200"/>
        <w:jc w:val="right"/>
        <w:rPr>
          <w:rFonts w:ascii="宋体" w:hAnsi="宋体"/>
          <w:szCs w:val="21"/>
          <w:highlight w:val="none"/>
        </w:rPr>
      </w:pPr>
      <w:r>
        <w:rPr>
          <w:rFonts w:ascii="宋体" w:hAnsi="宋体"/>
          <w:szCs w:val="21"/>
          <w:highlight w:val="none"/>
        </w:rPr>
        <w:t>202</w:t>
      </w:r>
      <w:r>
        <w:rPr>
          <w:rFonts w:hint="eastAsia" w:ascii="宋体" w:hAnsi="宋体"/>
          <w:szCs w:val="21"/>
          <w:highlight w:val="none"/>
          <w:lang w:val="en-US" w:eastAsia="zh-CN"/>
        </w:rPr>
        <w:t>2</w:t>
      </w:r>
      <w:r>
        <w:rPr>
          <w:rFonts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r>
        <w:rPr>
          <w:rFonts w:hint="eastAsia" w:ascii="宋体" w:hAnsi="宋体"/>
          <w:szCs w:val="21"/>
          <w:highlight w:val="none"/>
          <w:lang w:val="en-US" w:eastAsia="zh-CN"/>
        </w:rPr>
        <w:t>1</w:t>
      </w:r>
      <w:r>
        <w:rPr>
          <w:rFonts w:hint="default" w:ascii="宋体" w:hAnsi="宋体"/>
          <w:szCs w:val="21"/>
          <w:highlight w:val="none"/>
          <w:lang w:eastAsia="zh-CN"/>
        </w:rPr>
        <w:t>4</w:t>
      </w:r>
      <w:r>
        <w:rPr>
          <w:rFonts w:hint="eastAsia" w:ascii="宋体" w:hAnsi="宋体"/>
          <w:szCs w:val="21"/>
          <w:highlight w:val="none"/>
        </w:rPr>
        <w:t>日</w:t>
      </w:r>
    </w:p>
    <w:p>
      <w:pPr>
        <w:adjustRightInd w:val="0"/>
        <w:snapToGrid w:val="0"/>
        <w:spacing w:line="360" w:lineRule="auto"/>
        <w:ind w:firstLine="480" w:firstLineChars="200"/>
        <w:jc w:val="right"/>
        <w:rPr>
          <w:rFonts w:ascii="宋体" w:hAnsi="宋体"/>
          <w:sz w:val="24"/>
          <w:highlight w:val="none"/>
        </w:rPr>
      </w:pPr>
    </w:p>
    <w:p>
      <w:pPr>
        <w:adjustRightInd w:val="0"/>
        <w:snapToGrid w:val="0"/>
        <w:spacing w:line="360" w:lineRule="auto"/>
        <w:ind w:firstLine="480" w:firstLineChars="200"/>
        <w:jc w:val="right"/>
        <w:rPr>
          <w:rFonts w:ascii="宋体" w:hAnsi="宋体"/>
          <w:sz w:val="24"/>
          <w:highlight w:val="none"/>
        </w:rPr>
      </w:pPr>
    </w:p>
    <w:p>
      <w:pPr>
        <w:adjustRightInd w:val="0"/>
        <w:snapToGrid w:val="0"/>
        <w:spacing w:line="360" w:lineRule="auto"/>
        <w:ind w:firstLine="480" w:firstLineChars="200"/>
        <w:jc w:val="right"/>
        <w:rPr>
          <w:rFonts w:ascii="宋体" w:hAnsi="宋体"/>
          <w:sz w:val="24"/>
          <w:highlight w:val="none"/>
        </w:rPr>
      </w:pPr>
    </w:p>
    <w:p>
      <w:pPr>
        <w:jc w:val="left"/>
        <w:rPr>
          <w:b/>
          <w:bCs/>
          <w:sz w:val="32"/>
          <w:highlight w:val="none"/>
        </w:rPr>
      </w:pPr>
      <w:r>
        <w:rPr>
          <w:rFonts w:hint="eastAsia"/>
          <w:b/>
          <w:bCs/>
          <w:sz w:val="32"/>
          <w:highlight w:val="none"/>
        </w:rPr>
        <w:br w:type="page"/>
      </w:r>
    </w:p>
    <w:p>
      <w:pPr>
        <w:spacing w:line="360" w:lineRule="auto"/>
        <w:jc w:val="center"/>
        <w:rPr>
          <w:b/>
          <w:bCs/>
          <w:sz w:val="32"/>
          <w:highlight w:val="none"/>
        </w:rPr>
      </w:pPr>
      <w:r>
        <w:rPr>
          <w:rFonts w:hint="eastAsia"/>
          <w:b/>
          <w:bCs/>
          <w:sz w:val="32"/>
          <w:highlight w:val="none"/>
        </w:rPr>
        <w:t>投标文件初审表</w:t>
      </w:r>
    </w:p>
    <w:p>
      <w:pPr>
        <w:jc w:val="center"/>
        <w:rPr>
          <w:b/>
          <w:highlight w:val="none"/>
        </w:rPr>
      </w:pPr>
      <w:r>
        <w:rPr>
          <w:rFonts w:hint="eastAsia"/>
          <w:b/>
          <w:highlight w:val="none"/>
        </w:rPr>
        <w:t>（凡有下列情形之一的，投标文件无效，投标作废标处理）</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7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tcPr>
          <w:p>
            <w:pPr>
              <w:jc w:val="center"/>
              <w:rPr>
                <w:highlight w:val="none"/>
              </w:rPr>
            </w:pPr>
            <w:r>
              <w:rPr>
                <w:rFonts w:hint="eastAsia"/>
                <w:highlight w:val="none"/>
              </w:rPr>
              <w:t>资格性检查表</w:t>
            </w:r>
          </w:p>
        </w:tc>
      </w:tr>
      <w:tr>
        <w:tc>
          <w:tcPr>
            <w:tcW w:w="935" w:type="dxa"/>
            <w:vAlign w:val="center"/>
          </w:tcPr>
          <w:p>
            <w:pPr>
              <w:jc w:val="center"/>
              <w:rPr>
                <w:highlight w:val="none"/>
              </w:rPr>
            </w:pPr>
            <w:r>
              <w:rPr>
                <w:highlight w:val="none"/>
              </w:rPr>
              <w:t>1</w:t>
            </w:r>
          </w:p>
        </w:tc>
        <w:tc>
          <w:tcPr>
            <w:tcW w:w="7594" w:type="dxa"/>
          </w:tcPr>
          <w:p>
            <w:pPr>
              <w:rPr>
                <w:highlight w:val="none"/>
              </w:rPr>
            </w:pPr>
            <w:r>
              <w:rPr>
                <w:rFonts w:hint="eastAsia"/>
                <w:highlight w:val="none"/>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vAlign w:val="center"/>
          </w:tcPr>
          <w:p>
            <w:pPr>
              <w:jc w:val="center"/>
              <w:rPr>
                <w:highlight w:val="none"/>
              </w:rPr>
            </w:pPr>
            <w:r>
              <w:rPr>
                <w:rFonts w:hint="eastAsia"/>
                <w:highlight w:val="none"/>
              </w:rPr>
              <w:t>符合性检查表</w:t>
            </w:r>
          </w:p>
        </w:tc>
      </w:tr>
      <w:tr>
        <w:tc>
          <w:tcPr>
            <w:tcW w:w="935" w:type="dxa"/>
            <w:vAlign w:val="center"/>
          </w:tcPr>
          <w:p>
            <w:pPr>
              <w:jc w:val="center"/>
              <w:rPr>
                <w:highlight w:val="none"/>
              </w:rPr>
            </w:pPr>
            <w:r>
              <w:rPr>
                <w:highlight w:val="none"/>
              </w:rPr>
              <w:t>2</w:t>
            </w:r>
          </w:p>
        </w:tc>
        <w:tc>
          <w:tcPr>
            <w:tcW w:w="7594" w:type="dxa"/>
            <w:vAlign w:val="center"/>
          </w:tcPr>
          <w:p>
            <w:pPr>
              <w:rPr>
                <w:highlight w:val="none"/>
              </w:rPr>
            </w:pPr>
            <w:r>
              <w:rPr>
                <w:rFonts w:hint="eastAsia"/>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highlight w:val="none"/>
              </w:rPr>
              <w:t>3</w:t>
            </w:r>
          </w:p>
        </w:tc>
        <w:tc>
          <w:tcPr>
            <w:tcW w:w="7594" w:type="dxa"/>
            <w:vAlign w:val="center"/>
          </w:tcPr>
          <w:p>
            <w:pPr>
              <w:rPr>
                <w:highlight w:val="none"/>
              </w:rPr>
            </w:pPr>
            <w:r>
              <w:rPr>
                <w:rFonts w:hint="eastAsia"/>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highlight w:val="none"/>
              </w:rPr>
              <w:t>4</w:t>
            </w:r>
          </w:p>
        </w:tc>
        <w:tc>
          <w:tcPr>
            <w:tcW w:w="7594" w:type="dxa"/>
            <w:vAlign w:val="center"/>
          </w:tcPr>
          <w:p>
            <w:pPr>
              <w:rPr>
                <w:highlight w:val="none"/>
              </w:rPr>
            </w:pPr>
            <w:r>
              <w:rPr>
                <w:rFonts w:hint="eastAsia"/>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highlight w:val="none"/>
              </w:rPr>
              <w:t>5</w:t>
            </w:r>
          </w:p>
        </w:tc>
        <w:tc>
          <w:tcPr>
            <w:tcW w:w="7594" w:type="dxa"/>
            <w:vAlign w:val="center"/>
          </w:tcPr>
          <w:p>
            <w:pPr>
              <w:rPr>
                <w:highlight w:val="none"/>
              </w:rPr>
            </w:pPr>
            <w:r>
              <w:rPr>
                <w:szCs w:val="21"/>
                <w:highlight w:val="none"/>
              </w:rPr>
              <w:t>分项报价或投标总价高于预算金额（最高投标限价）的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rFonts w:hint="eastAsia"/>
                <w:highlight w:val="none"/>
              </w:rPr>
              <w:t>6</w:t>
            </w:r>
          </w:p>
        </w:tc>
        <w:tc>
          <w:tcPr>
            <w:tcW w:w="7594" w:type="dxa"/>
            <w:vAlign w:val="center"/>
          </w:tcPr>
          <w:p>
            <w:pPr>
              <w:rPr>
                <w:highlight w:val="none"/>
              </w:rPr>
            </w:pPr>
            <w:r>
              <w:rPr>
                <w:rFonts w:hint="eastAsia"/>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highlight w:val="none"/>
              </w:rPr>
              <w:t>7</w:t>
            </w:r>
          </w:p>
        </w:tc>
        <w:tc>
          <w:tcPr>
            <w:tcW w:w="7594" w:type="dxa"/>
            <w:vAlign w:val="center"/>
          </w:tcPr>
          <w:p>
            <w:pPr>
              <w:rPr>
                <w:highlight w:val="none"/>
              </w:rPr>
            </w:pPr>
            <w:r>
              <w:rPr>
                <w:szCs w:val="21"/>
                <w:highlight w:val="none"/>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highlight w:val="none"/>
              </w:rPr>
              <w:t>8</w:t>
            </w:r>
          </w:p>
        </w:tc>
        <w:tc>
          <w:tcPr>
            <w:tcW w:w="7594" w:type="dxa"/>
            <w:vAlign w:val="center"/>
          </w:tcPr>
          <w:p>
            <w:pPr>
              <w:rPr>
                <w:highlight w:val="none"/>
              </w:rPr>
            </w:pPr>
            <w:r>
              <w:rPr>
                <w:rFonts w:hint="eastAsia"/>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rFonts w:hint="eastAsia"/>
                <w:highlight w:val="none"/>
              </w:rPr>
              <w:t>9</w:t>
            </w:r>
          </w:p>
        </w:tc>
        <w:tc>
          <w:tcPr>
            <w:tcW w:w="7594" w:type="dxa"/>
            <w:vAlign w:val="center"/>
          </w:tcPr>
          <w:p>
            <w:pPr>
              <w:rPr>
                <w:highlight w:val="none"/>
              </w:rPr>
            </w:pPr>
            <w:r>
              <w:rPr>
                <w:rFonts w:hint="eastAsia"/>
                <w:highlight w:val="none"/>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rFonts w:hint="eastAsia"/>
                <w:highlight w:val="none"/>
              </w:rPr>
              <w:t>10</w:t>
            </w:r>
          </w:p>
        </w:tc>
        <w:tc>
          <w:tcPr>
            <w:tcW w:w="7594" w:type="dxa"/>
            <w:vAlign w:val="center"/>
          </w:tcPr>
          <w:p>
            <w:pPr>
              <w:rPr>
                <w:highlight w:val="none"/>
              </w:rPr>
            </w:pPr>
            <w:r>
              <w:rPr>
                <w:rFonts w:hint="eastAsia"/>
                <w:highlight w:val="none"/>
              </w:rPr>
              <w:t>未按招标文件附件所提供的样式和要求完整填写投标文件的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rFonts w:hint="eastAsia"/>
                <w:highlight w:val="none"/>
              </w:rPr>
              <w:t>11</w:t>
            </w:r>
          </w:p>
        </w:tc>
        <w:tc>
          <w:tcPr>
            <w:tcW w:w="7594" w:type="dxa"/>
            <w:vAlign w:val="center"/>
          </w:tcPr>
          <w:p>
            <w:pPr>
              <w:rPr>
                <w:highlight w:val="none"/>
              </w:rPr>
            </w:pPr>
            <w:r>
              <w:rPr>
                <w:rFonts w:hint="eastAsia"/>
                <w:highlight w:val="none"/>
              </w:rPr>
              <w:t>是否按招标文件要求提供《用户需求响应表》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rFonts w:hint="eastAsia"/>
                <w:highlight w:val="none"/>
              </w:rPr>
              <w:t>12</w:t>
            </w:r>
          </w:p>
        </w:tc>
        <w:tc>
          <w:tcPr>
            <w:tcW w:w="7594" w:type="dxa"/>
            <w:vAlign w:val="center"/>
          </w:tcPr>
          <w:p>
            <w:pPr>
              <w:rPr>
                <w:highlight w:val="none"/>
              </w:rPr>
            </w:pPr>
            <w:r>
              <w:rPr>
                <w:rFonts w:hint="eastAsia"/>
                <w:highlight w:val="none"/>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Align w:val="center"/>
          </w:tcPr>
          <w:p>
            <w:pPr>
              <w:jc w:val="center"/>
              <w:rPr>
                <w:highlight w:val="none"/>
              </w:rPr>
            </w:pPr>
            <w:r>
              <w:rPr>
                <w:rFonts w:hint="eastAsia"/>
                <w:highlight w:val="none"/>
              </w:rPr>
              <w:t>13</w:t>
            </w:r>
          </w:p>
        </w:tc>
        <w:tc>
          <w:tcPr>
            <w:tcW w:w="7594" w:type="dxa"/>
            <w:vAlign w:val="center"/>
          </w:tcPr>
          <w:p>
            <w:pPr>
              <w:rPr>
                <w:highlight w:val="none"/>
              </w:rPr>
            </w:pPr>
            <w:r>
              <w:rPr>
                <w:rFonts w:hint="eastAsia"/>
                <w:highlight w:val="none"/>
              </w:rPr>
              <w:t>法律、法规规定的其他情形</w:t>
            </w:r>
          </w:p>
        </w:tc>
      </w:tr>
    </w:tbl>
    <w:p>
      <w:pPr>
        <w:rPr>
          <w:highlight w:val="none"/>
        </w:rPr>
      </w:pPr>
    </w:p>
    <w:p>
      <w:pPr>
        <w:spacing w:line="360" w:lineRule="auto"/>
        <w:jc w:val="center"/>
        <w:outlineLvl w:val="0"/>
        <w:rPr>
          <w:b/>
          <w:bCs/>
          <w:sz w:val="32"/>
          <w:highlight w:val="none"/>
        </w:rPr>
      </w:pPr>
      <w:r>
        <w:rPr>
          <w:rFonts w:hint="eastAsia" w:ascii="宋体" w:hAnsi="宋体"/>
          <w:sz w:val="24"/>
          <w:highlight w:val="none"/>
        </w:rPr>
        <w:br w:type="page"/>
      </w:r>
      <w:bookmarkStart w:id="8" w:name="_Toc30582"/>
      <w:bookmarkStart w:id="9" w:name="_Toc51746094"/>
      <w:bookmarkStart w:id="10" w:name="_Toc83405794"/>
      <w:bookmarkStart w:id="11" w:name="_Toc86918420"/>
      <w:bookmarkStart w:id="12" w:name="_Toc9027"/>
      <w:bookmarkStart w:id="13" w:name="_Toc21711"/>
      <w:r>
        <w:rPr>
          <w:rFonts w:hint="eastAsia"/>
          <w:b/>
          <w:bCs/>
          <w:sz w:val="32"/>
          <w:highlight w:val="none"/>
        </w:rPr>
        <w:t>第二章 投标须知</w:t>
      </w:r>
      <w:bookmarkEnd w:id="8"/>
      <w:bookmarkEnd w:id="9"/>
      <w:bookmarkEnd w:id="10"/>
      <w:bookmarkEnd w:id="11"/>
      <w:bookmarkEnd w:id="12"/>
      <w:bookmarkEnd w:id="13"/>
    </w:p>
    <w:p>
      <w:pPr>
        <w:spacing w:line="360" w:lineRule="auto"/>
        <w:ind w:firstLine="420" w:firstLineChars="200"/>
        <w:rPr>
          <w:szCs w:val="21"/>
          <w:highlight w:val="none"/>
        </w:rPr>
      </w:pPr>
      <w:r>
        <w:rPr>
          <w:rFonts w:hint="eastAsia" w:ascii="宋体" w:hAnsi="宋体"/>
          <w:szCs w:val="21"/>
          <w:highlight w:val="none"/>
        </w:rPr>
        <w:t>1、本项目是深圳市前海深港现代服务业合作区管理局的</w:t>
      </w:r>
      <w:r>
        <w:rPr>
          <w:rFonts w:hint="eastAsia"/>
          <w:kern w:val="0"/>
          <w:szCs w:val="21"/>
          <w:highlight w:val="none"/>
          <w:u w:val="single"/>
          <w:lang w:eastAsia="zh-CN"/>
        </w:rPr>
        <w:t>2021年前海办公用房租金评估及租金政策评估</w:t>
      </w:r>
      <w:r>
        <w:rPr>
          <w:rFonts w:hint="eastAsia" w:ascii="宋体" w:hAnsi="宋体"/>
          <w:szCs w:val="21"/>
          <w:highlight w:val="none"/>
        </w:rPr>
        <w:t>采购项目</w:t>
      </w:r>
      <w:r>
        <w:rPr>
          <w:rFonts w:hint="eastAsia" w:ascii="宋体" w:hAnsi="宋体" w:cs="Arial"/>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2、本项目不属于深圳市20</w:t>
      </w:r>
      <w:r>
        <w:rPr>
          <w:rFonts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年集中采购目录，根据《中华人民共和国政府采购法》《深圳经济特区政府采购条例》的有关规定，深圳市前海深港现代服务业合作区管理局自行组织采购，本次采购公开征集供应商，报名且符合招标文件要求的供应商在两家或两家以上，采用综合评分法的方式进行。</w:t>
      </w:r>
      <w:r>
        <w:rPr>
          <w:rFonts w:hint="eastAsia" w:ascii="宋体" w:hAnsi="宋体"/>
          <w:szCs w:val="21"/>
          <w:highlight w:val="none"/>
          <w:lang w:val="zh-CN"/>
        </w:rPr>
        <w:t>如参与投标且符合招标文件要求的供应商仅有一家，评审委员会应与投标供应商进行谈判，原则上成交价应为最初报价的95%。</w:t>
      </w:r>
    </w:p>
    <w:p>
      <w:pPr>
        <w:spacing w:line="360" w:lineRule="auto"/>
        <w:ind w:firstLine="420" w:firstLineChars="200"/>
        <w:rPr>
          <w:rFonts w:ascii="宋体" w:hAnsi="宋体"/>
          <w:szCs w:val="21"/>
          <w:highlight w:val="none"/>
        </w:rPr>
      </w:pPr>
      <w:r>
        <w:rPr>
          <w:rFonts w:hint="eastAsia" w:ascii="宋体" w:hAnsi="宋体"/>
          <w:szCs w:val="21"/>
          <w:highlight w:val="none"/>
        </w:rPr>
        <w:t>3、本项目根据项目的实际情况，公开征集符合投标人资格的供应商。请各供应商根据本文件的要求，准备</w:t>
      </w:r>
      <w:r>
        <w:rPr>
          <w:rFonts w:hint="eastAsia" w:ascii="宋体" w:hAnsi="宋体"/>
          <w:szCs w:val="21"/>
          <w:highlight w:val="none"/>
          <w:u w:val="single"/>
        </w:rPr>
        <w:t>五套</w:t>
      </w:r>
      <w:r>
        <w:rPr>
          <w:rFonts w:hint="eastAsia" w:ascii="宋体" w:hAnsi="宋体"/>
          <w:szCs w:val="21"/>
          <w:highlight w:val="none"/>
        </w:rPr>
        <w:t>完备的纸质资料（一正四副以及电子版U盘或者电子光盘）进行投标。</w:t>
      </w:r>
    </w:p>
    <w:p>
      <w:pPr>
        <w:spacing w:line="360" w:lineRule="auto"/>
        <w:ind w:firstLine="420" w:firstLineChars="200"/>
        <w:rPr>
          <w:rFonts w:ascii="宋体" w:hAnsi="宋体"/>
          <w:szCs w:val="21"/>
          <w:highlight w:val="none"/>
        </w:rPr>
      </w:pPr>
      <w:r>
        <w:rPr>
          <w:rFonts w:hint="eastAsia" w:ascii="宋体" w:hAnsi="宋体"/>
          <w:szCs w:val="21"/>
          <w:highlight w:val="none"/>
        </w:rPr>
        <w:t>4、本招标文件已对本次采购项目的商务条件和服务的质量以及后续服务作出了明确的规定。</w:t>
      </w:r>
    </w:p>
    <w:p>
      <w:pPr>
        <w:spacing w:after="78" w:afterLines="25" w:line="360" w:lineRule="auto"/>
        <w:ind w:firstLine="420" w:firstLineChars="200"/>
        <w:rPr>
          <w:rFonts w:ascii="宋体" w:hAnsi="宋体"/>
          <w:szCs w:val="21"/>
          <w:highlight w:val="none"/>
        </w:rPr>
      </w:pPr>
      <w:r>
        <w:rPr>
          <w:rFonts w:hint="eastAsia" w:ascii="宋体" w:hAnsi="宋体"/>
          <w:szCs w:val="21"/>
          <w:highlight w:val="none"/>
        </w:rPr>
        <w:t>5、响应文件要包括如下内容：</w:t>
      </w:r>
    </w:p>
    <w:p>
      <w:pPr>
        <w:spacing w:after="78" w:afterLines="25"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投标人资格证明文件</w:t>
      </w:r>
    </w:p>
    <w:p>
      <w:pPr>
        <w:spacing w:after="78" w:afterLines="25" w:line="360" w:lineRule="auto"/>
        <w:ind w:firstLine="420" w:firstLineChars="200"/>
        <w:rPr>
          <w:rFonts w:ascii="宋体" w:hAnsi="宋体"/>
          <w:szCs w:val="21"/>
          <w:highlight w:val="none"/>
        </w:rPr>
      </w:pPr>
      <w:r>
        <w:rPr>
          <w:rFonts w:hint="eastAsia" w:ascii="宋体" w:hAnsi="宋体"/>
          <w:szCs w:val="21"/>
          <w:highlight w:val="none"/>
        </w:rPr>
        <w:t>（2）投标响应书</w:t>
      </w:r>
    </w:p>
    <w:p>
      <w:pPr>
        <w:spacing w:after="78" w:afterLines="25" w:line="360" w:lineRule="auto"/>
        <w:ind w:firstLine="420" w:firstLineChars="200"/>
        <w:rPr>
          <w:rFonts w:ascii="宋体" w:hAnsi="宋体"/>
          <w:szCs w:val="21"/>
          <w:highlight w:val="none"/>
        </w:rPr>
      </w:pPr>
      <w:r>
        <w:rPr>
          <w:rFonts w:hint="eastAsia" w:ascii="宋体" w:hAnsi="宋体"/>
          <w:szCs w:val="21"/>
          <w:highlight w:val="none"/>
        </w:rPr>
        <w:t>（3）报价表</w:t>
      </w:r>
    </w:p>
    <w:p>
      <w:pPr>
        <w:spacing w:after="78" w:afterLines="25" w:line="360" w:lineRule="auto"/>
        <w:ind w:firstLine="420" w:firstLineChars="200"/>
        <w:rPr>
          <w:rFonts w:hint="eastAsia" w:ascii="宋体" w:hAnsi="宋体"/>
          <w:szCs w:val="21"/>
          <w:highlight w:val="none"/>
          <w:lang w:val="en-US" w:eastAsia="zh-CN"/>
        </w:rPr>
      </w:pPr>
      <w:r>
        <w:rPr>
          <w:rFonts w:hint="eastAsia" w:ascii="宋体" w:hAnsi="宋体"/>
          <w:szCs w:val="21"/>
          <w:highlight w:val="none"/>
        </w:rPr>
        <w:t>（4）</w:t>
      </w:r>
      <w:r>
        <w:rPr>
          <w:rFonts w:hint="eastAsia" w:ascii="宋体" w:hAnsi="宋体"/>
          <w:szCs w:val="21"/>
          <w:highlight w:val="none"/>
          <w:lang w:val="en-US" w:eastAsia="zh-CN"/>
        </w:rPr>
        <w:t>投标人诚信承诺函</w:t>
      </w:r>
    </w:p>
    <w:p>
      <w:pPr>
        <w:spacing w:after="78" w:afterLines="25" w:line="360" w:lineRule="auto"/>
        <w:ind w:firstLine="420" w:firstLineChars="200"/>
        <w:rPr>
          <w:rFonts w:ascii="宋体" w:hAnsi="宋体"/>
          <w:szCs w:val="21"/>
          <w:highlight w:val="none"/>
        </w:rPr>
      </w:pPr>
      <w:r>
        <w:rPr>
          <w:rFonts w:hint="eastAsia" w:ascii="宋体" w:hAnsi="宋体"/>
          <w:szCs w:val="21"/>
          <w:highlight w:val="none"/>
        </w:rPr>
        <w:t>（5）</w:t>
      </w:r>
      <w:r>
        <w:rPr>
          <w:rFonts w:hint="eastAsia" w:ascii="宋体" w:hAnsi="宋体"/>
          <w:szCs w:val="21"/>
          <w:highlight w:val="none"/>
          <w:lang w:val="en-US" w:eastAsia="zh-CN"/>
        </w:rPr>
        <w:t>用户需求响应表</w:t>
      </w:r>
    </w:p>
    <w:p>
      <w:pPr>
        <w:spacing w:after="78" w:afterLines="25"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）公司主营业务介绍</w:t>
      </w:r>
    </w:p>
    <w:p>
      <w:pPr>
        <w:spacing w:after="78" w:afterLines="25" w:line="360" w:lineRule="auto"/>
        <w:ind w:firstLine="420" w:firstLineChars="200"/>
        <w:rPr>
          <w:rFonts w:hint="default" w:ascii="宋体" w:hAnsi="宋体" w:eastAsia="宋体" w:cs="Arial"/>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cs="Arial"/>
          <w:szCs w:val="21"/>
          <w:highlight w:val="none"/>
        </w:rPr>
        <w:t>实施方案</w:t>
      </w:r>
    </w:p>
    <w:p>
      <w:pPr>
        <w:spacing w:after="78" w:afterLines="25" w:line="360" w:lineRule="auto"/>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w:t>
      </w:r>
      <w:r>
        <w:rPr>
          <w:rFonts w:hint="eastAsia" w:ascii="宋体" w:hAnsi="宋体" w:cs="Arial"/>
          <w:szCs w:val="21"/>
          <w:highlight w:val="none"/>
          <w:lang w:val="en-US" w:eastAsia="zh-CN"/>
        </w:rPr>
        <w:t>8</w:t>
      </w:r>
      <w:r>
        <w:rPr>
          <w:rFonts w:hint="eastAsia" w:ascii="宋体" w:hAnsi="宋体" w:cs="Arial"/>
          <w:szCs w:val="21"/>
          <w:highlight w:val="none"/>
        </w:rPr>
        <w:t>）</w:t>
      </w:r>
      <w:r>
        <w:rPr>
          <w:rFonts w:hint="eastAsia" w:ascii="宋体" w:hAnsi="宋体" w:cs="Arial"/>
          <w:szCs w:val="21"/>
          <w:highlight w:val="none"/>
          <w:lang w:val="en-US" w:eastAsia="zh-CN"/>
        </w:rPr>
        <w:t>项目重点难点分析、应对措施及相关的合理化建议</w:t>
      </w:r>
    </w:p>
    <w:p>
      <w:pPr>
        <w:spacing w:after="78" w:afterLines="25" w:line="360" w:lineRule="auto"/>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w:t>
      </w:r>
      <w:r>
        <w:rPr>
          <w:rFonts w:hint="eastAsia" w:ascii="宋体" w:hAnsi="宋体" w:cs="Arial"/>
          <w:szCs w:val="21"/>
          <w:highlight w:val="none"/>
          <w:lang w:val="en-US" w:eastAsia="zh-CN"/>
        </w:rPr>
        <w:t>9</w:t>
      </w:r>
      <w:r>
        <w:rPr>
          <w:rFonts w:hint="eastAsia" w:ascii="宋体" w:hAnsi="宋体" w:cs="Arial"/>
          <w:szCs w:val="21"/>
          <w:highlight w:val="none"/>
        </w:rPr>
        <w:t>）</w:t>
      </w:r>
      <w:r>
        <w:rPr>
          <w:rFonts w:hint="eastAsia" w:ascii="宋体" w:hAnsi="宋体" w:cs="Arial"/>
          <w:szCs w:val="21"/>
          <w:highlight w:val="none"/>
          <w:lang w:val="en-US" w:eastAsia="zh-CN"/>
        </w:rPr>
        <w:t>数据和报告质量保障措施及方案</w:t>
      </w:r>
    </w:p>
    <w:p>
      <w:pPr>
        <w:spacing w:after="78" w:afterLines="25" w:line="360" w:lineRule="auto"/>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w:t>
      </w:r>
      <w:r>
        <w:rPr>
          <w:rFonts w:hint="eastAsia" w:ascii="宋体" w:hAnsi="宋体" w:cs="Arial"/>
          <w:szCs w:val="21"/>
          <w:highlight w:val="none"/>
          <w:lang w:val="en-US" w:eastAsia="zh-CN"/>
        </w:rPr>
        <w:t>10</w:t>
      </w:r>
      <w:r>
        <w:rPr>
          <w:rFonts w:hint="eastAsia" w:ascii="宋体" w:hAnsi="宋体" w:cs="Arial"/>
          <w:szCs w:val="21"/>
          <w:highlight w:val="none"/>
        </w:rPr>
        <w:t>）</w:t>
      </w:r>
      <w:r>
        <w:rPr>
          <w:rFonts w:hint="eastAsia" w:ascii="宋体" w:hAnsi="宋体"/>
          <w:szCs w:val="21"/>
          <w:highlight w:val="none"/>
          <w:lang w:val="en-US" w:eastAsia="zh-CN"/>
        </w:rPr>
        <w:t>投标人同类项目业绩情况</w:t>
      </w:r>
    </w:p>
    <w:p>
      <w:pPr>
        <w:spacing w:after="78" w:afterLines="25" w:line="360" w:lineRule="auto"/>
        <w:ind w:firstLine="420" w:firstLineChars="200"/>
        <w:rPr>
          <w:rFonts w:hint="eastAsia" w:ascii="宋体" w:hAnsi="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拟安排的项目负责人情况（仅限一人）</w:t>
      </w:r>
    </w:p>
    <w:p>
      <w:pPr>
        <w:spacing w:after="78" w:afterLines="25" w:line="360" w:lineRule="auto"/>
        <w:ind w:firstLine="420" w:firstLineChars="200"/>
        <w:rPr>
          <w:rFonts w:hint="eastAsia" w:ascii="宋体" w:hAnsi="宋体"/>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en-US" w:eastAsia="zh-CN"/>
        </w:rPr>
        <w:t>拟安排的项目主要团队成员（主要技术人员）情况</w:t>
      </w:r>
    </w:p>
    <w:p>
      <w:pPr>
        <w:spacing w:after="78" w:afterLines="25" w:line="360" w:lineRule="auto"/>
        <w:ind w:firstLine="420" w:firstLineChars="200"/>
        <w:rPr>
          <w:rFonts w:ascii="宋体" w:hAnsi="宋体"/>
          <w:szCs w:val="21"/>
          <w:highlight w:val="none"/>
        </w:rPr>
      </w:pPr>
      <w:r>
        <w:rPr>
          <w:rFonts w:hint="eastAsia" w:ascii="宋体" w:hAnsi="宋体"/>
          <w:szCs w:val="21"/>
          <w:highlight w:val="none"/>
          <w:lang w:val="en-US" w:eastAsia="zh-CN"/>
        </w:rPr>
        <w:t>（13）</w:t>
      </w:r>
      <w:r>
        <w:rPr>
          <w:rFonts w:hint="eastAsia" w:ascii="宋体" w:hAnsi="宋体"/>
          <w:szCs w:val="21"/>
          <w:highlight w:val="none"/>
        </w:rPr>
        <w:t>投标人认为需提供的其它文件及评分所需证明文件。</w:t>
      </w:r>
    </w:p>
    <w:p>
      <w:pPr>
        <w:spacing w:line="360" w:lineRule="auto"/>
        <w:ind w:firstLine="420" w:firstLineChars="200"/>
        <w:rPr>
          <w:rFonts w:ascii="宋体" w:hAnsi="宋体"/>
          <w:szCs w:val="21"/>
          <w:highlight w:val="none"/>
        </w:rPr>
      </w:pPr>
      <w:r>
        <w:rPr>
          <w:rFonts w:hint="eastAsia" w:ascii="宋体" w:hAnsi="宋体"/>
          <w:szCs w:val="21"/>
          <w:highlight w:val="none"/>
        </w:rPr>
        <w:t>6、项目的报价要求。</w:t>
      </w:r>
      <w:r>
        <w:rPr>
          <w:rFonts w:hint="eastAsia" w:ascii="宋体" w:hAnsi="宋体" w:cs="Arial"/>
          <w:szCs w:val="21"/>
          <w:highlight w:val="none"/>
        </w:rPr>
        <w:t>投标报价以人民币报价，为综合报价，报价应包括各项服务内容、税费</w:t>
      </w:r>
      <w:r>
        <w:rPr>
          <w:rFonts w:hint="eastAsia" w:ascii="宋体" w:hAnsi="宋体"/>
          <w:szCs w:val="21"/>
          <w:highlight w:val="none"/>
        </w:rPr>
        <w:t>及与本项目有关的一切费用的总价。</w:t>
      </w:r>
    </w:p>
    <w:p>
      <w:pPr>
        <w:spacing w:line="360" w:lineRule="auto"/>
        <w:ind w:firstLine="420" w:firstLineChars="200"/>
        <w:rPr>
          <w:rFonts w:ascii="宋体" w:hAnsi="宋体"/>
          <w:b/>
          <w:szCs w:val="21"/>
          <w:highlight w:val="none"/>
        </w:rPr>
      </w:pPr>
      <w:r>
        <w:rPr>
          <w:rFonts w:ascii="宋体" w:hAnsi="宋体"/>
          <w:szCs w:val="21"/>
          <w:highlight w:val="none"/>
        </w:rPr>
        <w:t>7、</w:t>
      </w:r>
      <w:r>
        <w:rPr>
          <w:rFonts w:hint="eastAsia" w:ascii="宋体" w:hAnsi="宋体"/>
          <w:bCs/>
          <w:szCs w:val="21"/>
          <w:highlight w:val="none"/>
        </w:rPr>
        <w:t>招标人会对本次招标的项目确定一个最高限价，最终成交价格超出最高限价将会被当作无效投标处理。</w:t>
      </w:r>
    </w:p>
    <w:p>
      <w:pPr>
        <w:spacing w:line="360" w:lineRule="auto"/>
        <w:ind w:firstLine="420" w:firstLineChars="200"/>
        <w:rPr>
          <w:rFonts w:ascii="宋体" w:hAnsi="宋体"/>
          <w:szCs w:val="21"/>
          <w:highlight w:val="none"/>
        </w:rPr>
      </w:pPr>
      <w:r>
        <w:rPr>
          <w:rFonts w:hint="eastAsia" w:ascii="宋体" w:hAnsi="宋体"/>
          <w:szCs w:val="21"/>
          <w:highlight w:val="none"/>
        </w:rPr>
        <w:t>8、参加投标的供应商如需在现场述标时，要派出熟悉本项目情况的项目负责人和对报价有决策权的代表参加，谈判代表要有法人代表的授权，同时要提供法人代表证明。</w:t>
      </w:r>
    </w:p>
    <w:p>
      <w:pPr>
        <w:spacing w:line="360" w:lineRule="auto"/>
        <w:ind w:firstLine="420" w:firstLineChars="200"/>
        <w:rPr>
          <w:rFonts w:ascii="宋体" w:hAnsi="宋体"/>
          <w:szCs w:val="21"/>
          <w:highlight w:val="none"/>
        </w:rPr>
      </w:pPr>
      <w:r>
        <w:rPr>
          <w:rFonts w:hint="eastAsia" w:ascii="宋体" w:hAnsi="宋体"/>
          <w:szCs w:val="21"/>
          <w:highlight w:val="none"/>
        </w:rPr>
        <w:t>9、招标人有权根据项目的实际情况提出质量标准、服务标准、验收方式、付款方式、履约保证等方面的要求，并就这些内容进行谈判，所有供应商都在同一标准下进行谈判。</w:t>
      </w:r>
    </w:p>
    <w:p>
      <w:pPr>
        <w:spacing w:line="360" w:lineRule="auto"/>
        <w:ind w:firstLine="420" w:firstLineChars="200"/>
        <w:rPr>
          <w:rFonts w:ascii="宋体" w:hAnsi="宋体"/>
          <w:szCs w:val="21"/>
          <w:highlight w:val="none"/>
        </w:rPr>
      </w:pPr>
      <w:r>
        <w:rPr>
          <w:rFonts w:hint="eastAsia" w:ascii="宋体" w:hAnsi="宋体"/>
          <w:szCs w:val="21"/>
          <w:highlight w:val="none"/>
        </w:rPr>
        <w:t>10、本次采购凡涉及知识产权问题，由项目供应商负责。</w:t>
      </w:r>
    </w:p>
    <w:p>
      <w:pPr>
        <w:spacing w:line="360" w:lineRule="auto"/>
        <w:ind w:firstLine="420" w:firstLineChars="200"/>
        <w:rPr>
          <w:rFonts w:ascii="宋体" w:hAnsi="宋体"/>
          <w:szCs w:val="21"/>
          <w:highlight w:val="none"/>
        </w:rPr>
      </w:pPr>
      <w:r>
        <w:rPr>
          <w:rFonts w:ascii="宋体" w:hAnsi="宋体"/>
          <w:szCs w:val="21"/>
          <w:highlight w:val="none"/>
        </w:rPr>
        <w:t>11、招标人将组成评审委员会，</w:t>
      </w:r>
      <w:r>
        <w:rPr>
          <w:rFonts w:hint="eastAsia" w:ascii="宋体" w:hAnsi="宋体"/>
          <w:szCs w:val="21"/>
          <w:highlight w:val="none"/>
        </w:rPr>
        <w:t>评审委员会由有关专家不少于3人的单数组成，评审委员会在开标开始前一天组成。</w:t>
      </w:r>
    </w:p>
    <w:p>
      <w:pPr>
        <w:spacing w:line="360" w:lineRule="auto"/>
        <w:ind w:firstLine="420" w:firstLineChars="200"/>
        <w:rPr>
          <w:rFonts w:ascii="宋体" w:hAnsi="宋体"/>
          <w:szCs w:val="21"/>
          <w:highlight w:val="none"/>
        </w:rPr>
      </w:pPr>
      <w:r>
        <w:rPr>
          <w:rFonts w:hint="eastAsia" w:ascii="宋体" w:hAnsi="宋体"/>
          <w:szCs w:val="21"/>
          <w:highlight w:val="none"/>
        </w:rPr>
        <w:t>12、供应商应在规定的时间内提交投标文件。如需现场谈判，供应商代表必须在评标半小时内到达定标现场（如需）。。</w:t>
      </w:r>
    </w:p>
    <w:p>
      <w:pPr>
        <w:spacing w:line="360" w:lineRule="auto"/>
        <w:ind w:firstLine="420" w:firstLineChars="200"/>
        <w:rPr>
          <w:rFonts w:ascii="宋体" w:hAnsi="宋体"/>
          <w:szCs w:val="21"/>
          <w:highlight w:val="none"/>
        </w:rPr>
      </w:pPr>
      <w:r>
        <w:rPr>
          <w:rFonts w:hint="eastAsia" w:ascii="宋体" w:hAnsi="宋体"/>
          <w:szCs w:val="21"/>
          <w:highlight w:val="none"/>
        </w:rPr>
        <w:t>13、采用综合评分法的情况：评审委员会将分别对供应商递交的投标文件进行评审。</w:t>
      </w:r>
    </w:p>
    <w:p>
      <w:pPr>
        <w:spacing w:line="360" w:lineRule="auto"/>
        <w:ind w:firstLine="420" w:firstLineChars="200"/>
        <w:rPr>
          <w:rFonts w:ascii="宋体" w:hAnsi="宋体"/>
          <w:szCs w:val="21"/>
          <w:highlight w:val="none"/>
        </w:rPr>
      </w:pPr>
      <w:r>
        <w:rPr>
          <w:rFonts w:hint="eastAsia" w:ascii="宋体" w:hAnsi="宋体"/>
          <w:szCs w:val="21"/>
          <w:highlight w:val="none"/>
        </w:rPr>
        <w:t>1）评审委员会将根据供应商的服务能力、是否满足本次采购的商务条件、报价等方面的情况进行综合评审，评标委员会依据得分情况，</w:t>
      </w:r>
      <w:r>
        <w:rPr>
          <w:rFonts w:hint="eastAsia" w:ascii="宋体" w:hAnsi="宋体"/>
          <w:b/>
          <w:bCs/>
          <w:szCs w:val="21"/>
          <w:highlight w:val="none"/>
        </w:rPr>
        <w:t>取综合得分最高的1家供应商为中标候选人</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2）如果二个及以上供应商的综合评分相同时，取投标价格低者为第一中标候选人。</w:t>
      </w:r>
    </w:p>
    <w:p>
      <w:pPr>
        <w:spacing w:line="360" w:lineRule="auto"/>
        <w:ind w:firstLine="420" w:firstLineChars="200"/>
        <w:rPr>
          <w:rFonts w:ascii="宋体" w:hAnsi="宋体"/>
          <w:szCs w:val="21"/>
          <w:highlight w:val="none"/>
        </w:rPr>
      </w:pPr>
      <w:r>
        <w:rPr>
          <w:rFonts w:hint="eastAsia" w:ascii="宋体" w:hAnsi="宋体"/>
          <w:szCs w:val="21"/>
          <w:highlight w:val="none"/>
        </w:rPr>
        <w:t>3）如果二个及以上供应商的综合评分相同，且投标价格也相同时，取技术部分得分高者为第一中标候选人。</w:t>
      </w:r>
    </w:p>
    <w:p>
      <w:pPr>
        <w:spacing w:line="360" w:lineRule="auto"/>
        <w:ind w:firstLine="420" w:firstLineChars="200"/>
        <w:rPr>
          <w:rFonts w:ascii="宋体" w:hAnsi="宋体"/>
          <w:szCs w:val="21"/>
          <w:highlight w:val="none"/>
        </w:rPr>
      </w:pPr>
      <w:r>
        <w:rPr>
          <w:rFonts w:hint="eastAsia" w:ascii="宋体" w:hAnsi="宋体"/>
          <w:szCs w:val="21"/>
          <w:highlight w:val="none"/>
        </w:rPr>
        <w:t>14、如参与投标且符合招标文件要求的供应商仅有一家，评审委员会应与投标供应商进行谈判，谈判按以下工作程序进行。</w:t>
      </w:r>
    </w:p>
    <w:p>
      <w:pPr>
        <w:spacing w:line="360" w:lineRule="auto"/>
        <w:ind w:firstLine="420" w:firstLineChars="200"/>
        <w:rPr>
          <w:rFonts w:ascii="宋体" w:hAnsi="宋体"/>
          <w:szCs w:val="21"/>
          <w:highlight w:val="none"/>
        </w:rPr>
      </w:pPr>
      <w:r>
        <w:rPr>
          <w:rFonts w:hint="eastAsia" w:ascii="宋体" w:hAnsi="宋体"/>
          <w:szCs w:val="21"/>
          <w:highlight w:val="none"/>
        </w:rPr>
        <w:t>（1）供应商在谈判时由项目负责人与评审委员会进行谈判；</w:t>
      </w:r>
    </w:p>
    <w:p>
      <w:pPr>
        <w:spacing w:line="360" w:lineRule="auto"/>
        <w:ind w:firstLine="420" w:firstLineChars="200"/>
        <w:rPr>
          <w:rFonts w:ascii="宋体" w:hAnsi="宋体"/>
          <w:szCs w:val="21"/>
          <w:highlight w:val="none"/>
        </w:rPr>
      </w:pPr>
      <w:r>
        <w:rPr>
          <w:rFonts w:hint="eastAsia" w:ascii="宋体" w:hAnsi="宋体"/>
          <w:szCs w:val="21"/>
          <w:highlight w:val="none"/>
        </w:rPr>
        <w:t>（2）原则上成交价应为最初报价的95%。</w:t>
      </w:r>
    </w:p>
    <w:p>
      <w:pPr>
        <w:spacing w:line="360" w:lineRule="auto"/>
        <w:ind w:firstLine="420" w:firstLineChars="200"/>
        <w:rPr>
          <w:rFonts w:ascii="宋体" w:hAnsi="宋体"/>
          <w:szCs w:val="21"/>
          <w:highlight w:val="none"/>
        </w:rPr>
      </w:pPr>
      <w:r>
        <w:rPr>
          <w:rFonts w:hint="eastAsia" w:ascii="宋体" w:hAnsi="宋体"/>
          <w:szCs w:val="21"/>
          <w:highlight w:val="none"/>
        </w:rPr>
        <w:t>15、供应商不得将本项目转包给其他人。</w:t>
      </w:r>
    </w:p>
    <w:p>
      <w:pPr>
        <w:spacing w:line="360" w:lineRule="auto"/>
        <w:ind w:firstLine="420" w:firstLineChars="200"/>
        <w:rPr>
          <w:rFonts w:ascii="宋体" w:hAnsi="宋体"/>
          <w:szCs w:val="21"/>
          <w:highlight w:val="none"/>
        </w:rPr>
      </w:pPr>
      <w:r>
        <w:rPr>
          <w:rFonts w:hint="eastAsia" w:ascii="宋体" w:hAnsi="宋体"/>
          <w:szCs w:val="21"/>
          <w:highlight w:val="none"/>
        </w:rPr>
        <w:t>16、所有的评审/谈判内容都必须保密。</w:t>
      </w:r>
    </w:p>
    <w:p>
      <w:pPr>
        <w:spacing w:line="360" w:lineRule="auto"/>
        <w:ind w:firstLine="420" w:firstLineChars="200"/>
        <w:rPr>
          <w:rFonts w:ascii="宋体" w:hAnsi="宋体"/>
          <w:szCs w:val="21"/>
          <w:highlight w:val="none"/>
        </w:rPr>
      </w:pPr>
      <w:r>
        <w:rPr>
          <w:rFonts w:hint="eastAsia" w:ascii="宋体" w:hAnsi="宋体"/>
          <w:szCs w:val="21"/>
          <w:highlight w:val="none"/>
        </w:rPr>
        <w:t>17、招标代理服务收费：</w:t>
      </w:r>
    </w:p>
    <w:p>
      <w:pPr>
        <w:spacing w:line="360" w:lineRule="auto"/>
        <w:ind w:firstLine="420" w:firstLineChars="200"/>
        <w:rPr>
          <w:szCs w:val="21"/>
          <w:highlight w:val="none"/>
        </w:rPr>
      </w:pPr>
      <w:r>
        <w:rPr>
          <w:rFonts w:hint="eastAsia"/>
          <w:szCs w:val="21"/>
          <w:highlight w:val="none"/>
        </w:rPr>
        <w:t>按《深圳市财政委员会关于规范深圳市社会采购代理机构管理有关事项的补充通知》文件要求收取，招标代理服务费以中标金额为基数、按差额定率累进法计算后，减去每个项目1500元专家评审费（500元*3人）计取</w:t>
      </w:r>
      <w:r>
        <w:rPr>
          <w:rFonts w:hint="eastAsia"/>
          <w:szCs w:val="21"/>
          <w:highlight w:val="none"/>
          <w:lang w:eastAsia="zh-CN"/>
        </w:rPr>
        <w:t>，</w:t>
      </w:r>
      <w:r>
        <w:rPr>
          <w:rFonts w:hint="eastAsia"/>
          <w:szCs w:val="21"/>
          <w:highlight w:val="none"/>
          <w:lang w:val="en-US" w:eastAsia="zh-CN"/>
        </w:rPr>
        <w:t>按费率标准计算不足3000元的，按3000元计取</w:t>
      </w:r>
      <w:r>
        <w:rPr>
          <w:rFonts w:hint="eastAsia"/>
          <w:szCs w:val="21"/>
          <w:highlight w:val="none"/>
        </w:rPr>
        <w:t>。</w:t>
      </w:r>
      <w:r>
        <w:rPr>
          <w:rFonts w:hint="eastAsia" w:ascii="宋体" w:hAnsi="宋体"/>
          <w:szCs w:val="21"/>
          <w:highlight w:val="none"/>
        </w:rPr>
        <w:t>中标人须在中标公告公示期结束后，领取《中标通知书》前，向招标（采购）代理机构缴纳招标代理服务费。</w:t>
      </w:r>
      <w:r>
        <w:rPr>
          <w:rFonts w:hint="eastAsia"/>
          <w:szCs w:val="21"/>
          <w:highlight w:val="none"/>
        </w:rPr>
        <w:t>具体计取费率标准如下表所示：</w:t>
      </w:r>
    </w:p>
    <w:tbl>
      <w:tblPr>
        <w:tblStyle w:val="23"/>
        <w:tblW w:w="0" w:type="auto"/>
        <w:tblInd w:w="0" w:type="dxa"/>
        <w:tblLayout w:type="fixed"/>
        <w:tblCellMar>
          <w:top w:w="15" w:type="dxa"/>
          <w:left w:w="15" w:type="dxa"/>
          <w:bottom w:w="15" w:type="dxa"/>
          <w:right w:w="15" w:type="dxa"/>
        </w:tblCellMar>
      </w:tblPr>
      <w:tblGrid>
        <w:gridCol w:w="2881"/>
        <w:gridCol w:w="1980"/>
        <w:gridCol w:w="1740"/>
        <w:gridCol w:w="1845"/>
      </w:tblGrid>
      <w:tr>
        <w:trPr>
          <w:trHeight w:val="299" w:hRule="atLeast"/>
        </w:trPr>
        <w:tc>
          <w:tcPr>
            <w:tcW w:w="2881" w:type="dxa"/>
            <w:tcBorders>
              <w:top w:val="single" w:color="auto" w:sz="8" w:space="0"/>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jc w:val="center"/>
              <w:rPr>
                <w:rFonts w:ascii="宋体" w:hAnsi="宋体" w:cs="宋体"/>
                <w:kern w:val="0"/>
                <w:szCs w:val="21"/>
                <w:highlight w:val="none"/>
              </w:rPr>
            </w:pPr>
            <w:r>
              <w:rPr>
                <w:rFonts w:hint="eastAsia" w:ascii="宋体" w:hAnsi="宋体" w:cs="宋体"/>
                <w:b/>
                <w:bCs/>
                <w:kern w:val="0"/>
                <w:szCs w:val="21"/>
                <w:highlight w:val="none"/>
              </w:rPr>
              <w:t>服费务类率型中标金额</w:t>
            </w:r>
          </w:p>
        </w:tc>
        <w:tc>
          <w:tcPr>
            <w:tcW w:w="1980"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b/>
                <w:bCs/>
                <w:kern w:val="0"/>
                <w:szCs w:val="21"/>
                <w:highlight w:val="none"/>
              </w:rPr>
              <w:t xml:space="preserve"> 货物采购</w:t>
            </w:r>
          </w:p>
        </w:tc>
        <w:tc>
          <w:tcPr>
            <w:tcW w:w="1740"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b/>
                <w:bCs/>
                <w:kern w:val="0"/>
                <w:szCs w:val="21"/>
                <w:highlight w:val="none"/>
              </w:rPr>
              <w:t xml:space="preserve"> 服务采购</w:t>
            </w:r>
          </w:p>
        </w:tc>
        <w:tc>
          <w:tcPr>
            <w:tcW w:w="1845"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b/>
                <w:bCs/>
                <w:kern w:val="0"/>
                <w:szCs w:val="21"/>
                <w:highlight w:val="none"/>
              </w:rPr>
              <w:t xml:space="preserve"> 工程采购</w:t>
            </w:r>
          </w:p>
        </w:tc>
      </w:tr>
      <w:tr>
        <w:trPr>
          <w:trHeight w:val="299" w:hRule="atLeast"/>
        </w:trPr>
        <w:tc>
          <w:tcPr>
            <w:tcW w:w="2881"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100万元以下</w:t>
            </w:r>
          </w:p>
        </w:tc>
        <w:tc>
          <w:tcPr>
            <w:tcW w:w="198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1.5%</w:t>
            </w:r>
          </w:p>
        </w:tc>
        <w:tc>
          <w:tcPr>
            <w:tcW w:w="174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1.5%</w:t>
            </w:r>
          </w:p>
        </w:tc>
        <w:tc>
          <w:tcPr>
            <w:tcW w:w="184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1.0%</w:t>
            </w:r>
          </w:p>
        </w:tc>
      </w:tr>
      <w:tr>
        <w:trPr>
          <w:trHeight w:val="299" w:hRule="atLeast"/>
        </w:trPr>
        <w:tc>
          <w:tcPr>
            <w:tcW w:w="2881"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100万元（含）-500万元</w:t>
            </w:r>
          </w:p>
        </w:tc>
        <w:tc>
          <w:tcPr>
            <w:tcW w:w="198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1.1%</w:t>
            </w:r>
          </w:p>
        </w:tc>
        <w:tc>
          <w:tcPr>
            <w:tcW w:w="174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0.8%</w:t>
            </w:r>
          </w:p>
        </w:tc>
        <w:tc>
          <w:tcPr>
            <w:tcW w:w="184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0.7%</w:t>
            </w:r>
          </w:p>
        </w:tc>
      </w:tr>
      <w:tr>
        <w:trPr>
          <w:trHeight w:val="299" w:hRule="atLeast"/>
        </w:trPr>
        <w:tc>
          <w:tcPr>
            <w:tcW w:w="2881"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500万元（含）-1000万元</w:t>
            </w:r>
          </w:p>
        </w:tc>
        <w:tc>
          <w:tcPr>
            <w:tcW w:w="198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0.8%</w:t>
            </w:r>
          </w:p>
        </w:tc>
        <w:tc>
          <w:tcPr>
            <w:tcW w:w="174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0.45%</w:t>
            </w:r>
          </w:p>
        </w:tc>
        <w:tc>
          <w:tcPr>
            <w:tcW w:w="184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0.55%</w:t>
            </w:r>
          </w:p>
        </w:tc>
      </w:tr>
      <w:tr>
        <w:trPr>
          <w:trHeight w:val="299" w:hRule="atLeast"/>
        </w:trPr>
        <w:tc>
          <w:tcPr>
            <w:tcW w:w="2881"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1000万元（含）-5000万元</w:t>
            </w:r>
          </w:p>
        </w:tc>
        <w:tc>
          <w:tcPr>
            <w:tcW w:w="198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0.5%</w:t>
            </w:r>
          </w:p>
        </w:tc>
        <w:tc>
          <w:tcPr>
            <w:tcW w:w="174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0.25%</w:t>
            </w:r>
          </w:p>
        </w:tc>
        <w:tc>
          <w:tcPr>
            <w:tcW w:w="184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0.35%</w:t>
            </w:r>
          </w:p>
        </w:tc>
      </w:tr>
      <w:tr>
        <w:trPr>
          <w:trHeight w:val="299" w:hRule="atLeast"/>
        </w:trPr>
        <w:tc>
          <w:tcPr>
            <w:tcW w:w="2881"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5000万元（含）-1亿元</w:t>
            </w:r>
          </w:p>
        </w:tc>
        <w:tc>
          <w:tcPr>
            <w:tcW w:w="198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0.25%</w:t>
            </w:r>
          </w:p>
        </w:tc>
        <w:tc>
          <w:tcPr>
            <w:tcW w:w="174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0.1%</w:t>
            </w:r>
          </w:p>
        </w:tc>
        <w:tc>
          <w:tcPr>
            <w:tcW w:w="184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0.2%</w:t>
            </w:r>
          </w:p>
        </w:tc>
      </w:tr>
      <w:tr>
        <w:trPr>
          <w:trHeight w:val="299" w:hRule="atLeast"/>
        </w:trPr>
        <w:tc>
          <w:tcPr>
            <w:tcW w:w="2881"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1亿元（含）-5亿元</w:t>
            </w:r>
          </w:p>
        </w:tc>
        <w:tc>
          <w:tcPr>
            <w:tcW w:w="198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0.05%</w:t>
            </w:r>
          </w:p>
        </w:tc>
        <w:tc>
          <w:tcPr>
            <w:tcW w:w="174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0.05%</w:t>
            </w:r>
          </w:p>
        </w:tc>
        <w:tc>
          <w:tcPr>
            <w:tcW w:w="184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0.05%</w:t>
            </w:r>
          </w:p>
        </w:tc>
      </w:tr>
      <w:tr>
        <w:trPr>
          <w:trHeight w:val="299" w:hRule="atLeast"/>
        </w:trPr>
        <w:tc>
          <w:tcPr>
            <w:tcW w:w="2881"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5亿元（含）-10亿元</w:t>
            </w:r>
          </w:p>
        </w:tc>
        <w:tc>
          <w:tcPr>
            <w:tcW w:w="198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0.035%</w:t>
            </w:r>
          </w:p>
        </w:tc>
        <w:tc>
          <w:tcPr>
            <w:tcW w:w="174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0.035%</w:t>
            </w:r>
          </w:p>
        </w:tc>
        <w:tc>
          <w:tcPr>
            <w:tcW w:w="184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0.035%</w:t>
            </w:r>
          </w:p>
        </w:tc>
      </w:tr>
      <w:tr>
        <w:trPr>
          <w:trHeight w:val="299" w:hRule="atLeast"/>
        </w:trPr>
        <w:tc>
          <w:tcPr>
            <w:tcW w:w="2881"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10亿元（含）-50亿元</w:t>
            </w:r>
          </w:p>
        </w:tc>
        <w:tc>
          <w:tcPr>
            <w:tcW w:w="198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0.008%</w:t>
            </w:r>
          </w:p>
        </w:tc>
        <w:tc>
          <w:tcPr>
            <w:tcW w:w="174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0.008%</w:t>
            </w:r>
          </w:p>
        </w:tc>
        <w:tc>
          <w:tcPr>
            <w:tcW w:w="184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0.008%</w:t>
            </w:r>
          </w:p>
        </w:tc>
      </w:tr>
      <w:tr>
        <w:trPr>
          <w:trHeight w:val="299" w:hRule="atLeast"/>
        </w:trPr>
        <w:tc>
          <w:tcPr>
            <w:tcW w:w="2881"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50亿元（含）-100亿元</w:t>
            </w:r>
          </w:p>
        </w:tc>
        <w:tc>
          <w:tcPr>
            <w:tcW w:w="198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0.006%</w:t>
            </w:r>
          </w:p>
        </w:tc>
        <w:tc>
          <w:tcPr>
            <w:tcW w:w="174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0.006%</w:t>
            </w:r>
          </w:p>
        </w:tc>
        <w:tc>
          <w:tcPr>
            <w:tcW w:w="184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0.006%</w:t>
            </w:r>
          </w:p>
        </w:tc>
      </w:tr>
      <w:tr>
        <w:trPr>
          <w:trHeight w:val="299" w:hRule="atLeast"/>
        </w:trPr>
        <w:tc>
          <w:tcPr>
            <w:tcW w:w="2881"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100亿元（含）以上</w:t>
            </w:r>
          </w:p>
        </w:tc>
        <w:tc>
          <w:tcPr>
            <w:tcW w:w="198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0.004%</w:t>
            </w:r>
          </w:p>
        </w:tc>
        <w:tc>
          <w:tcPr>
            <w:tcW w:w="1740"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0.004%</w:t>
            </w:r>
          </w:p>
        </w:tc>
        <w:tc>
          <w:tcPr>
            <w:tcW w:w="184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before="100" w:beforeAutospacing="1" w:after="100" w:afterAutospacing="1"/>
              <w:jc w:val="center"/>
              <w:rPr>
                <w:rFonts w:ascii="宋体" w:hAnsi="宋体" w:cs="宋体"/>
                <w:kern w:val="0"/>
                <w:szCs w:val="21"/>
                <w:highlight w:val="none"/>
              </w:rPr>
            </w:pPr>
            <w:r>
              <w:rPr>
                <w:rFonts w:hint="eastAsia" w:ascii="宋体" w:hAnsi="宋体" w:cs="宋体"/>
                <w:kern w:val="0"/>
                <w:szCs w:val="21"/>
                <w:highlight w:val="none"/>
              </w:rPr>
              <w:t>0.004%</w:t>
            </w:r>
          </w:p>
        </w:tc>
      </w:tr>
    </w:tbl>
    <w:p>
      <w:pPr>
        <w:spacing w:line="360" w:lineRule="auto"/>
        <w:ind w:firstLine="420" w:firstLineChars="200"/>
        <w:rPr>
          <w:szCs w:val="21"/>
          <w:highlight w:val="none"/>
        </w:rPr>
      </w:pPr>
      <w:r>
        <w:rPr>
          <w:rFonts w:hint="eastAsia"/>
          <w:szCs w:val="21"/>
          <w:highlight w:val="none"/>
        </w:rPr>
        <w:t>招标代理服务费缴纳至：</w:t>
      </w:r>
    </w:p>
    <w:p>
      <w:pPr>
        <w:spacing w:line="360" w:lineRule="auto"/>
        <w:ind w:firstLine="420" w:firstLineChars="200"/>
        <w:rPr>
          <w:szCs w:val="21"/>
          <w:highlight w:val="none"/>
        </w:rPr>
      </w:pPr>
      <w:r>
        <w:rPr>
          <w:rFonts w:hint="eastAsia"/>
          <w:szCs w:val="21"/>
          <w:highlight w:val="none"/>
        </w:rPr>
        <w:t>开户名称</w:t>
      </w:r>
      <w:r>
        <w:rPr>
          <w:rFonts w:hint="eastAsia"/>
          <w:szCs w:val="21"/>
          <w:highlight w:val="none"/>
          <w:u w:val="single"/>
        </w:rPr>
        <w:t>：友和保险经纪有限公司</w:t>
      </w:r>
    </w:p>
    <w:p>
      <w:pPr>
        <w:spacing w:line="360" w:lineRule="auto"/>
        <w:ind w:firstLine="420" w:firstLineChars="200"/>
        <w:rPr>
          <w:szCs w:val="21"/>
          <w:highlight w:val="none"/>
        </w:rPr>
      </w:pPr>
      <w:r>
        <w:rPr>
          <w:rFonts w:hint="eastAsia"/>
          <w:szCs w:val="21"/>
          <w:highlight w:val="none"/>
        </w:rPr>
        <w:t>银行帐号</w:t>
      </w:r>
      <w:r>
        <w:rPr>
          <w:rFonts w:hint="eastAsia"/>
          <w:szCs w:val="21"/>
          <w:highlight w:val="none"/>
          <w:u w:val="single"/>
        </w:rPr>
        <w:t>：中国民生银行深圳分行福田支行</w:t>
      </w:r>
    </w:p>
    <w:p>
      <w:pPr>
        <w:spacing w:line="360" w:lineRule="auto"/>
        <w:ind w:firstLine="420" w:firstLineChars="200"/>
        <w:rPr>
          <w:szCs w:val="21"/>
          <w:highlight w:val="none"/>
        </w:rPr>
      </w:pPr>
      <w:r>
        <w:rPr>
          <w:rFonts w:hint="eastAsia"/>
          <w:szCs w:val="21"/>
          <w:highlight w:val="none"/>
        </w:rPr>
        <w:t>开户银行</w:t>
      </w:r>
      <w:r>
        <w:rPr>
          <w:rFonts w:hint="eastAsia"/>
          <w:szCs w:val="21"/>
          <w:highlight w:val="none"/>
          <w:u w:val="single"/>
        </w:rPr>
        <w:t>：1806014170017592</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jc w:val="center"/>
        <w:rPr>
          <w:b/>
          <w:bCs/>
          <w:sz w:val="32"/>
          <w:highlight w:val="none"/>
        </w:rPr>
      </w:pPr>
    </w:p>
    <w:p>
      <w:pPr>
        <w:spacing w:line="360" w:lineRule="auto"/>
        <w:jc w:val="center"/>
        <w:rPr>
          <w:b/>
          <w:bCs/>
          <w:sz w:val="32"/>
          <w:highlight w:val="none"/>
        </w:rPr>
      </w:pPr>
    </w:p>
    <w:p>
      <w:pPr>
        <w:spacing w:line="360" w:lineRule="auto"/>
        <w:jc w:val="center"/>
        <w:rPr>
          <w:b/>
          <w:bCs/>
          <w:sz w:val="32"/>
          <w:highlight w:val="none"/>
        </w:rPr>
      </w:pPr>
    </w:p>
    <w:p>
      <w:pPr>
        <w:spacing w:line="360" w:lineRule="auto"/>
        <w:jc w:val="center"/>
        <w:outlineLvl w:val="0"/>
        <w:rPr>
          <w:b/>
          <w:bCs/>
          <w:sz w:val="32"/>
          <w:highlight w:val="none"/>
        </w:rPr>
      </w:pPr>
      <w:bookmarkStart w:id="14" w:name="_Toc51746095"/>
      <w:bookmarkStart w:id="15" w:name="_Toc29254"/>
      <w:bookmarkStart w:id="16" w:name="_Toc20089"/>
      <w:r>
        <w:rPr>
          <w:rFonts w:hint="eastAsia"/>
          <w:b/>
          <w:bCs/>
          <w:sz w:val="32"/>
          <w:highlight w:val="none"/>
        </w:rPr>
        <w:br w:type="page"/>
      </w:r>
      <w:bookmarkStart w:id="17" w:name="_Toc28889"/>
      <w:bookmarkStart w:id="18" w:name="_Toc83405795"/>
      <w:bookmarkStart w:id="19" w:name="_Toc86918421"/>
      <w:r>
        <w:rPr>
          <w:rFonts w:hint="eastAsia"/>
          <w:b/>
          <w:bCs/>
          <w:sz w:val="32"/>
          <w:highlight w:val="none"/>
        </w:rPr>
        <w:t>第三章 评标程序</w:t>
      </w:r>
      <w:bookmarkEnd w:id="14"/>
      <w:bookmarkEnd w:id="15"/>
      <w:bookmarkEnd w:id="16"/>
      <w:bookmarkEnd w:id="17"/>
      <w:bookmarkEnd w:id="18"/>
      <w:bookmarkEnd w:id="19"/>
    </w:p>
    <w:p>
      <w:pPr>
        <w:spacing w:line="360" w:lineRule="auto"/>
        <w:rPr>
          <w:rFonts w:ascii="宋体" w:hAnsi="宋体" w:cs="宋体"/>
          <w:szCs w:val="21"/>
          <w:highlight w:val="none"/>
        </w:rPr>
      </w:pPr>
      <w:r>
        <w:rPr>
          <w:rFonts w:hint="eastAsia" w:ascii="宋体" w:hAnsi="宋体" w:cs="宋体"/>
          <w:szCs w:val="21"/>
          <w:highlight w:val="none"/>
        </w:rPr>
        <w:t>一、依法成立评审委员会。评审委员会由招</w:t>
      </w:r>
      <w:r>
        <w:rPr>
          <w:rFonts w:ascii="宋体" w:hAnsi="宋体" w:cs="宋体"/>
          <w:szCs w:val="21"/>
          <w:highlight w:val="none"/>
        </w:rPr>
        <w:t>标单位相关部门</w:t>
      </w:r>
      <w:r>
        <w:rPr>
          <w:rFonts w:hint="eastAsia" w:ascii="宋体" w:hAnsi="宋体" w:cs="宋体"/>
          <w:szCs w:val="21"/>
          <w:highlight w:val="none"/>
        </w:rPr>
        <w:t>熟悉</w:t>
      </w:r>
      <w:r>
        <w:rPr>
          <w:rFonts w:ascii="宋体" w:hAnsi="宋体" w:cs="宋体"/>
          <w:szCs w:val="21"/>
          <w:highlight w:val="none"/>
        </w:rPr>
        <w:t>业务的同</w:t>
      </w:r>
      <w:r>
        <w:rPr>
          <w:rFonts w:hint="eastAsia" w:ascii="宋体" w:hAnsi="宋体" w:cs="宋体"/>
          <w:szCs w:val="21"/>
          <w:highlight w:val="none"/>
        </w:rPr>
        <w:t>志不少于</w:t>
      </w:r>
      <w:r>
        <w:rPr>
          <w:rFonts w:ascii="宋体" w:hAnsi="宋体" w:cs="宋体"/>
          <w:szCs w:val="21"/>
          <w:highlight w:val="none"/>
        </w:rPr>
        <w:t>3人的单数组成，评审委员会在开标开始前一天组成。</w:t>
      </w:r>
    </w:p>
    <w:p>
      <w:pPr>
        <w:spacing w:line="360" w:lineRule="auto"/>
        <w:rPr>
          <w:rFonts w:ascii="宋体" w:hAnsi="宋体" w:cs="宋体"/>
          <w:szCs w:val="21"/>
          <w:highlight w:val="none"/>
        </w:rPr>
      </w:pPr>
      <w:r>
        <w:rPr>
          <w:rFonts w:hint="eastAsia" w:ascii="宋体" w:hAnsi="宋体" w:cs="宋体"/>
          <w:szCs w:val="21"/>
          <w:highlight w:val="none"/>
        </w:rPr>
        <w:t>二、参加评标会议人员：投标人代表（如需）、项目负责代表、评审委员会成员、监督部门代表。</w:t>
      </w:r>
    </w:p>
    <w:p>
      <w:pPr>
        <w:spacing w:line="360" w:lineRule="auto"/>
        <w:rPr>
          <w:rFonts w:ascii="宋体" w:hAnsi="宋体" w:cs="宋体"/>
          <w:szCs w:val="21"/>
          <w:highlight w:val="none"/>
        </w:rPr>
      </w:pPr>
      <w:r>
        <w:rPr>
          <w:rFonts w:hint="eastAsia" w:ascii="宋体" w:hAnsi="宋体" w:cs="宋体"/>
          <w:szCs w:val="21"/>
          <w:highlight w:val="none"/>
        </w:rPr>
        <w:t>三、会议主持人：开标评标会议由招标代理工作人员主持。</w:t>
      </w:r>
    </w:p>
    <w:p>
      <w:pPr>
        <w:spacing w:line="360" w:lineRule="auto"/>
        <w:rPr>
          <w:rFonts w:ascii="宋体" w:hAnsi="宋体" w:cs="宋体"/>
          <w:szCs w:val="21"/>
          <w:highlight w:val="none"/>
        </w:rPr>
      </w:pPr>
      <w:r>
        <w:rPr>
          <w:rFonts w:hint="eastAsia" w:ascii="宋体" w:hAnsi="宋体" w:cs="宋体"/>
          <w:szCs w:val="21"/>
          <w:highlight w:val="none"/>
        </w:rPr>
        <w:t>四、开标时间：202</w:t>
      </w:r>
      <w:r>
        <w:rPr>
          <w:rFonts w:ascii="宋体" w:hAnsi="宋体" w:cs="宋体"/>
          <w:szCs w:val="21"/>
          <w:highlight w:val="none"/>
        </w:rPr>
        <w:t>2</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日14时30分。</w:t>
      </w:r>
    </w:p>
    <w:p>
      <w:pPr>
        <w:spacing w:line="360" w:lineRule="auto"/>
        <w:rPr>
          <w:rFonts w:ascii="宋体" w:hAnsi="宋体" w:cs="宋体"/>
          <w:szCs w:val="21"/>
          <w:highlight w:val="none"/>
        </w:rPr>
      </w:pPr>
      <w:r>
        <w:rPr>
          <w:rFonts w:hint="eastAsia" w:ascii="宋体" w:hAnsi="宋体" w:cs="宋体"/>
          <w:szCs w:val="21"/>
          <w:highlight w:val="none"/>
        </w:rPr>
        <w:t>五、会议开始：202</w:t>
      </w:r>
      <w:r>
        <w:rPr>
          <w:rFonts w:ascii="宋体" w:hAnsi="宋体" w:cs="宋体"/>
          <w:szCs w:val="21"/>
          <w:highlight w:val="none"/>
        </w:rPr>
        <w:t>2</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日14时30分由会议主持人宣布评标会议开始。</w:t>
      </w:r>
    </w:p>
    <w:p>
      <w:pPr>
        <w:spacing w:line="360" w:lineRule="auto"/>
        <w:rPr>
          <w:rFonts w:hint="eastAsia" w:ascii="宋体" w:hAnsi="宋体" w:cs="宋体"/>
          <w:szCs w:val="21"/>
          <w:highlight w:val="none"/>
        </w:rPr>
      </w:pPr>
      <w:r>
        <w:rPr>
          <w:rFonts w:hint="eastAsia" w:ascii="宋体" w:hAnsi="宋体" w:cs="宋体"/>
          <w:szCs w:val="21"/>
          <w:highlight w:val="none"/>
        </w:rPr>
        <w:t>六、项目负责代表向监督部门代表送交投标文件，监督部门代表确认投标文件密封完整，未密封投标文件将作为无效投标。</w:t>
      </w:r>
    </w:p>
    <w:p>
      <w:pPr>
        <w:spacing w:line="360" w:lineRule="auto"/>
        <w:rPr>
          <w:rFonts w:hint="eastAsia" w:ascii="宋体" w:hAnsi="宋体" w:cs="宋体"/>
          <w:szCs w:val="21"/>
          <w:highlight w:val="none"/>
        </w:rPr>
      </w:pPr>
      <w:r>
        <w:rPr>
          <w:rFonts w:hint="eastAsia" w:ascii="宋体" w:hAnsi="宋体" w:cs="宋体"/>
          <w:szCs w:val="21"/>
          <w:highlight w:val="none"/>
        </w:rPr>
        <w:t>七、由工作人员现场拆封投标文件，并分发给评审委员会成员。</w:t>
      </w:r>
    </w:p>
    <w:p>
      <w:pPr>
        <w:spacing w:line="360" w:lineRule="auto"/>
        <w:rPr>
          <w:rFonts w:hint="eastAsia" w:ascii="宋体" w:hAnsi="宋体" w:cs="宋体"/>
          <w:szCs w:val="21"/>
          <w:highlight w:val="none"/>
        </w:rPr>
      </w:pPr>
      <w:r>
        <w:rPr>
          <w:rFonts w:hint="eastAsia" w:ascii="宋体" w:hAnsi="宋体" w:cs="宋体"/>
          <w:szCs w:val="21"/>
          <w:highlight w:val="none"/>
        </w:rPr>
        <w:t>八、评审委员会审查供应商的投标文件，工作人员记录审查的情况。</w:t>
      </w:r>
    </w:p>
    <w:p>
      <w:pPr>
        <w:spacing w:line="360" w:lineRule="auto"/>
        <w:rPr>
          <w:rFonts w:hint="eastAsia" w:ascii="宋体" w:hAnsi="宋体" w:cs="宋体"/>
          <w:szCs w:val="21"/>
          <w:highlight w:val="none"/>
        </w:rPr>
      </w:pPr>
      <w:r>
        <w:rPr>
          <w:rFonts w:hint="eastAsia" w:ascii="宋体" w:hAnsi="宋体" w:cs="宋体"/>
          <w:szCs w:val="21"/>
          <w:highlight w:val="none"/>
        </w:rPr>
        <w:t>九、评审委员会按以下工作程序进行：</w:t>
      </w:r>
    </w:p>
    <w:p>
      <w:pPr>
        <w:spacing w:line="360" w:lineRule="auto"/>
        <w:rPr>
          <w:rFonts w:hint="eastAsia" w:ascii="宋体" w:hAnsi="宋体" w:cs="宋体"/>
          <w:szCs w:val="21"/>
          <w:highlight w:val="none"/>
        </w:rPr>
      </w:pPr>
      <w:r>
        <w:rPr>
          <w:rFonts w:hint="eastAsia" w:ascii="宋体" w:hAnsi="宋体" w:cs="宋体"/>
          <w:szCs w:val="21"/>
          <w:highlight w:val="none"/>
        </w:rPr>
        <w:t>1.评标委员会对各供应商的投标文件进行初审，对未能通过初审的投标文件作投标无效处理。</w:t>
      </w:r>
    </w:p>
    <w:p>
      <w:pPr>
        <w:spacing w:line="360" w:lineRule="auto"/>
        <w:rPr>
          <w:rFonts w:hint="eastAsia" w:ascii="宋体" w:hAnsi="宋体" w:cs="宋体"/>
          <w:szCs w:val="21"/>
          <w:highlight w:val="none"/>
        </w:rPr>
      </w:pPr>
      <w:r>
        <w:rPr>
          <w:rFonts w:hint="eastAsia" w:ascii="宋体" w:hAnsi="宋体" w:cs="宋体"/>
          <w:szCs w:val="21"/>
          <w:highlight w:val="none"/>
        </w:rPr>
        <w:t>2.对通过初审的供应商的投标文件进行详细的比较和评价。如需要，进行必要的澄清/说明工作。</w:t>
      </w:r>
    </w:p>
    <w:p>
      <w:pPr>
        <w:spacing w:line="360" w:lineRule="auto"/>
        <w:rPr>
          <w:rFonts w:hint="eastAsia" w:ascii="宋体" w:hAnsi="宋体" w:cs="宋体"/>
          <w:szCs w:val="21"/>
          <w:highlight w:val="none"/>
        </w:rPr>
      </w:pPr>
      <w:r>
        <w:rPr>
          <w:rFonts w:hint="eastAsia" w:ascii="宋体" w:hAnsi="宋体" w:cs="宋体"/>
          <w:szCs w:val="21"/>
          <w:highlight w:val="none"/>
        </w:rPr>
        <w:t>3.根据参与投标且符合招标文件要求的供应商数量情况，确定本项目的评审方法。</w:t>
      </w:r>
    </w:p>
    <w:p>
      <w:pPr>
        <w:spacing w:line="360" w:lineRule="auto"/>
        <w:rPr>
          <w:rFonts w:hint="eastAsia" w:ascii="宋体" w:hAnsi="宋体" w:cs="宋体"/>
          <w:szCs w:val="21"/>
          <w:highlight w:val="none"/>
        </w:rPr>
      </w:pPr>
      <w:r>
        <w:rPr>
          <w:rFonts w:hint="eastAsia" w:ascii="宋体" w:hAnsi="宋体" w:cs="宋体"/>
          <w:szCs w:val="21"/>
          <w:highlight w:val="none"/>
        </w:rPr>
        <w:t>4.采用综合评分法：评审委员会将分别对供应商递交的投标文件进行评审。</w:t>
      </w:r>
    </w:p>
    <w:p>
      <w:pPr>
        <w:spacing w:line="360" w:lineRule="auto"/>
        <w:rPr>
          <w:rFonts w:hint="eastAsia" w:ascii="宋体" w:hAnsi="宋体" w:cs="宋体"/>
          <w:szCs w:val="21"/>
          <w:highlight w:val="none"/>
        </w:rPr>
      </w:pPr>
      <w:r>
        <w:rPr>
          <w:rFonts w:hint="eastAsia" w:ascii="宋体" w:hAnsi="宋体" w:cs="宋体"/>
          <w:szCs w:val="21"/>
          <w:highlight w:val="none"/>
        </w:rPr>
        <w:t>4.1评审委员会将根据供应商的服务能力、是否满足本次采购的商务条件、报价等方面的情况进行综合评价，评标委员会依据得分情况推荐综合得分第一名的供应商为第一中标候选人。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szCs w:val="21"/>
          <w:highlight w:val="none"/>
        </w:rPr>
      </w:pPr>
      <w:r>
        <w:rPr>
          <w:rFonts w:hint="eastAsia" w:ascii="宋体" w:hAnsi="宋体" w:cs="宋体"/>
          <w:szCs w:val="21"/>
          <w:highlight w:val="none"/>
        </w:rPr>
        <w:t>4.2如果二个及以上供应商的综合评分相同时，取投标价格低者为第一中标候选人。</w:t>
      </w:r>
    </w:p>
    <w:p>
      <w:pPr>
        <w:spacing w:line="360" w:lineRule="auto"/>
        <w:rPr>
          <w:rFonts w:hint="eastAsia" w:ascii="宋体" w:hAnsi="宋体" w:cs="宋体"/>
          <w:szCs w:val="21"/>
          <w:highlight w:val="none"/>
        </w:rPr>
      </w:pPr>
      <w:r>
        <w:rPr>
          <w:rFonts w:hint="eastAsia" w:ascii="宋体" w:hAnsi="宋体" w:cs="宋体"/>
          <w:szCs w:val="21"/>
          <w:highlight w:val="none"/>
        </w:rPr>
        <w:t>4.3如果二个及以上供应商的综合评分相同，且投标价格也相同时，取技术部分得分高者为第一中标候选人。</w:t>
      </w:r>
    </w:p>
    <w:p>
      <w:pPr>
        <w:spacing w:line="360" w:lineRule="auto"/>
        <w:rPr>
          <w:rFonts w:hint="eastAsia" w:ascii="宋体" w:hAnsi="宋体" w:cs="宋体"/>
          <w:szCs w:val="21"/>
          <w:highlight w:val="none"/>
        </w:rPr>
      </w:pPr>
      <w:r>
        <w:rPr>
          <w:rFonts w:hint="eastAsia" w:ascii="宋体" w:hAnsi="宋体" w:cs="宋体"/>
          <w:szCs w:val="21"/>
          <w:highlight w:val="none"/>
        </w:rPr>
        <w:t>5.如参与投标且符合招标文件要求的供应商仅有一家，评审委员会应与投标供应商进行谈判，谈判按以下工作程序进行。</w:t>
      </w:r>
    </w:p>
    <w:p>
      <w:pPr>
        <w:spacing w:line="360" w:lineRule="auto"/>
        <w:rPr>
          <w:rFonts w:hint="eastAsia" w:ascii="宋体" w:hAnsi="宋体" w:cs="宋体"/>
          <w:szCs w:val="21"/>
          <w:highlight w:val="none"/>
        </w:rPr>
      </w:pPr>
      <w:r>
        <w:rPr>
          <w:rFonts w:hint="eastAsia" w:ascii="宋体" w:hAnsi="宋体" w:cs="宋体"/>
          <w:szCs w:val="21"/>
          <w:highlight w:val="none"/>
        </w:rPr>
        <w:t>（1）供应商在谈判时由项目授权代表与评审委员会进行谈判。</w:t>
      </w:r>
    </w:p>
    <w:p>
      <w:pPr>
        <w:spacing w:line="360" w:lineRule="auto"/>
        <w:rPr>
          <w:rFonts w:hint="eastAsia" w:ascii="宋体" w:hAnsi="宋体" w:cs="宋体"/>
          <w:szCs w:val="21"/>
          <w:highlight w:val="none"/>
        </w:rPr>
      </w:pPr>
      <w:r>
        <w:rPr>
          <w:rFonts w:hint="eastAsia" w:ascii="宋体" w:hAnsi="宋体" w:cs="宋体"/>
          <w:szCs w:val="21"/>
          <w:highlight w:val="none"/>
        </w:rPr>
        <w:t>（2）原则上成交价应为最初报价的95%。</w:t>
      </w:r>
    </w:p>
    <w:p>
      <w:pPr>
        <w:spacing w:line="360" w:lineRule="auto"/>
        <w:rPr>
          <w:rFonts w:hint="eastAsia" w:ascii="宋体" w:hAnsi="宋体" w:cs="宋体"/>
          <w:szCs w:val="21"/>
          <w:highlight w:val="none"/>
        </w:rPr>
      </w:pPr>
      <w:r>
        <w:rPr>
          <w:rFonts w:hint="eastAsia" w:ascii="宋体" w:hAnsi="宋体" w:cs="宋体"/>
          <w:szCs w:val="21"/>
          <w:highlight w:val="none"/>
        </w:rPr>
        <w:t>（3）评审委员会在谈判环节确定本项目最后的方案和承诺的内容，确定符合本次采购要求。如经谈判，供应商无法对招标实质性要求作出完全的响应，该供应商将被要求退出本次谈判，项目招标失败。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szCs w:val="21"/>
          <w:highlight w:val="none"/>
        </w:rPr>
      </w:pPr>
      <w:r>
        <w:rPr>
          <w:rFonts w:hint="eastAsia" w:ascii="宋体" w:hAnsi="宋体" w:cs="宋体"/>
          <w:szCs w:val="21"/>
          <w:highlight w:val="none"/>
        </w:rPr>
        <w:t>6.评审委员会按照本项目招标文件中规定的评标方法确定中标供应商。</w:t>
      </w:r>
    </w:p>
    <w:p>
      <w:pPr>
        <w:spacing w:line="360" w:lineRule="auto"/>
        <w:rPr>
          <w:rFonts w:ascii="宋体" w:hAnsi="宋体" w:cs="宋体"/>
          <w:szCs w:val="21"/>
          <w:highlight w:val="none"/>
        </w:rPr>
      </w:pPr>
      <w:r>
        <w:rPr>
          <w:rFonts w:hint="eastAsia" w:ascii="宋体" w:hAnsi="宋体" w:cs="宋体"/>
          <w:szCs w:val="21"/>
          <w:highlight w:val="none"/>
        </w:rPr>
        <w:t>十、根据本次采购的结果，中标通知书发出之日起十个工作日内按照采购文件确定的事项与中标供应商签订合同。</w:t>
      </w:r>
    </w:p>
    <w:p>
      <w:pPr>
        <w:rPr>
          <w:rFonts w:ascii="宋体"/>
          <w:b/>
          <w:bCs/>
          <w:sz w:val="32"/>
          <w:szCs w:val="28"/>
          <w:highlight w:val="none"/>
        </w:rPr>
      </w:pPr>
      <w:r>
        <w:rPr>
          <w:rFonts w:hint="eastAsia" w:ascii="宋体"/>
          <w:b/>
          <w:bCs/>
          <w:sz w:val="32"/>
          <w:szCs w:val="28"/>
          <w:highlight w:val="none"/>
        </w:rPr>
        <w:br w:type="page"/>
      </w:r>
    </w:p>
    <w:p>
      <w:pPr>
        <w:jc w:val="center"/>
        <w:outlineLvl w:val="0"/>
        <w:rPr>
          <w:rFonts w:ascii="宋体"/>
          <w:b/>
          <w:bCs/>
          <w:sz w:val="32"/>
          <w:szCs w:val="28"/>
          <w:highlight w:val="none"/>
        </w:rPr>
      </w:pPr>
      <w:bookmarkStart w:id="20" w:name="_Toc10787"/>
      <w:bookmarkStart w:id="21" w:name="_Toc86918422"/>
      <w:bookmarkStart w:id="22" w:name="_Toc28715"/>
      <w:bookmarkStart w:id="23" w:name="_Toc83405796"/>
      <w:bookmarkStart w:id="24" w:name="_Toc29768"/>
      <w:bookmarkStart w:id="25" w:name="_Toc51746096"/>
      <w:r>
        <w:rPr>
          <w:rFonts w:hint="eastAsia" w:ascii="宋体"/>
          <w:b/>
          <w:bCs/>
          <w:sz w:val="32"/>
          <w:szCs w:val="28"/>
          <w:highlight w:val="none"/>
        </w:rPr>
        <w:t>第四章 合 同</w:t>
      </w:r>
      <w:bookmarkEnd w:id="20"/>
      <w:bookmarkEnd w:id="21"/>
      <w:bookmarkEnd w:id="22"/>
      <w:bookmarkEnd w:id="23"/>
      <w:bookmarkEnd w:id="24"/>
      <w:bookmarkEnd w:id="25"/>
    </w:p>
    <w:p>
      <w:pPr>
        <w:bidi w:val="0"/>
        <w:jc w:val="center"/>
        <w:rPr>
          <w:sz w:val="20"/>
          <w:szCs w:val="22"/>
          <w:highlight w:val="none"/>
        </w:rPr>
      </w:pPr>
      <w:bookmarkStart w:id="26" w:name="?????"/>
      <w:bookmarkEnd w:id="26"/>
      <w:bookmarkStart w:id="27" w:name="合同协议书"/>
      <w:r>
        <w:rPr>
          <w:rFonts w:hint="eastAsia"/>
          <w:b/>
          <w:bCs/>
          <w:sz w:val="28"/>
          <w:szCs w:val="36"/>
          <w:highlight w:val="none"/>
          <w:lang w:eastAsia="zh-CN"/>
        </w:rPr>
        <w:t>2021年前海办公用房租金评估及租金政策评估</w:t>
      </w:r>
      <w:r>
        <w:rPr>
          <w:rFonts w:hint="eastAsia"/>
          <w:b/>
          <w:bCs/>
          <w:sz w:val="28"/>
          <w:szCs w:val="36"/>
          <w:highlight w:val="none"/>
        </w:rPr>
        <w:t>合同</w:t>
      </w:r>
    </w:p>
    <w:p>
      <w:pPr>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（参考文本，在双方沟通达成一致时，可对非实质性内容进行优化）</w:t>
      </w:r>
    </w:p>
    <w:p>
      <w:pPr>
        <w:shd w:val="clear" w:color="auto" w:fill="FFFFFF"/>
        <w:tabs>
          <w:tab w:val="left" w:pos="180"/>
        </w:tabs>
        <w:adjustRightInd w:val="0"/>
        <w:snapToGrid w:val="0"/>
        <w:jc w:val="right"/>
        <w:rPr>
          <w:bCs/>
          <w:szCs w:val="21"/>
          <w:highlight w:val="none"/>
        </w:rPr>
      </w:pPr>
    </w:p>
    <w:p>
      <w:pPr>
        <w:shd w:val="clear" w:color="auto" w:fill="FFFFFF"/>
        <w:tabs>
          <w:tab w:val="left" w:pos="180"/>
        </w:tabs>
        <w:adjustRightInd w:val="0"/>
        <w:snapToGrid w:val="0"/>
        <w:spacing w:line="440" w:lineRule="exact"/>
        <w:jc w:val="right"/>
        <w:rPr>
          <w:szCs w:val="21"/>
          <w:highlight w:val="none"/>
        </w:rPr>
      </w:pP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甲方：深圳市前海深港</w:t>
      </w:r>
      <w:r>
        <w:rPr>
          <w:szCs w:val="21"/>
          <w:highlight w:val="none"/>
        </w:rPr>
        <w:t>现代服务业合作区</w:t>
      </w:r>
      <w:r>
        <w:rPr>
          <w:rFonts w:hint="eastAsia"/>
          <w:szCs w:val="21"/>
          <w:highlight w:val="none"/>
        </w:rPr>
        <w:t>管理局</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法定代表人：</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地址：</w:t>
      </w:r>
    </w:p>
    <w:p>
      <w:pPr>
        <w:shd w:val="clear" w:color="auto" w:fill="FFFFFF"/>
        <w:adjustRightInd w:val="0"/>
        <w:snapToGrid w:val="0"/>
        <w:spacing w:line="440" w:lineRule="exact"/>
        <w:ind w:firstLine="420" w:firstLineChars="200"/>
        <w:rPr>
          <w:szCs w:val="21"/>
          <w:highlight w:val="none"/>
        </w:rPr>
      </w:pP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 xml:space="preserve">乙方： </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 xml:space="preserve">法定代表人： </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 xml:space="preserve">地址： </w:t>
      </w:r>
    </w:p>
    <w:p>
      <w:pPr>
        <w:shd w:val="clear" w:color="auto" w:fill="FFFFFF"/>
        <w:adjustRightInd w:val="0"/>
        <w:snapToGrid w:val="0"/>
        <w:spacing w:line="440" w:lineRule="exact"/>
        <w:ind w:firstLine="420" w:firstLineChars="200"/>
        <w:rPr>
          <w:szCs w:val="21"/>
          <w:highlight w:val="none"/>
        </w:rPr>
      </w:pP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根据《中华人民共和国民法典》等法律、法规的相关规定，经友好协商，各方就甲方委托乙方承担《</w:t>
      </w:r>
      <w:r>
        <w:rPr>
          <w:rFonts w:hint="eastAsia"/>
          <w:szCs w:val="21"/>
          <w:highlight w:val="none"/>
          <w:lang w:eastAsia="zh-CN"/>
        </w:rPr>
        <w:t>2021年前海办公用房租金评估及租金政策评估</w:t>
      </w:r>
      <w:r>
        <w:rPr>
          <w:rFonts w:hint="eastAsia"/>
          <w:szCs w:val="21"/>
          <w:highlight w:val="none"/>
        </w:rPr>
        <w:t>》项目（以下简称“本项目”）工作事宜达成一致，约定如下：</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第一条 项目内容</w:t>
      </w:r>
    </w:p>
    <w:p>
      <w:pPr>
        <w:shd w:val="clear" w:color="auto" w:fill="FFFFFF"/>
        <w:adjustRightInd w:val="0"/>
        <w:snapToGrid w:val="0"/>
        <w:spacing w:line="440" w:lineRule="exact"/>
        <w:ind w:firstLine="420" w:firstLineChars="200"/>
        <w:rPr>
          <w:rFonts w:hint="eastAsia"/>
          <w:szCs w:val="21"/>
          <w:highlight w:val="none"/>
        </w:rPr>
      </w:pPr>
      <w:r>
        <w:rPr>
          <w:rFonts w:hint="eastAsia"/>
          <w:szCs w:val="21"/>
          <w:highlight w:val="none"/>
        </w:rPr>
        <w:t>主要工作内容包括对前海合作区内的办公用房项目进行2021年度租金价格评估，并负责解释、答疑。对前海租金政策出台和实施的效果进行评估，分析政策的出台和实施对前海办公用房空置率、租金价格等方面的影响。</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第二条 项目服务要求</w:t>
      </w:r>
    </w:p>
    <w:p>
      <w:pPr>
        <w:shd w:val="clear" w:color="auto" w:fill="auto"/>
        <w:spacing w:line="360" w:lineRule="auto"/>
        <w:ind w:firstLine="420"/>
        <w:rPr>
          <w:rFonts w:hint="eastAsia" w:ascii="Calibri" w:hAnsi="Calibri" w:eastAsia="宋体" w:cs="Times New Roman"/>
          <w:szCs w:val="21"/>
          <w:highlight w:val="none"/>
        </w:rPr>
      </w:pPr>
      <w:r>
        <w:rPr>
          <w:rFonts w:hint="eastAsia"/>
          <w:bCs/>
          <w:szCs w:val="21"/>
          <w:highlight w:val="none"/>
        </w:rPr>
        <w:t>（</w:t>
      </w:r>
      <w:r>
        <w:rPr>
          <w:rFonts w:hint="eastAsia" w:ascii="Calibri" w:hAnsi="Calibri" w:eastAsia="宋体" w:cs="Times New Roman"/>
          <w:szCs w:val="21"/>
          <w:highlight w:val="none"/>
        </w:rPr>
        <w:t>一）办公用房租金评估</w:t>
      </w:r>
    </w:p>
    <w:p>
      <w:pPr>
        <w:shd w:val="clear" w:color="auto" w:fill="auto"/>
        <w:spacing w:line="360" w:lineRule="auto"/>
        <w:ind w:firstLine="420"/>
        <w:rPr>
          <w:rFonts w:hint="default" w:ascii="Calibri" w:hAnsi="Calibri" w:eastAsia="宋体" w:cs="Times New Roman"/>
          <w:szCs w:val="21"/>
          <w:highlight w:val="none"/>
        </w:rPr>
      </w:pPr>
      <w:r>
        <w:rPr>
          <w:rFonts w:hint="default" w:ascii="Calibri" w:hAnsi="Calibri" w:eastAsia="宋体" w:cs="Times New Roman"/>
          <w:szCs w:val="21"/>
          <w:highlight w:val="none"/>
        </w:rPr>
        <w:t>对前海合作区内需评估的办公用房项目进行物业查勘、市场调研，并科学合理建立评估模型；以项目为单位，根据项目实际情况，评估项目市场租金，并出具市场评估租金报告。公开发布相关项目市场评估租金，并根据需要进行解释、答疑。</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拟对2021年前海合作区原区域（15平方公里）内办公用房租金价格进行评估，主要涉及前海卓越金融中心、基金小镇、华润金融中心、景兴海上广场、景兴海上大厦、弘毅大厦、前海大厦、企业公馆、创新中心、嘉里中心、世茂金融中心、信利康大厦、香江金融大厦、香缤大厦、自贸大厦、招商海运中心、顺丰总部大厦、文创小镇一期、招商前海经贸中心、深国际前海颐都大厦等楼宇。</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（二）政策评估</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对前海租金政策评估内容包括但不限于：</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1.通过横向、纵向对比，分析租金政策出台前后，对租赁市场供需情况影响，对写字楼空置率的影响；分析前海近三年来办公用房租金水平的变动情况；</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2.通过模拟分析，如果没有租金补贴政策，前海需通过多长时间达到目前的入驻率，通过数据分析租金补贴政策出台后的效果；</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3.通过对企业、行业协会、中介等进行调研访谈，分析前海办公用房政策的兑现程度、效益产出等有效性评估，并收集各方有效反馈意见；</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4.梳理国内租金补贴政策，选取与前海区域位置、发展定位等相似案例，进行比较分析，客观地得出前海办公用房租金政策的效应；</w:t>
      </w:r>
    </w:p>
    <w:p>
      <w:pPr>
        <w:shd w:val="clear" w:color="auto" w:fill="FFFFFF"/>
        <w:adjustRightInd w:val="0"/>
        <w:snapToGrid w:val="0"/>
        <w:spacing w:line="440" w:lineRule="exact"/>
        <w:ind w:firstLine="420" w:firstLineChars="200"/>
        <w:rPr>
          <w:rFonts w:hint="eastAsia" w:ascii="Calibri" w:hAnsi="Calibri" w:eastAsia="宋体" w:cs="Times New Roman"/>
          <w:szCs w:val="21"/>
          <w:highlight w:val="none"/>
        </w:rPr>
      </w:pPr>
      <w:r>
        <w:rPr>
          <w:rFonts w:hint="eastAsia" w:ascii="Calibri" w:hAnsi="Calibri" w:eastAsia="宋体" w:cs="Times New Roman"/>
          <w:szCs w:val="21"/>
          <w:highlight w:val="none"/>
        </w:rPr>
        <w:t>5.通过实地调研，新政策对前海办公用房租金的影响，了解社会公众对新旧政策的意见，归类总结提出相关政策建议。</w:t>
      </w:r>
    </w:p>
    <w:p>
      <w:pPr>
        <w:shd w:val="clear" w:color="auto" w:fill="FFFFFF"/>
        <w:adjustRightInd w:val="0"/>
        <w:snapToGrid w:val="0"/>
        <w:spacing w:line="440" w:lineRule="exact"/>
        <w:ind w:firstLine="422" w:firstLineChars="200"/>
        <w:rPr>
          <w:rFonts w:hint="eastAsia"/>
          <w:b/>
          <w:szCs w:val="21"/>
          <w:highlight w:val="none"/>
          <w:lang w:val="en-US" w:eastAsia="zh-CN"/>
        </w:rPr>
      </w:pPr>
      <w:r>
        <w:rPr>
          <w:rFonts w:hint="eastAsia"/>
          <w:b/>
          <w:szCs w:val="21"/>
          <w:highlight w:val="none"/>
          <w:lang w:val="en-US" w:eastAsia="zh-CN"/>
        </w:rPr>
        <w:t>第三条 人员及管理要求</w:t>
      </w:r>
    </w:p>
    <w:p>
      <w:pPr>
        <w:shd w:val="clear" w:color="auto" w:fill="auto"/>
        <w:spacing w:line="360" w:lineRule="auto"/>
        <w:ind w:firstLine="420"/>
        <w:rPr>
          <w:rFonts w:hint="eastAsia" w:ascii="Calibri" w:hAnsi="Calibri" w:cs="Times New Roman"/>
          <w:szCs w:val="21"/>
          <w:highlight w:val="none"/>
          <w:lang w:val="en-US" w:eastAsia="zh-CN"/>
        </w:rPr>
      </w:pPr>
      <w:r>
        <w:rPr>
          <w:rFonts w:hint="eastAsia" w:ascii="Calibri" w:hAnsi="Calibri" w:cs="Times New Roman"/>
          <w:szCs w:val="21"/>
          <w:highlight w:val="none"/>
          <w:lang w:eastAsia="zh-CN"/>
        </w:rPr>
        <w:t>（</w:t>
      </w:r>
      <w:r>
        <w:rPr>
          <w:rFonts w:hint="eastAsia" w:ascii="Calibri" w:hAnsi="Calibri" w:cs="Times New Roman"/>
          <w:szCs w:val="21"/>
          <w:highlight w:val="none"/>
          <w:lang w:val="en-US" w:eastAsia="zh-CN"/>
        </w:rPr>
        <w:t>一</w:t>
      </w:r>
      <w:r>
        <w:rPr>
          <w:rFonts w:hint="eastAsia" w:ascii="Calibri" w:hAnsi="Calibri" w:cs="Times New Roman"/>
          <w:szCs w:val="21"/>
          <w:highlight w:val="none"/>
          <w:lang w:eastAsia="zh-CN"/>
        </w:rPr>
        <w:t>）</w:t>
      </w:r>
      <w:r>
        <w:rPr>
          <w:rFonts w:hint="eastAsia" w:ascii="Calibri" w:hAnsi="Calibri" w:cs="Times New Roman"/>
          <w:szCs w:val="21"/>
          <w:highlight w:val="none"/>
          <w:lang w:val="en-US" w:eastAsia="zh-CN"/>
        </w:rPr>
        <w:t>人员要求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1.人员配备要求：供应商应指派</w:t>
      </w:r>
      <w:r>
        <w:rPr>
          <w:rFonts w:hint="default" w:ascii="Calibri" w:hAnsi="Calibri" w:eastAsia="宋体" w:cs="Times New Roman"/>
          <w:szCs w:val="21"/>
          <w:highlight w:val="none"/>
          <w:lang w:eastAsia="zh-CN"/>
        </w:rPr>
        <w:t>5</w:t>
      </w:r>
      <w:r>
        <w:rPr>
          <w:rFonts w:hint="eastAsia" w:ascii="Calibri" w:hAnsi="Calibri" w:eastAsia="宋体" w:cs="Times New Roman"/>
          <w:szCs w:val="21"/>
          <w:highlight w:val="none"/>
          <w:lang w:val="en-US" w:eastAsia="zh-CN"/>
        </w:rPr>
        <w:t>名团队</w:t>
      </w:r>
      <w:r>
        <w:rPr>
          <w:rFonts w:hint="eastAsia" w:ascii="Calibri" w:hAnsi="Calibri" w:eastAsia="宋体" w:cs="Times New Roman"/>
          <w:szCs w:val="21"/>
          <w:highlight w:val="none"/>
        </w:rPr>
        <w:t>人员，配合</w:t>
      </w:r>
      <w:r>
        <w:rPr>
          <w:rFonts w:hint="eastAsia" w:ascii="Calibri" w:hAnsi="Calibri" w:cs="Times New Roman"/>
          <w:szCs w:val="21"/>
          <w:highlight w:val="none"/>
          <w:lang w:val="en-US" w:eastAsia="zh-CN"/>
        </w:rPr>
        <w:t>甲</w:t>
      </w:r>
      <w:r>
        <w:rPr>
          <w:rFonts w:hint="eastAsia" w:ascii="Calibri" w:hAnsi="Calibri" w:eastAsia="宋体" w:cs="Times New Roman"/>
          <w:szCs w:val="21"/>
          <w:highlight w:val="none"/>
        </w:rPr>
        <w:t>方开展项目全过程管理。</w:t>
      </w:r>
    </w:p>
    <w:p>
      <w:pPr>
        <w:shd w:val="clear" w:color="auto" w:fill="auto"/>
        <w:spacing w:line="360" w:lineRule="auto"/>
        <w:ind w:firstLine="420"/>
        <w:rPr>
          <w:rFonts w:hint="eastAsia" w:ascii="Calibri" w:hAnsi="Calibri" w:eastAsia="宋体" w:cs="Times New Roman"/>
          <w:szCs w:val="21"/>
          <w:highlight w:val="yellow"/>
        </w:rPr>
      </w:pPr>
      <w:r>
        <w:rPr>
          <w:rFonts w:hint="eastAsia" w:ascii="Calibri" w:hAnsi="Calibri" w:eastAsia="宋体" w:cs="Times New Roman"/>
          <w:szCs w:val="21"/>
          <w:highlight w:val="none"/>
        </w:rPr>
        <w:t>2.人员资质要求：</w:t>
      </w:r>
      <w:r>
        <w:rPr>
          <w:rFonts w:hint="default" w:ascii="Calibri" w:hAnsi="Calibri" w:cs="Times New Roman"/>
          <w:szCs w:val="21"/>
          <w:highlight w:val="none"/>
        </w:rPr>
        <w:t>至少3名人员具有租金评估资质，且有租金价格评估及政策评估工作经验；</w:t>
      </w:r>
      <w:r>
        <w:rPr>
          <w:rFonts w:hint="eastAsia" w:ascii="Calibri" w:hAnsi="Calibri" w:eastAsia="宋体" w:cs="Times New Roman"/>
          <w:szCs w:val="21"/>
          <w:highlight w:val="none"/>
        </w:rPr>
        <w:t>身体健康，沟通能力强，有责任心，有较高的职业素养和敬业精神。</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3.在服务期限内，项目人员应相对稳定，中标方不得随意更换项目负责人和项目组成员，及减少项目团队人数，或降低项目团队标准。若团队成员更换，须经</w:t>
      </w:r>
      <w:r>
        <w:rPr>
          <w:rFonts w:hint="eastAsia" w:ascii="Calibri" w:hAnsi="Calibri" w:cs="Times New Roman"/>
          <w:szCs w:val="21"/>
          <w:highlight w:val="none"/>
          <w:lang w:val="en-US" w:eastAsia="zh-CN"/>
        </w:rPr>
        <w:t>甲方</w:t>
      </w:r>
      <w:r>
        <w:rPr>
          <w:rFonts w:hint="eastAsia" w:ascii="Calibri" w:hAnsi="Calibri" w:eastAsia="宋体" w:cs="Times New Roman"/>
          <w:szCs w:val="21"/>
          <w:highlight w:val="none"/>
        </w:rPr>
        <w:t>书面同意后方可更换。</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4.中标方应在合同签订后5个工作日内按</w:t>
      </w:r>
      <w:r>
        <w:t>甲</w:t>
      </w:r>
      <w:r>
        <w:rPr>
          <w:rFonts w:hint="eastAsia" w:ascii="Calibri" w:hAnsi="Calibri" w:eastAsia="宋体" w:cs="Times New Roman"/>
          <w:szCs w:val="21"/>
          <w:highlight w:val="none"/>
        </w:rPr>
        <w:t>方要求安排人员到岗开展服务工作，否则，每超期1天处以5000元/人次</w:t>
      </w:r>
      <w:r>
        <w:rPr>
          <w:rFonts w:hint="eastAsia" w:ascii="Calibri" w:hAnsi="Calibri" w:eastAsia="宋体" w:cs="Times New Roman"/>
          <w:szCs w:val="21"/>
          <w:highlight w:val="none"/>
          <w:lang w:val="en-US" w:eastAsia="zh-CN"/>
        </w:rPr>
        <w:t>/</w:t>
      </w:r>
      <w:r>
        <w:rPr>
          <w:rFonts w:hint="eastAsia" w:ascii="Calibri" w:hAnsi="Calibri" w:eastAsia="宋体" w:cs="Times New Roman"/>
          <w:szCs w:val="21"/>
          <w:highlight w:val="none"/>
        </w:rPr>
        <w:t>日的违约金；若超期5天仍未按招标方要求安排人员到岗开展服务工作，采购方有权解除合同。若</w:t>
      </w:r>
      <w:r>
        <w:rPr>
          <w:rFonts w:hint="default" w:ascii="Calibri" w:hAnsi="Calibri" w:cs="Times New Roman"/>
          <w:szCs w:val="21"/>
          <w:highlight w:val="none"/>
        </w:rPr>
        <w:t>甲</w:t>
      </w:r>
      <w:r>
        <w:rPr>
          <w:rFonts w:hint="eastAsia" w:ascii="Calibri" w:hAnsi="Calibri" w:eastAsia="宋体" w:cs="Times New Roman"/>
          <w:szCs w:val="21"/>
          <w:highlight w:val="none"/>
        </w:rPr>
        <w:t>方根据工作需求提出更换团队服务人员的，中标方在10个工作日内未更换或拒不更换人员，采购方有权解除合同。</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5.本项目服务团队人员不得有下列情形之一：</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5.1受过刑事处罚或者涉嫌违法犯罪尚未查清的。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5.2曾被行政拘留或者有吸毒史的。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5.3因违规违纪被机关、事业单位开除、辞退的。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5.4有个人不良信用记录的。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5.5曾参加过非法组织、邪教组织或危害国家安全活动的。</w:t>
      </w:r>
    </w:p>
    <w:p>
      <w:pPr>
        <w:ind w:firstLine="422" w:firstLineChars="200"/>
        <w:rPr>
          <w:rFonts w:hint="eastAsia" w:ascii="宋体" w:hAnsi="宋体"/>
          <w:b/>
          <w:szCs w:val="21"/>
          <w:highlight w:val="none"/>
        </w:rPr>
      </w:pPr>
      <w:r>
        <w:rPr>
          <w:rFonts w:hint="eastAsia" w:ascii="宋体" w:hAnsi="宋体"/>
          <w:b/>
          <w:szCs w:val="21"/>
          <w:highlight w:val="none"/>
          <w:lang w:eastAsia="zh-CN"/>
        </w:rPr>
        <w:t>（</w:t>
      </w:r>
      <w:r>
        <w:rPr>
          <w:rFonts w:hint="eastAsia" w:ascii="宋体" w:hAnsi="宋体"/>
          <w:b/>
          <w:szCs w:val="21"/>
          <w:highlight w:val="none"/>
          <w:lang w:val="en-US" w:eastAsia="zh-CN"/>
        </w:rPr>
        <w:t>二</w:t>
      </w:r>
      <w:r>
        <w:rPr>
          <w:rFonts w:hint="eastAsia" w:ascii="宋体" w:hAnsi="宋体"/>
          <w:b/>
          <w:szCs w:val="21"/>
          <w:highlight w:val="none"/>
          <w:lang w:eastAsia="zh-CN"/>
        </w:rPr>
        <w:t>）</w:t>
      </w:r>
      <w:r>
        <w:rPr>
          <w:rFonts w:hint="eastAsia" w:ascii="宋体" w:hAnsi="宋体"/>
          <w:b/>
          <w:szCs w:val="21"/>
          <w:highlight w:val="none"/>
        </w:rPr>
        <w:t>项目管理要求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1.中标方应指定一名团队负责人与</w:t>
      </w:r>
      <w:r>
        <w:rPr>
          <w:rFonts w:hint="default" w:ascii="Calibri" w:hAnsi="Calibri" w:cs="Times New Roman"/>
          <w:szCs w:val="21"/>
          <w:highlight w:val="none"/>
        </w:rPr>
        <w:t>甲</w:t>
      </w:r>
      <w:r>
        <w:rPr>
          <w:rFonts w:hint="eastAsia" w:ascii="Calibri" w:hAnsi="Calibri" w:eastAsia="宋体" w:cs="Times New Roman"/>
          <w:szCs w:val="21"/>
          <w:highlight w:val="none"/>
        </w:rPr>
        <w:t>方做好工作业务沟通对接、人员管理工作。</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2.投入项目的团队成员工作时间应与</w:t>
      </w:r>
      <w:r>
        <w:rPr>
          <w:rFonts w:hint="default" w:ascii="Calibri" w:hAnsi="Calibri" w:cs="Times New Roman"/>
          <w:szCs w:val="21"/>
          <w:highlight w:val="none"/>
        </w:rPr>
        <w:t>甲方</w:t>
      </w:r>
      <w:r>
        <w:rPr>
          <w:rFonts w:hint="eastAsia" w:ascii="Calibri" w:hAnsi="Calibri" w:eastAsia="宋体" w:cs="Times New Roman"/>
          <w:szCs w:val="21"/>
          <w:highlight w:val="none"/>
        </w:rPr>
        <w:t>上班时间保持一致，不得无故缺勤，不得违反采购方单位工作纪律。</w:t>
      </w:r>
    </w:p>
    <w:p>
      <w:pPr>
        <w:pStyle w:val="2"/>
        <w:ind w:firstLine="420" w:firstLineChars="200"/>
        <w:rPr>
          <w:rFonts w:hint="eastAsia" w:ascii="Calibri" w:hAnsi="Calibri" w:eastAsia="宋体" w:cs="Times New Roman"/>
          <w:szCs w:val="21"/>
          <w:highlight w:val="none"/>
        </w:rPr>
      </w:pPr>
      <w:r>
        <w:rPr>
          <w:rFonts w:hint="eastAsia" w:ascii="Calibri" w:hAnsi="Calibri" w:eastAsia="宋体" w:cs="Times New Roman"/>
          <w:szCs w:val="21"/>
          <w:highlight w:val="none"/>
        </w:rPr>
        <w:t>3.</w:t>
      </w:r>
      <w:r>
        <w:rPr>
          <w:rFonts w:hint="default" w:ascii="Calibri" w:hAnsi="Calibri" w:cs="Times New Roman"/>
          <w:szCs w:val="21"/>
          <w:highlight w:val="none"/>
        </w:rPr>
        <w:t>如需派驻，甲方</w:t>
      </w:r>
      <w:r>
        <w:rPr>
          <w:rFonts w:hint="eastAsia" w:ascii="Calibri" w:hAnsi="Calibri" w:eastAsia="宋体" w:cs="Times New Roman"/>
          <w:szCs w:val="21"/>
          <w:highlight w:val="none"/>
        </w:rPr>
        <w:t>应为派驻人员提供必要的工作条件及设施。</w:t>
      </w:r>
    </w:p>
    <w:p>
      <w:pPr>
        <w:ind w:firstLine="420" w:firstLineChars="200"/>
        <w:rPr>
          <w:rFonts w:hint="default" w:ascii="Calibri" w:hAnsi="Calibri" w:cs="Times New Roman"/>
          <w:szCs w:val="21"/>
          <w:highlight w:val="none"/>
        </w:rPr>
      </w:pPr>
      <w:r>
        <w:rPr>
          <w:rFonts w:hint="default" w:ascii="Calibri" w:hAnsi="Calibri" w:cs="Times New Roman"/>
          <w:szCs w:val="21"/>
          <w:highlight w:val="none"/>
        </w:rPr>
        <w:t>（三）项目服务期限</w:t>
      </w:r>
    </w:p>
    <w:p>
      <w:pPr>
        <w:ind w:firstLine="420" w:firstLineChars="200"/>
        <w:rPr>
          <w:rFonts w:hint="default" w:ascii="Calibri" w:hAnsi="Calibri" w:cs="Times New Roman"/>
          <w:szCs w:val="21"/>
          <w:highlight w:val="none"/>
          <w:lang w:eastAsia="zh-CN"/>
        </w:rPr>
      </w:pPr>
      <w:r>
        <w:rPr>
          <w:rFonts w:hint="default" w:ascii="Calibri" w:hAnsi="Calibri" w:cs="Times New Roman"/>
          <w:szCs w:val="21"/>
          <w:highlight w:val="none"/>
          <w:lang w:eastAsia="zh-CN"/>
        </w:rPr>
        <w:t>项目服务期限原则上为自合同签订之日起一年内。</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第四条 合同费用及付款方式</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（一）合同费用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本合同金额（含税费）共计人民币     万元整(￥    )。服务费已包含乙方提供本合同项下服务的全部费用，包括但不限于如下内容：</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1.乙方为甲方所提供的所有服务和技术支持费用；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2.乙方工作人员工资、差旅费；</w:t>
      </w:r>
    </w:p>
    <w:p>
      <w:pPr>
        <w:shd w:val="clear" w:color="auto" w:fill="FFFFFF"/>
        <w:adjustRightInd w:val="0"/>
        <w:snapToGrid w:val="0"/>
        <w:spacing w:line="440" w:lineRule="exact"/>
        <w:ind w:firstLine="420" w:firstLineChars="200"/>
        <w:rPr>
          <w:szCs w:val="21"/>
          <w:highlight w:val="none"/>
        </w:rPr>
      </w:pPr>
      <w:r>
        <w:rPr>
          <w:rFonts w:hint="eastAsia"/>
          <w:szCs w:val="21"/>
          <w:highlight w:val="none"/>
          <w:lang w:val="en-US" w:eastAsia="zh-CN"/>
        </w:rPr>
        <w:t>3</w:t>
      </w:r>
      <w:r>
        <w:rPr>
          <w:rFonts w:hint="eastAsia"/>
          <w:szCs w:val="21"/>
          <w:highlight w:val="none"/>
        </w:rPr>
        <w:t>.乙方的办公、通讯、交通费用；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lang w:val="en-US" w:eastAsia="zh-CN"/>
        </w:rPr>
        <w:t>4</w:t>
      </w:r>
      <w:r>
        <w:rPr>
          <w:rFonts w:hint="eastAsia"/>
          <w:szCs w:val="21"/>
          <w:highlight w:val="none"/>
        </w:rPr>
        <w:t>.项目材料统计、分析费用；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lang w:val="en-US" w:eastAsia="zh-CN"/>
        </w:rPr>
        <w:t>5</w:t>
      </w:r>
      <w:r>
        <w:rPr>
          <w:rFonts w:hint="eastAsia"/>
          <w:szCs w:val="21"/>
          <w:highlight w:val="none"/>
        </w:rPr>
        <w:t>.项目成果文本印刷费用；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lang w:val="en-US" w:eastAsia="zh-CN"/>
        </w:rPr>
        <w:t>6</w:t>
      </w:r>
      <w:r>
        <w:rPr>
          <w:rFonts w:hint="eastAsia"/>
          <w:szCs w:val="21"/>
          <w:highlight w:val="none"/>
        </w:rPr>
        <w:t>.乙方以各种方式将文件资料发送至甲方的费用；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lang w:val="en-US" w:eastAsia="zh-CN"/>
        </w:rPr>
        <w:t>7</w:t>
      </w:r>
      <w:r>
        <w:rPr>
          <w:rFonts w:hint="eastAsia"/>
          <w:szCs w:val="21"/>
          <w:highlight w:val="none"/>
        </w:rPr>
        <w:t>.本合同项下产生的一切税费;</w:t>
      </w:r>
    </w:p>
    <w:p>
      <w:pPr>
        <w:shd w:val="clear" w:color="auto" w:fill="FFFFFF"/>
        <w:adjustRightInd w:val="0"/>
        <w:snapToGrid w:val="0"/>
        <w:spacing w:line="440" w:lineRule="exact"/>
        <w:ind w:firstLine="420" w:firstLineChars="200"/>
        <w:rPr>
          <w:szCs w:val="21"/>
          <w:highlight w:val="none"/>
        </w:rPr>
      </w:pPr>
      <w:r>
        <w:rPr>
          <w:rFonts w:hint="eastAsia"/>
          <w:szCs w:val="21"/>
          <w:highlight w:val="none"/>
          <w:lang w:val="en-US" w:eastAsia="zh-CN"/>
        </w:rPr>
        <w:t>8</w:t>
      </w:r>
      <w:r>
        <w:rPr>
          <w:rFonts w:hint="eastAsia"/>
          <w:szCs w:val="21"/>
          <w:highlight w:val="none"/>
        </w:rPr>
        <w:t>.本合同项下产生的其他合理费用。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（二）支付方式</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合同价款由甲方分3期支付至乙方指定银行账户：</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首期：本合同签订后15个工作日内，乙方向甲方提出付款申请，甲方向乙方支付</w:t>
      </w:r>
      <w:r>
        <w:rPr>
          <w:rFonts w:hint="default"/>
          <w:szCs w:val="21"/>
          <w:highlight w:val="none"/>
        </w:rPr>
        <w:t>合同</w:t>
      </w:r>
      <w:r>
        <w:rPr>
          <w:rFonts w:hint="eastAsia"/>
          <w:szCs w:val="21"/>
          <w:highlight w:val="none"/>
        </w:rPr>
        <w:t>总价款的30%；</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第2期：乙方完成提交送审成果，通过专家评审会评审</w:t>
      </w:r>
      <w:r>
        <w:rPr>
          <w:rFonts w:hint="default"/>
          <w:szCs w:val="21"/>
          <w:highlight w:val="none"/>
        </w:rPr>
        <w:t>，并通过甲方局领导专题会</w:t>
      </w:r>
      <w:r>
        <w:rPr>
          <w:rFonts w:hint="eastAsia"/>
          <w:szCs w:val="21"/>
          <w:highlight w:val="none"/>
        </w:rPr>
        <w:t>后15个工作日内，乙方向甲方提出付款申请，甲方向乙方支付总价款的50%；</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第3期：</w:t>
      </w:r>
      <w:r>
        <w:rPr>
          <w:rFonts w:hint="default"/>
          <w:szCs w:val="21"/>
          <w:highlight w:val="none"/>
        </w:rPr>
        <w:t>甲方在完成租金评估价格公示</w:t>
      </w:r>
      <w:r>
        <w:rPr>
          <w:rFonts w:hint="eastAsia"/>
          <w:szCs w:val="21"/>
          <w:highlight w:val="none"/>
        </w:rPr>
        <w:t>后15个工作日内，乙方向甲方提出付款申请，甲方向乙方支付总价款的20%。</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上述每期款项均在满足付款条件，且甲方收到乙方开具的载明相应金额的合格发票后15个工作日内付至乙方指定银行账户。如未及时收到发票，则甲方相应付款时间顺延。</w:t>
      </w:r>
      <w:r>
        <w:rPr>
          <w:rFonts w:hint="eastAsia" w:ascii="宋体" w:hAnsi="宋体"/>
          <w:kern w:val="0"/>
          <w:szCs w:val="21"/>
        </w:rPr>
        <w:t>若因甲方付款审批影响支付进度，请乙方予以谅解，并不得就此向甲方索赔。</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开户银行：</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开户名：</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开户银行帐号：</w:t>
      </w:r>
    </w:p>
    <w:p>
      <w:pPr>
        <w:shd w:val="clear" w:color="auto" w:fill="FFFFFF"/>
        <w:adjustRightInd w:val="0"/>
        <w:snapToGrid w:val="0"/>
        <w:spacing w:line="440" w:lineRule="exact"/>
        <w:ind w:firstLine="420" w:firstLineChars="200"/>
        <w:rPr>
          <w:rFonts w:hint="eastAsia"/>
          <w:szCs w:val="21"/>
          <w:highlight w:val="none"/>
        </w:rPr>
      </w:pPr>
      <w:r>
        <w:rPr>
          <w:rFonts w:hint="eastAsia"/>
          <w:szCs w:val="21"/>
          <w:highlight w:val="none"/>
        </w:rPr>
        <w:t>开户银行地址：</w:t>
      </w:r>
    </w:p>
    <w:p>
      <w:pPr>
        <w:widowControl/>
        <w:spacing w:line="360" w:lineRule="auto"/>
        <w:ind w:firstLine="420" w:firstLineChars="200"/>
      </w:pPr>
      <w:r>
        <w:rPr>
          <w:rFonts w:hint="eastAsia"/>
          <w:kern w:val="0"/>
          <w:szCs w:val="21"/>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第五条 双方的权利义务</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（一）甲方的权利和义务</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1.甲方有权向乙方询问项目工作进展及相关情况，并要求乙方在合理时间内做出答复。</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2.甲方有权对乙方提交的阶段性成果、最终成果送审稿等相关文件进行审核并提出修改意见。</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3.</w:t>
      </w:r>
      <w:r>
        <w:rPr>
          <w:rFonts w:hint="eastAsia"/>
          <w:szCs w:val="21"/>
          <w:highlight w:val="none"/>
          <w:lang w:val="en-US" w:eastAsia="zh-Hans"/>
        </w:rPr>
        <w:t>甲方有权</w:t>
      </w:r>
      <w:r>
        <w:rPr>
          <w:rFonts w:hint="eastAsia" w:ascii="Times New Roman" w:hAnsi="Times New Roman" w:eastAsia="宋体" w:cs="Times New Roman"/>
          <w:sz w:val="21"/>
          <w:szCs w:val="21"/>
          <w:highlight w:val="none"/>
        </w:rPr>
        <w:t>检查乙方研究人员到位情况，如因人力、能力不足致使研究工作不能按计划完成时，可要求乙方增加或替换相应的人员，直至甲方认可，乙方不得拒绝。</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4.甲方对乙方在委托权限范围内完成委托事项提供必要的配合和支持，应为乙方在深圳开展调研出具函件联系相关部门协助开展工作，对于乙方遵照学术规律开展的研究活动不得无理由干涉。</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5. 甲方在不违反</w:t>
      </w:r>
      <w:r>
        <w:rPr>
          <w:rFonts w:hint="default"/>
          <w:szCs w:val="21"/>
          <w:highlight w:val="none"/>
        </w:rPr>
        <w:t>相关法律法规及</w:t>
      </w:r>
      <w:r>
        <w:rPr>
          <w:rFonts w:hint="eastAsia"/>
          <w:szCs w:val="21"/>
          <w:highlight w:val="none"/>
        </w:rPr>
        <w:t>自身纪律前提下，应为乙方开展调研提供必要的支持协助。应将服务项目所需相关资料、案例、数据等提供给乙方，确保所提供材料的准确性、真实性，确保不涉密。</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6.甲方应按照本合同的约定向乙方支付费用。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7.甲方对乙方在委托权限范围内完成委托事项有指导、监督权利。</w:t>
      </w:r>
    </w:p>
    <w:p>
      <w:pPr>
        <w:shd w:val="clear" w:color="auto" w:fill="FFFFFF"/>
        <w:adjustRightInd w:val="0"/>
        <w:snapToGrid w:val="0"/>
        <w:spacing w:line="440" w:lineRule="exact"/>
        <w:ind w:firstLine="420" w:firstLineChars="200"/>
        <w:rPr>
          <w:rFonts w:hint="eastAsia"/>
          <w:szCs w:val="21"/>
          <w:highlight w:val="none"/>
        </w:rPr>
      </w:pPr>
      <w:r>
        <w:rPr>
          <w:rFonts w:hint="eastAsia"/>
          <w:szCs w:val="21"/>
          <w:highlight w:val="none"/>
        </w:rPr>
        <w:t>8.</w:t>
      </w:r>
      <w:r>
        <w:rPr>
          <w:rFonts w:hint="default" w:ascii="Times New Roman" w:hAnsi="Times New Roman" w:eastAsia="宋体" w:cs="Times New Roman"/>
          <w:sz w:val="21"/>
          <w:szCs w:val="21"/>
          <w:highlight w:val="none"/>
        </w:rPr>
        <w:t>甲方有权要求乙方全面履行合同。甲方不接受部分履行，如本合同项下部分成果文件未能按时交付则视为整体延误。</w:t>
      </w:r>
    </w:p>
    <w:p>
      <w:pPr>
        <w:shd w:val="clear" w:color="auto" w:fill="FFFFFF"/>
        <w:adjustRightInd w:val="0"/>
        <w:snapToGrid w:val="0"/>
        <w:spacing w:line="440" w:lineRule="exact"/>
        <w:ind w:firstLine="420" w:firstLineChars="200"/>
        <w:rPr>
          <w:szCs w:val="21"/>
          <w:highlight w:val="none"/>
        </w:rPr>
      </w:pPr>
      <w:r>
        <w:rPr>
          <w:rFonts w:hint="default"/>
          <w:szCs w:val="21"/>
          <w:highlight w:val="none"/>
        </w:rPr>
        <w:t>9</w:t>
      </w:r>
      <w:r>
        <w:rPr>
          <w:rFonts w:hint="eastAsia"/>
          <w:szCs w:val="21"/>
          <w:highlight w:val="none"/>
        </w:rPr>
        <w:t>．甲方指定项目联系人：</w:t>
      </w:r>
    </w:p>
    <w:p>
      <w:pPr>
        <w:shd w:val="clear" w:color="auto" w:fill="FFFFFF"/>
        <w:adjustRightInd w:val="0"/>
        <w:snapToGrid w:val="0"/>
        <w:spacing w:line="440" w:lineRule="exact"/>
        <w:ind w:firstLine="420" w:firstLineChars="200"/>
        <w:rPr>
          <w:rFonts w:hint="default"/>
          <w:szCs w:val="21"/>
          <w:highlight w:val="none"/>
        </w:rPr>
      </w:pPr>
      <w:r>
        <w:rPr>
          <w:rFonts w:hint="eastAsia"/>
          <w:szCs w:val="21"/>
          <w:highlight w:val="none"/>
        </w:rPr>
        <w:t>姓名：</w:t>
      </w:r>
      <w:r>
        <w:rPr>
          <w:rFonts w:hint="default"/>
          <w:szCs w:val="21"/>
          <w:highlight w:val="none"/>
        </w:rPr>
        <w:t>陈 璐</w:t>
      </w:r>
    </w:p>
    <w:p>
      <w:pPr>
        <w:shd w:val="clear" w:color="auto" w:fill="FFFFFF"/>
        <w:adjustRightInd w:val="0"/>
        <w:snapToGrid w:val="0"/>
        <w:spacing w:line="440" w:lineRule="exact"/>
        <w:ind w:firstLine="420" w:firstLineChars="200"/>
        <w:rPr>
          <w:rFonts w:hint="default"/>
          <w:szCs w:val="21"/>
          <w:highlight w:val="none"/>
        </w:rPr>
      </w:pPr>
      <w:r>
        <w:rPr>
          <w:rFonts w:hint="eastAsia"/>
          <w:szCs w:val="21"/>
          <w:highlight w:val="none"/>
        </w:rPr>
        <w:t>联系方式：</w:t>
      </w:r>
      <w:r>
        <w:rPr>
          <w:rFonts w:hint="default"/>
          <w:szCs w:val="21"/>
          <w:highlight w:val="none"/>
        </w:rPr>
        <w:t>36667657</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（二）乙方的权利和义务</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1.为保证项目成果的质量，乙方在合同履行期间，应按照服务内容要求组织专家队伍，成立项目团队（团队成员名单见附件），并保障项目团队成员到位，确保服务项目按照合同顺利进行，并在工作结束后及时组织专家论证。</w:t>
      </w:r>
      <w:r>
        <w:rPr>
          <w:rFonts w:hint="eastAsia" w:ascii="宋体" w:hAnsi="宋体" w:cs="宋体"/>
          <w:highlight w:val="none"/>
        </w:rPr>
        <w:t>项目团队成员应不少于</w:t>
      </w:r>
      <w:r>
        <w:rPr>
          <w:rFonts w:hint="eastAsia" w:ascii="宋体" w:hAnsi="宋体" w:cs="宋体"/>
          <w:highlight w:val="none"/>
          <w:lang w:val="en-US" w:eastAsia="zh-CN"/>
        </w:rPr>
        <w:t>5</w:t>
      </w:r>
      <w:r>
        <w:rPr>
          <w:rFonts w:hint="eastAsia" w:ascii="宋体" w:hAnsi="宋体" w:cs="宋体"/>
          <w:highlight w:val="none"/>
        </w:rPr>
        <w:t>人</w:t>
      </w:r>
      <w:r>
        <w:rPr>
          <w:rFonts w:ascii="宋体" w:hAnsi="宋体" w:cs="宋体"/>
          <w:highlight w:val="none"/>
        </w:rPr>
        <w:t>（不含项目负责人），</w:t>
      </w:r>
      <w:r>
        <w:rPr>
          <w:rFonts w:hint="eastAsia"/>
          <w:szCs w:val="21"/>
          <w:highlight w:val="none"/>
        </w:rPr>
        <w:t>负责人及相关工作人员名单在甲方确认后如需更换，乙方应事先征得甲方的书面同意，且接替的工作人员的职位、资历、资质应与原定工作人员相当。</w:t>
      </w:r>
      <w:r>
        <w:rPr>
          <w:rFonts w:hint="eastAsia" w:ascii="Calibri" w:hAnsi="Calibri" w:eastAsia="宋体" w:cs="Times New Roman"/>
          <w:szCs w:val="21"/>
          <w:highlight w:val="none"/>
        </w:rPr>
        <w:t>如</w:t>
      </w:r>
      <w:r>
        <w:rPr>
          <w:rFonts w:hint="eastAsia" w:ascii="Calibri" w:hAnsi="Calibri" w:eastAsia="宋体" w:cs="Times New Roman"/>
          <w:szCs w:val="21"/>
          <w:highlight w:val="none"/>
          <w:lang w:val="en-US" w:eastAsia="zh-Hans"/>
        </w:rPr>
        <w:t>乙方</w:t>
      </w:r>
      <w:r>
        <w:rPr>
          <w:rFonts w:hint="eastAsia" w:ascii="Calibri" w:hAnsi="Calibri" w:eastAsia="宋体" w:cs="Times New Roman"/>
          <w:szCs w:val="21"/>
          <w:highlight w:val="none"/>
        </w:rPr>
        <w:t>不经</w:t>
      </w:r>
      <w:r>
        <w:rPr>
          <w:rFonts w:hint="eastAsia" w:ascii="Calibri" w:hAnsi="Calibri" w:eastAsia="宋体" w:cs="Times New Roman"/>
          <w:szCs w:val="21"/>
          <w:highlight w:val="none"/>
          <w:lang w:val="en-US" w:eastAsia="zh-Hans"/>
        </w:rPr>
        <w:t>甲方</w:t>
      </w:r>
      <w:r>
        <w:rPr>
          <w:rFonts w:hint="eastAsia" w:ascii="Calibri" w:hAnsi="Calibri" w:eastAsia="宋体" w:cs="Times New Roman"/>
          <w:szCs w:val="21"/>
          <w:highlight w:val="none"/>
        </w:rPr>
        <w:t>同意擅自更换，</w:t>
      </w:r>
      <w:r>
        <w:rPr>
          <w:rFonts w:hint="eastAsia" w:ascii="Calibri" w:hAnsi="Calibri" w:eastAsia="宋体" w:cs="Times New Roman"/>
          <w:szCs w:val="21"/>
          <w:highlight w:val="none"/>
          <w:lang w:val="en-US" w:eastAsia="zh-Hans"/>
        </w:rPr>
        <w:t>甲方</w:t>
      </w:r>
      <w:r>
        <w:rPr>
          <w:rFonts w:hint="eastAsia" w:ascii="Calibri" w:hAnsi="Calibri" w:eastAsia="宋体" w:cs="Times New Roman"/>
          <w:szCs w:val="21"/>
          <w:highlight w:val="none"/>
        </w:rPr>
        <w:t>有权解除合同或根据情节</w:t>
      </w:r>
      <w:r>
        <w:rPr>
          <w:rFonts w:hint="eastAsia" w:ascii="Calibri" w:hAnsi="Calibri" w:eastAsia="宋体" w:cs="Times New Roman"/>
          <w:szCs w:val="21"/>
          <w:highlight w:val="none"/>
          <w:lang w:val="en-US" w:eastAsia="zh-Hans"/>
        </w:rPr>
        <w:t>要求乙方支付</w:t>
      </w:r>
      <w:r>
        <w:rPr>
          <w:rFonts w:hint="eastAsia" w:ascii="Calibri" w:hAnsi="Calibri" w:eastAsia="宋体" w:cs="Times New Roman"/>
          <w:szCs w:val="21"/>
          <w:highlight w:val="none"/>
        </w:rPr>
        <w:t>5000元</w:t>
      </w:r>
      <w:r>
        <w:rPr>
          <w:rFonts w:hint="default" w:ascii="Calibri" w:hAnsi="Calibri" w:eastAsia="宋体" w:cs="Times New Roman"/>
          <w:szCs w:val="21"/>
          <w:highlight w:val="none"/>
        </w:rPr>
        <w:t>/</w:t>
      </w:r>
      <w:r>
        <w:rPr>
          <w:rFonts w:hint="eastAsia" w:ascii="Calibri" w:hAnsi="Calibri" w:eastAsia="宋体" w:cs="Times New Roman"/>
          <w:szCs w:val="21"/>
          <w:highlight w:val="none"/>
          <w:lang w:val="en-US" w:eastAsia="zh-Hans"/>
        </w:rPr>
        <w:t>人</w:t>
      </w:r>
      <w:r>
        <w:rPr>
          <w:rFonts w:hint="eastAsia" w:ascii="Calibri" w:hAnsi="Calibri" w:eastAsia="宋体" w:cs="Times New Roman"/>
          <w:szCs w:val="21"/>
          <w:highlight w:val="none"/>
        </w:rPr>
        <w:t>/次的</w:t>
      </w:r>
      <w:r>
        <w:rPr>
          <w:rFonts w:hint="eastAsia" w:ascii="Calibri" w:hAnsi="Calibri" w:eastAsia="宋体" w:cs="Times New Roman"/>
          <w:szCs w:val="21"/>
          <w:highlight w:val="none"/>
          <w:lang w:val="en-US" w:eastAsia="zh-Hans"/>
        </w:rPr>
        <w:t>违约金</w:t>
      </w:r>
      <w:r>
        <w:rPr>
          <w:rFonts w:hint="eastAsia" w:ascii="Calibri" w:hAnsi="Calibri" w:eastAsia="宋体" w:cs="Times New Roman"/>
          <w:szCs w:val="21"/>
          <w:highlight w:val="none"/>
        </w:rPr>
        <w:t>。</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2.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3.乙方应配合甲方验收人员的工作,对于验收过程中发现的问题，乙方应在发现问题</w:t>
      </w:r>
      <w:r>
        <w:rPr>
          <w:rFonts w:hint="eastAsia"/>
          <w:szCs w:val="21"/>
          <w:highlight w:val="none"/>
          <w:lang w:val="en-US" w:eastAsia="zh-CN"/>
        </w:rPr>
        <w:t>后立即整改，最晚不超过</w:t>
      </w:r>
      <w:r>
        <w:rPr>
          <w:szCs w:val="21"/>
          <w:highlight w:val="none"/>
        </w:rPr>
        <w:t>3</w:t>
      </w:r>
      <w:r>
        <w:rPr>
          <w:rFonts w:hint="eastAsia"/>
          <w:szCs w:val="21"/>
          <w:highlight w:val="none"/>
          <w:lang w:val="en-US" w:eastAsia="zh-CN"/>
        </w:rPr>
        <w:t>日内</w:t>
      </w:r>
      <w:r>
        <w:rPr>
          <w:szCs w:val="21"/>
          <w:highlight w:val="none"/>
        </w:rPr>
        <w:t>进行改正，以符合甲方的需要。</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4.乙方有维护甲方声誉的义务，乙方不能以甲方名义从事与本项目无关的任何事务。</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5.乙方应独立完成本项目。未经甲方书面同意，乙方不得向任何第三方全部或部分转让本项目。</w:t>
      </w:r>
    </w:p>
    <w:p>
      <w:pPr>
        <w:spacing w:line="440" w:lineRule="exact"/>
        <w:ind w:firstLine="472" w:firstLineChars="225"/>
        <w:rPr>
          <w:szCs w:val="21"/>
          <w:highlight w:val="none"/>
        </w:rPr>
      </w:pPr>
      <w:r>
        <w:rPr>
          <w:rFonts w:hint="eastAsia"/>
          <w:szCs w:val="21"/>
          <w:highlight w:val="none"/>
        </w:rPr>
        <w:t>6.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7.乙方应确保投标文件中提供的所有资料、信息真实、有效。</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8.乙方不得单独对外发布本项目任何成果。如必要，应提前征得甲方书面同意。</w:t>
      </w:r>
    </w:p>
    <w:p>
      <w:pPr>
        <w:pStyle w:val="2"/>
        <w:spacing w:line="440" w:lineRule="exact"/>
        <w:ind w:firstLine="420"/>
        <w:rPr>
          <w:szCs w:val="21"/>
          <w:highlight w:val="none"/>
        </w:rPr>
      </w:pPr>
      <w:r>
        <w:rPr>
          <w:rFonts w:hint="eastAsia"/>
          <w:szCs w:val="21"/>
          <w:highlight w:val="none"/>
        </w:rPr>
        <w:t>9</w:t>
      </w:r>
      <w:r>
        <w:rPr>
          <w:szCs w:val="21"/>
          <w:highlight w:val="none"/>
        </w:rPr>
        <w:t>.</w:t>
      </w:r>
      <w:r>
        <w:rPr>
          <w:rFonts w:hint="eastAsia"/>
          <w:szCs w:val="21"/>
          <w:highlight w:val="none"/>
        </w:rPr>
        <w:t>本合同期满或提前解除、终止后，乙方应将甲方的档案资料、信息数据等交还甲方，并应销毁或删除所有备份。</w:t>
      </w:r>
    </w:p>
    <w:p>
      <w:pPr>
        <w:spacing w:line="440" w:lineRule="exact"/>
        <w:ind w:firstLine="420"/>
        <w:rPr>
          <w:szCs w:val="21"/>
          <w:highlight w:val="none"/>
        </w:rPr>
      </w:pPr>
      <w:r>
        <w:rPr>
          <w:szCs w:val="21"/>
          <w:highlight w:val="none"/>
        </w:rPr>
        <w:t>1</w:t>
      </w:r>
      <w:r>
        <w:rPr>
          <w:rFonts w:hint="eastAsia"/>
          <w:szCs w:val="21"/>
          <w:highlight w:val="none"/>
        </w:rPr>
        <w:t>0</w:t>
      </w:r>
      <w:r>
        <w:rPr>
          <w:szCs w:val="21"/>
          <w:highlight w:val="none"/>
        </w:rPr>
        <w:t>.</w:t>
      </w:r>
      <w:r>
        <w:rPr>
          <w:rFonts w:hint="eastAsia"/>
          <w:szCs w:val="21"/>
          <w:highlight w:val="none"/>
        </w:rPr>
        <w:t>针对甲方就乙方提交的工作报告等相关文件提出的修改意见，乙方应当在甲方指定的修改时间内完成修改。</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11. 乙方指定项目联系人：</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姓名：</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联系方式：</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第六条 成果权属与知识产权</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（一）本项目全部阶段性成果和最终成果的所有权、知识产权以及与之相关的所有权利归甲方所有；本合同签署前双方已经拥有的知识产权权利，仍归各自所有。</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（二）双方确定，甲方有权对乙方按照本合同约定提供的成果进行后续改进。由此产生的具有实质性或创造性技术进步特征的新的技术成果及其权利全部由甲方享有。</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四）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（五）乙方完成本项目的研究人员享有在有关技术成果文件上署名的权利和与甲方共同获得有关荣誉证书、奖励的权利。</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第七条 保密条款</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（三）乙方实施项目的程序应符合国家安全、保密的有关规定和标准。</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（四）上述保密义务不适用以下情况：</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1.获取的信息已被合法公开；</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2.获得信息拥有方书面许可并在该许可范围内披露；</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3.国家法律、法规规定的情形。</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（六）无论本合同或本合同其他条款是否有效，本保密条款始终约束双方。国家秘密的保密期限由国家有关部门确定，工作秘密的保密期限由甲方确定。</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第八条 合同解除</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（一）双方协商同意提前终止本协议的，按双方约定进行清算执行。</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（二）如果一方发生以下任一情形，另一方有权解除协议。当事方有义务在事由发生后15个工作日内以书面方式通知对方：</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1.破产、解散、被依法关闭、撤销或已进入清算阶段；</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2.出现了协议约定的或法定解除事由。</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3.有下列情形之一的，本协议自甲方向乙方发出书面通知之日起终止：</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（1）甲方的职能发生转变，不再具有委托职能。</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（2）本协议签订时适用的法律法规或政策发生变化，且对本协议的继续履行造成重大影响。</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发生以上情形，甲方已向乙方支付的款项不退还，同时乙方应向甲方提交在协议终止日前完成的所有项目文件和相关资料。</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4.如发生不可抗力，如行政命令、政策法规、罢工、禁运、战争、自然灾害（如洪水或地震）或其他超出协议双方控制的事件，致使一方无法履行协议，协议解除。</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1）本协议所称不可抗力是指自然灾害、战争、地震突发事件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（2）发生不可抗力，甲乙双方承担各自的损失。由于其中一方延迟履行协议义务后发生不可抗力的，不能免除责任。</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（3）不可抗力事件导致一方无法履行协议义务或继续履行已无意义，由双方协商进行本协议的清算。</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第九条 违约责任</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（一）如乙方未按照本合同约定的时间完成本项目各阶段工作，且未经甲方书面同意延长服务成果完成期限的，每迟延一日，甲方有权要求乙方支付本合同服务费总金额的1‰的逾期违约金。</w:t>
      </w:r>
    </w:p>
    <w:p>
      <w:pPr>
        <w:widowControl/>
        <w:spacing w:line="360" w:lineRule="auto"/>
        <w:ind w:firstLine="420" w:firstLineChars="200"/>
        <w:rPr>
          <w:rFonts w:ascii="宋体" w:hAnsi="宋体"/>
          <w:szCs w:val="21"/>
          <w:highlight w:val="none"/>
        </w:rPr>
      </w:pPr>
      <w:r>
        <w:rPr>
          <w:rFonts w:hint="eastAsia"/>
          <w:szCs w:val="21"/>
          <w:highlight w:val="none"/>
        </w:rPr>
        <w:t>（二）</w:t>
      </w:r>
      <w:r>
        <w:rPr>
          <w:rFonts w:ascii="宋体" w:hAnsi="宋体"/>
          <w:szCs w:val="21"/>
          <w:highlight w:val="none"/>
        </w:rPr>
        <w:t>本合同履行期</w:t>
      </w:r>
      <w:r>
        <w:rPr>
          <w:rFonts w:hint="eastAsia" w:ascii="宋体" w:hAnsi="宋体"/>
          <w:szCs w:val="21"/>
          <w:highlight w:val="none"/>
        </w:rPr>
        <w:t>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1）乙方未能按合同约定的日期(含协商延缓的日期)提交</w:t>
      </w:r>
      <w:r>
        <w:rPr>
          <w:rFonts w:hint="eastAsia" w:ascii="宋体" w:hAnsi="宋体"/>
          <w:szCs w:val="21"/>
          <w:highlight w:val="none"/>
        </w:rPr>
        <w:t>各阶段成果或最终</w:t>
      </w:r>
      <w:r>
        <w:rPr>
          <w:rFonts w:ascii="宋体" w:hAnsi="宋体"/>
          <w:szCs w:val="21"/>
          <w:highlight w:val="none"/>
        </w:rPr>
        <w:t>成果，延误时间超过</w:t>
      </w:r>
      <w:r>
        <w:rPr>
          <w:rFonts w:hint="eastAsia" w:ascii="宋体" w:hAnsi="宋体"/>
          <w:szCs w:val="21"/>
          <w:highlight w:val="none"/>
        </w:rPr>
        <w:t>15个工作日；</w:t>
      </w:r>
    </w:p>
    <w:p>
      <w:pPr>
        <w:widowControl/>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因乙方工作的错误或遗漏造成成果质量损失，</w:t>
      </w:r>
      <w:r>
        <w:rPr>
          <w:rFonts w:hint="eastAsia" w:ascii="宋体" w:hAnsi="宋体"/>
          <w:szCs w:val="21"/>
          <w:highlight w:val="none"/>
          <w:lang w:val="zh-CN"/>
        </w:rPr>
        <w:t>工作成果质量低劣，不能满足甲方工作需要和要求</w:t>
      </w:r>
      <w:r>
        <w:rPr>
          <w:rFonts w:ascii="宋体" w:hAnsi="宋体"/>
          <w:szCs w:val="21"/>
          <w:highlight w:val="none"/>
        </w:rPr>
        <w:t>；</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乙方虽如期提交最终成果，但连续二次未能通过甲方验收的；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4）未经甲方</w:t>
      </w:r>
      <w:r>
        <w:rPr>
          <w:rFonts w:hint="eastAsia" w:ascii="宋体" w:hAnsi="宋体"/>
          <w:szCs w:val="21"/>
          <w:highlight w:val="none"/>
        </w:rPr>
        <w:t>书面在先</w:t>
      </w:r>
      <w:r>
        <w:rPr>
          <w:rFonts w:ascii="宋体" w:hAnsi="宋体"/>
          <w:szCs w:val="21"/>
          <w:highlight w:val="none"/>
        </w:rPr>
        <w:t>同意，</w:t>
      </w:r>
      <w:r>
        <w:rPr>
          <w:rFonts w:hint="eastAsia" w:ascii="宋体" w:hAnsi="宋体"/>
          <w:szCs w:val="21"/>
          <w:highlight w:val="none"/>
        </w:rPr>
        <w:t>乙方</w:t>
      </w:r>
      <w:r>
        <w:rPr>
          <w:rFonts w:ascii="宋体" w:hAnsi="宋体"/>
          <w:szCs w:val="21"/>
          <w:highlight w:val="none"/>
        </w:rPr>
        <w:t>擅自</w:t>
      </w:r>
      <w:r>
        <w:rPr>
          <w:rFonts w:hint="eastAsia" w:ascii="宋体" w:hAnsi="宋体"/>
          <w:szCs w:val="21"/>
          <w:highlight w:val="none"/>
        </w:rPr>
        <w:t>将本合同项目与任何第三方合作，或将本合同标的全部或部分擅自转包或分包给任何第三方，且未按甲方的要求终止与第三方的合同的；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（5）项目负责人未承担本合同项目实质性工作，或未经甲方书面在先同意，乙方擅自更换项目负责人的；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（6）发现乙方或乙方工作人员出现全部或部分丧失履行委托服务能力的情况，甲方有权通知乙方限期整改或更换工作人员，期限届满乙方并未进行改善的；</w:t>
      </w:r>
    </w:p>
    <w:p>
      <w:pPr>
        <w:widowControl/>
        <w:spacing w:line="360" w:lineRule="auto"/>
        <w:ind w:firstLine="420" w:firstLineChars="200"/>
        <w:rPr>
          <w:szCs w:val="21"/>
          <w:highlight w:val="none"/>
        </w:rPr>
      </w:pPr>
      <w:r>
        <w:rPr>
          <w:rFonts w:hint="eastAsia" w:ascii="宋体" w:hAnsi="宋体"/>
          <w:szCs w:val="21"/>
          <w:highlight w:val="none"/>
        </w:rPr>
        <w:t>（</w:t>
      </w:r>
      <w:r>
        <w:rPr>
          <w:rFonts w:ascii="宋体" w:hAnsi="宋体"/>
          <w:szCs w:val="21"/>
          <w:highlight w:val="none"/>
        </w:rPr>
        <w:t>7）乙方明确表示或者以自己的行为表明不履行</w:t>
      </w:r>
      <w:r>
        <w:rPr>
          <w:rFonts w:hint="eastAsia" w:ascii="宋体" w:hAnsi="宋体"/>
          <w:szCs w:val="21"/>
          <w:highlight w:val="none"/>
        </w:rPr>
        <w:t>本合同的。</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（三）</w:t>
      </w:r>
      <w:bookmarkStart w:id="28" w:name="_Hlk32923857"/>
      <w:r>
        <w:rPr>
          <w:rFonts w:hint="eastAsia" w:ascii="宋体" w:hAnsi="宋体"/>
          <w:szCs w:val="21"/>
          <w:highlight w:val="none"/>
        </w:rPr>
        <w:t>除因</w:t>
      </w:r>
      <w:r>
        <w:rPr>
          <w:rFonts w:hint="eastAsia" w:ascii="宋体" w:hAnsi="宋体"/>
          <w:kern w:val="0"/>
          <w:szCs w:val="21"/>
          <w:highlight w:val="none"/>
        </w:rPr>
        <w:t>甲方付款审批影响支付进度的情况外，</w:t>
      </w:r>
      <w:bookmarkEnd w:id="28"/>
      <w:r>
        <w:rPr>
          <w:rFonts w:hint="eastAsia" w:ascii="宋体" w:hAnsi="宋体"/>
          <w:szCs w:val="21"/>
          <w:highlight w:val="none"/>
        </w:rPr>
        <w:t>如甲方未按照本合同约定的时间支付服务费，乙方书面催告甲方并给予不少于30个工作日的履行期限后甲方仍未支付的，乙方有权自该期限届满之日起要求甲方支付该阶段应付而未付合同价款每日</w:t>
      </w:r>
      <w:r>
        <w:rPr>
          <w:rFonts w:ascii="宋体" w:hAnsi="宋体"/>
          <w:szCs w:val="21"/>
          <w:highlight w:val="none"/>
        </w:rPr>
        <w:t>1</w:t>
      </w:r>
      <w:r>
        <w:rPr>
          <w:rFonts w:hint="eastAsia" w:ascii="宋体" w:hAnsi="宋体"/>
          <w:szCs w:val="21"/>
          <w:highlight w:val="none"/>
        </w:rPr>
        <w:t>‰的逾期违约金。甲方无正当理由拒绝接受服务，到期明确表示拒付服务款项的，甲方向乙方偿付本合同总价5%的违约金。</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（四）上述违约责任各自独立且可累加。如本合同所约定的违约金无法弥补因违约行为所造成的损失，违约方应补偿上述不足部分的损失。</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第十条 争议解决</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执行本合同发生的争议，由甲乙双方协商解决。协商不成，双方可依法向深圳前海合作区人民法院起诉。</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第十一条 项目变更</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（一）本合同履行过程中的需求变更和进度调整，以甲乙双方达成一致的书面文件为准。</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（二）乙方遇到不能按期完成工作的情况，应及时以书面形式将不能按期完成工作的理由、延误时间通知甲方。甲方在收到乙方通知后，根据情况决定是否延长完成时间。如同意延长，则乙方责任期也相应延长。</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（三）因非乙方责任造成项目进度推迟或延误，无法按照本合同约定的日期完成相应工作，双方经过协商可以进一步约定完成的日期，乙方的责任期也随之顺延。</w:t>
      </w:r>
    </w:p>
    <w:p>
      <w:pPr>
        <w:pStyle w:val="57"/>
        <w:spacing w:line="360" w:lineRule="auto"/>
        <w:ind w:firstLine="420" w:firstLineChars="200"/>
        <w:rPr>
          <w:highlight w:val="none"/>
        </w:rPr>
      </w:pPr>
      <w:r>
        <w:rPr>
          <w:rFonts w:hint="eastAsia" w:ascii="Times New Roman" w:hAnsi="Times New Roman" w:cs="Times New Roman"/>
          <w:highlight w:val="none"/>
        </w:rPr>
        <w:t>（四）在本项目进展过程中，经双方同意的研究、编制内容等方面的增减，如所涉增加费用的金额不超过本合同项下服务费总金额的</w:t>
      </w:r>
      <w:r>
        <w:rPr>
          <w:rFonts w:ascii="Times New Roman" w:hAnsi="Times New Roman" w:cs="Times New Roman"/>
          <w:highlight w:val="none"/>
        </w:rPr>
        <w:t xml:space="preserve">10%,由双方商定变更内容及具体价格后签订书面补充协议予以确认。 </w:t>
      </w:r>
    </w:p>
    <w:p>
      <w:pPr>
        <w:shd w:val="clear" w:color="auto" w:fill="FFFFFF"/>
        <w:adjustRightInd w:val="0"/>
        <w:snapToGrid w:val="0"/>
        <w:spacing w:line="440" w:lineRule="exact"/>
        <w:ind w:firstLine="422" w:firstLineChars="200"/>
        <w:rPr>
          <w:b/>
          <w:szCs w:val="21"/>
          <w:highlight w:val="none"/>
        </w:rPr>
      </w:pPr>
      <w:r>
        <w:rPr>
          <w:rFonts w:hint="eastAsia"/>
          <w:b/>
          <w:szCs w:val="21"/>
          <w:highlight w:val="none"/>
        </w:rPr>
        <w:t>第十二条 其他约定</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Style w:val="57"/>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1.合同书及补充协议；</w:t>
      </w:r>
    </w:p>
    <w:p>
      <w:pPr>
        <w:pStyle w:val="57"/>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2.中标通知书；</w:t>
      </w:r>
    </w:p>
    <w:p>
      <w:pPr>
        <w:pStyle w:val="57"/>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 xml:space="preserve">3.招标文件（编号：    </w:t>
      </w:r>
      <w:r>
        <w:rPr>
          <w:rFonts w:hint="eastAsia" w:ascii="Times New Roman" w:hAnsi="Times New Roman" w:cs="Times New Roman"/>
          <w:highlight w:val="none"/>
        </w:rPr>
        <w:t>）及其澄清、补正公告；</w:t>
      </w:r>
    </w:p>
    <w:p>
      <w:pPr>
        <w:pStyle w:val="57"/>
        <w:shd w:val="clear" w:color="auto" w:fill="FFFFFF"/>
        <w:adjustRightInd w:val="0"/>
        <w:snapToGrid w:val="0"/>
        <w:spacing w:line="360" w:lineRule="auto"/>
        <w:ind w:firstLine="420" w:firstLineChars="200"/>
        <w:rPr>
          <w:highlight w:val="none"/>
        </w:rPr>
      </w:pPr>
      <w:r>
        <w:rPr>
          <w:rFonts w:ascii="Times New Roman" w:hAnsi="Times New Roman" w:cs="Times New Roman"/>
          <w:highlight w:val="none"/>
        </w:rPr>
        <w:t>4.投标书。</w:t>
      </w:r>
    </w:p>
    <w:p>
      <w:pPr>
        <w:pStyle w:val="57"/>
        <w:shd w:val="clear" w:color="auto" w:fill="FFFFFF"/>
        <w:adjustRightInd w:val="0"/>
        <w:snapToGrid w:val="0"/>
        <w:spacing w:line="360" w:lineRule="auto"/>
        <w:ind w:firstLine="420" w:firstLineChars="200"/>
        <w:rPr>
          <w:highlight w:val="none"/>
        </w:rPr>
      </w:pPr>
      <w:r>
        <w:rPr>
          <w:rFonts w:hint="eastAsia" w:ascii="Times New Roman" w:hAnsi="Times New Roman"/>
          <w:highlight w:val="none"/>
        </w:rPr>
        <w:t>（二）本合同替代此前双方所有关于本合同事项的口头或书面的纪要、备忘录、合同、协议。</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（三）本合同附件（如有）为合同不可分割的组成部分，与本合同一并加盖骑缝章后具有同等法律效力。若附件与合同正文有任何冲突，以合同正文为准。</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（四）本合同各条标题仅为提示之用，应以条文内容确定各方的权利义务。</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（五）本合同未尽事宜，由双方协商签订补充协议进行约定。补充协议应以书面形式作成，经双方法定代表人或其授权代表签字、盖章后与本合同具有同等法律效力。</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（六）本合同约定的权利和义务不因合同双方发生收购、兼并、重组、分立而发生变化。如果发生上述情形，则本合同约定的权利和义务随之转移至收购、兼并、重组或分立后成立的单位。</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（七）本合同在国家法律、法规和规章规定的范围内执行。当国家法律、法规和规章发生变化导致本合同有关条款与之抵触时，双方协商变更或废止该条款，在此情况下，双方互不承担责任。</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（八）如果本合同的任何条款在任何时候变成不合法、无效或不可强制执行而不从根本上影响本合同的效力时，本合同的其他条款不受影响。</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（十）本合同的任何内容不应被视为或解释为双方之间具有合资、合伙、代理关系。</w:t>
      </w:r>
    </w:p>
    <w:p>
      <w:pPr>
        <w:pStyle w:val="57"/>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（十一）任何一方未经另一方同意不得向任何第三方透露本合同的签订及其内容。甲方向其关联公司透露前述内容的，不受此限。</w:t>
      </w:r>
    </w:p>
    <w:p>
      <w:pPr>
        <w:pStyle w:val="57"/>
        <w:spacing w:line="360" w:lineRule="auto"/>
        <w:ind w:firstLine="420" w:firstLineChars="200"/>
        <w:rPr>
          <w:rFonts w:ascii="Times New Roman" w:hAnsi="Times New Roman"/>
          <w:highlight w:val="none"/>
        </w:rPr>
      </w:pPr>
      <w:r>
        <w:rPr>
          <w:rFonts w:hint="eastAsia" w:ascii="Times New Roman" w:hAnsi="Times New Roman"/>
          <w:highlight w:val="none"/>
        </w:rPr>
        <w:t>（十二）</w:t>
      </w:r>
      <w:r>
        <w:rPr>
          <w:rFonts w:hint="eastAsia" w:ascii="Times New Roman" w:hAnsi="Times New Roman" w:cs="Times New Roman"/>
          <w:highlight w:val="none"/>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57"/>
        <w:spacing w:line="360" w:lineRule="auto"/>
        <w:ind w:firstLine="420" w:firstLineChars="200"/>
        <w:rPr>
          <w:highlight w:val="none"/>
        </w:rPr>
      </w:pPr>
      <w:r>
        <w:rPr>
          <w:rFonts w:hint="eastAsia" w:ascii="Times New Roman" w:hAnsi="Times New Roman"/>
          <w:highlight w:val="none"/>
        </w:rPr>
        <w:t>（十三）本合同自双方法定代表人或其授权代表签字、盖章之日起生效，有效期至</w:t>
      </w:r>
      <w:r>
        <w:rPr>
          <w:rFonts w:hint="default" w:ascii="Times New Roman" w:hAnsi="Times New Roman"/>
          <w:highlight w:val="none"/>
        </w:rPr>
        <w:t>合同所有义务履行完毕之日</w:t>
      </w:r>
      <w:r>
        <w:rPr>
          <w:rFonts w:hint="eastAsia" w:ascii="Times New Roman" w:hAnsi="Times New Roman"/>
          <w:highlight w:val="none"/>
        </w:rPr>
        <w:t>止。</w:t>
      </w:r>
    </w:p>
    <w:p>
      <w:pPr>
        <w:pStyle w:val="57"/>
        <w:spacing w:line="360" w:lineRule="auto"/>
        <w:ind w:firstLine="420" w:firstLineChars="200"/>
        <w:rPr>
          <w:highlight w:val="none"/>
        </w:rPr>
      </w:pPr>
      <w:r>
        <w:rPr>
          <w:rFonts w:hint="eastAsia" w:ascii="Times New Roman" w:hAnsi="Times New Roman" w:cs="Times New Roman"/>
          <w:highlight w:val="none"/>
        </w:rPr>
        <w:t>（十四）本合同一式六份正本，甲方与乙方各执三份，均具同等法律效力。</w:t>
      </w:r>
    </w:p>
    <w:p>
      <w:pPr>
        <w:shd w:val="clear" w:color="auto" w:fill="FFFFFF"/>
        <w:adjustRightInd w:val="0"/>
        <w:snapToGrid w:val="0"/>
        <w:spacing w:line="440" w:lineRule="exact"/>
        <w:ind w:firstLine="420" w:firstLineChars="200"/>
        <w:rPr>
          <w:szCs w:val="21"/>
          <w:highlight w:val="none"/>
        </w:rPr>
      </w:pP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（以下无正文）</w:t>
      </w:r>
    </w:p>
    <w:p>
      <w:pPr>
        <w:shd w:val="clear" w:color="auto" w:fill="FFFFFF"/>
        <w:adjustRightInd w:val="0"/>
        <w:snapToGrid w:val="0"/>
        <w:spacing w:line="440" w:lineRule="exact"/>
        <w:ind w:firstLine="420" w:firstLineChars="200"/>
        <w:rPr>
          <w:szCs w:val="21"/>
          <w:highlight w:val="none"/>
        </w:rPr>
      </w:pP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甲方（盖章）：深圳市前海深港现代服务业合作区管理局</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法定代表人或授权代表（签字）：</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 xml:space="preserve">日期：     年    月   日            </w:t>
      </w:r>
    </w:p>
    <w:p>
      <w:pPr>
        <w:shd w:val="clear" w:color="auto" w:fill="FFFFFF"/>
        <w:adjustRightInd w:val="0"/>
        <w:snapToGrid w:val="0"/>
        <w:spacing w:line="440" w:lineRule="exact"/>
        <w:ind w:firstLine="420" w:firstLineChars="200"/>
        <w:rPr>
          <w:szCs w:val="21"/>
          <w:highlight w:val="none"/>
        </w:rPr>
      </w:pPr>
    </w:p>
    <w:p>
      <w:pPr>
        <w:shd w:val="clear" w:color="auto" w:fill="FFFFFF"/>
        <w:adjustRightInd w:val="0"/>
        <w:snapToGrid w:val="0"/>
        <w:spacing w:line="440" w:lineRule="exact"/>
        <w:ind w:firstLine="420" w:firstLineChars="200"/>
        <w:rPr>
          <w:szCs w:val="21"/>
          <w:highlight w:val="none"/>
        </w:rPr>
      </w:pPr>
    </w:p>
    <w:p>
      <w:pPr>
        <w:shd w:val="clear" w:color="auto" w:fill="FFFFFF"/>
        <w:adjustRightInd w:val="0"/>
        <w:snapToGrid w:val="0"/>
        <w:spacing w:line="440" w:lineRule="exact"/>
        <w:ind w:firstLine="420" w:firstLineChars="200"/>
        <w:rPr>
          <w:szCs w:val="21"/>
          <w:highlight w:val="none"/>
        </w:rPr>
      </w:pPr>
      <w:r>
        <w:rPr>
          <w:szCs w:val="21"/>
          <w:highlight w:val="none"/>
        </w:rPr>
        <w:t xml:space="preserve">      </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 xml:space="preserve">乙方（盖章）： </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法定代表人或授权代表（签字）：</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 xml:space="preserve">日期：     年    月    日  </w:t>
      </w:r>
    </w:p>
    <w:p>
      <w:pPr>
        <w:pStyle w:val="2"/>
        <w:rPr>
          <w:highlight w:val="none"/>
        </w:rPr>
      </w:pPr>
    </w:p>
    <w:p>
      <w:pPr>
        <w:rPr>
          <w:highlight w:val="none"/>
        </w:rPr>
      </w:pPr>
    </w:p>
    <w:p>
      <w:pPr>
        <w:shd w:val="clear" w:color="auto" w:fill="FFFFFF"/>
        <w:adjustRightInd w:val="0"/>
        <w:snapToGrid w:val="0"/>
        <w:spacing w:line="300" w:lineRule="auto"/>
        <w:rPr>
          <w:szCs w:val="21"/>
          <w:highlight w:val="none"/>
        </w:rPr>
      </w:pPr>
    </w:p>
    <w:p>
      <w:pPr>
        <w:spacing w:line="360" w:lineRule="auto"/>
        <w:ind w:firstLine="422" w:firstLineChars="200"/>
        <w:rPr>
          <w:rFonts w:ascii="宋体" w:hAnsi="宋体"/>
          <w:szCs w:val="21"/>
          <w:highlight w:val="none"/>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b/>
          <w:bCs/>
          <w:szCs w:val="21"/>
          <w:highlight w:val="none"/>
        </w:rPr>
        <w:t>注：本合同样本仅供参考，具体条款内容采购单位和中标单位按前海管理局合同样本签订。签订合同内容不改变本合同模板中的实质性条款。</w:t>
      </w:r>
    </w:p>
    <w:p>
      <w:pPr>
        <w:shd w:val="clear" w:color="auto" w:fill="FFFFFF"/>
        <w:adjustRightInd w:val="0"/>
        <w:snapToGrid w:val="0"/>
        <w:spacing w:line="300" w:lineRule="auto"/>
        <w:ind w:firstLine="420" w:firstLineChars="200"/>
        <w:rPr>
          <w:rFonts w:hAnsi="宋体"/>
          <w:szCs w:val="21"/>
          <w:highlight w:val="none"/>
        </w:rPr>
      </w:pPr>
    </w:p>
    <w:bookmarkEnd w:id="27"/>
    <w:p>
      <w:pPr>
        <w:numPr>
          <w:ilvl w:val="0"/>
          <w:numId w:val="1"/>
        </w:numPr>
        <w:jc w:val="center"/>
        <w:outlineLvl w:val="0"/>
        <w:rPr>
          <w:b/>
          <w:sz w:val="30"/>
          <w:szCs w:val="30"/>
          <w:highlight w:val="none"/>
        </w:rPr>
      </w:pPr>
      <w:bookmarkStart w:id="29" w:name="_Toc51746097"/>
      <w:bookmarkStart w:id="30" w:name="_Toc86918423"/>
      <w:bookmarkStart w:id="31" w:name="_Toc3090"/>
      <w:bookmarkStart w:id="32" w:name="_Toc1805"/>
      <w:bookmarkStart w:id="33" w:name="_Toc83405797"/>
      <w:bookmarkStart w:id="34" w:name="_Toc19340"/>
      <w:r>
        <w:rPr>
          <w:rFonts w:hint="eastAsia"/>
          <w:b/>
          <w:sz w:val="30"/>
          <w:szCs w:val="30"/>
          <w:highlight w:val="none"/>
        </w:rPr>
        <w:t>服务技术要求和商务要求</w:t>
      </w:r>
      <w:bookmarkEnd w:id="29"/>
      <w:bookmarkEnd w:id="30"/>
      <w:bookmarkEnd w:id="31"/>
      <w:bookmarkEnd w:id="32"/>
      <w:bookmarkEnd w:id="33"/>
      <w:bookmarkEnd w:id="34"/>
    </w:p>
    <w:p>
      <w:pPr>
        <w:snapToGrid w:val="0"/>
        <w:spacing w:line="360" w:lineRule="auto"/>
        <w:rPr>
          <w:rFonts w:ascii="黑体" w:hAnsi="宋体" w:eastAsia="黑体" w:cs="宋体"/>
          <w:b/>
          <w:sz w:val="28"/>
          <w:szCs w:val="28"/>
          <w:highlight w:val="none"/>
        </w:rPr>
      </w:pPr>
    </w:p>
    <w:p>
      <w:pPr>
        <w:snapToGrid w:val="0"/>
        <w:spacing w:line="360" w:lineRule="auto"/>
        <w:rPr>
          <w:rFonts w:ascii="黑体" w:hAnsi="宋体" w:eastAsia="黑体" w:cs="宋体"/>
          <w:b/>
          <w:sz w:val="28"/>
          <w:szCs w:val="28"/>
          <w:highlight w:val="none"/>
        </w:rPr>
      </w:pPr>
      <w:r>
        <w:rPr>
          <w:rFonts w:hint="eastAsia" w:ascii="黑体" w:hAnsi="宋体" w:eastAsia="黑体" w:cs="宋体"/>
          <w:b/>
          <w:sz w:val="28"/>
          <w:szCs w:val="28"/>
          <w:highlight w:val="none"/>
        </w:rPr>
        <w:t>重点提示：</w:t>
      </w:r>
    </w:p>
    <w:p>
      <w:pPr>
        <w:spacing w:line="360" w:lineRule="auto"/>
        <w:ind w:firstLine="413" w:firstLineChars="196"/>
        <w:rPr>
          <w:rFonts w:ascii="宋体" w:hAnsi="宋体" w:cs="宋体"/>
          <w:b/>
          <w:szCs w:val="21"/>
          <w:highlight w:val="none"/>
        </w:rPr>
      </w:pPr>
      <w:r>
        <w:rPr>
          <w:rFonts w:hint="eastAsia" w:ascii="宋体" w:hAnsi="宋体" w:cs="宋体"/>
          <w:b/>
          <w:szCs w:val="21"/>
          <w:highlight w:val="none"/>
        </w:rPr>
        <w:t>1.关于特殊符号的说明</w:t>
      </w:r>
    </w:p>
    <w:p>
      <w:pPr>
        <w:ind w:firstLine="420" w:firstLineChars="200"/>
        <w:rPr>
          <w:rFonts w:ascii="宋体" w:hAnsi="宋体" w:cs="宋体"/>
          <w:highlight w:val="none"/>
        </w:rPr>
      </w:pPr>
      <w:bookmarkStart w:id="35" w:name="_Toc2430"/>
      <w:bookmarkStart w:id="36" w:name="_Toc6765"/>
      <w:r>
        <w:rPr>
          <w:rFonts w:hint="eastAsia" w:ascii="宋体" w:hAnsi="宋体" w:cs="宋体"/>
          <w:highlight w:val="none"/>
        </w:rPr>
        <w:t>（1）招标文件中标注“★”的条款均为不可偏离的实质性条款，投标文件对其中任意一条不满足的将作投标无效处理。</w:t>
      </w:r>
      <w:bookmarkEnd w:id="35"/>
      <w:bookmarkEnd w:id="36"/>
      <w:bookmarkStart w:id="37" w:name="_Toc51746098"/>
      <w:bookmarkStart w:id="38" w:name="_Toc16949"/>
      <w:bookmarkStart w:id="39" w:name="_Toc83405798"/>
      <w:bookmarkStart w:id="40" w:name="_Toc26567"/>
      <w:bookmarkStart w:id="41" w:name="_Toc8467"/>
    </w:p>
    <w:p>
      <w:pPr>
        <w:adjustRightInd w:val="0"/>
        <w:snapToGrid w:val="0"/>
        <w:spacing w:line="360" w:lineRule="auto"/>
        <w:ind w:firstLine="422" w:firstLineChars="200"/>
        <w:outlineLvl w:val="1"/>
        <w:rPr>
          <w:rFonts w:hint="eastAsia" w:ascii="宋体" w:hAnsi="宋体" w:eastAsia="宋体" w:cs="宋体"/>
          <w:b/>
          <w:kern w:val="0"/>
          <w:szCs w:val="21"/>
          <w:highlight w:val="none"/>
          <w:lang w:val="en-US" w:eastAsia="zh-CN"/>
        </w:rPr>
      </w:pPr>
      <w:r>
        <w:rPr>
          <w:rFonts w:hint="eastAsia" w:ascii="宋体" w:hAnsi="宋体" w:cs="宋体"/>
          <w:b/>
          <w:kern w:val="0"/>
          <w:szCs w:val="21"/>
          <w:highlight w:val="none"/>
        </w:rPr>
        <w:t>一、项目</w:t>
      </w:r>
      <w:bookmarkEnd w:id="37"/>
      <w:bookmarkEnd w:id="38"/>
      <w:bookmarkEnd w:id="39"/>
      <w:bookmarkEnd w:id="40"/>
      <w:bookmarkEnd w:id="41"/>
      <w:r>
        <w:rPr>
          <w:rFonts w:hint="eastAsia" w:ascii="宋体" w:hAnsi="宋体" w:cs="宋体"/>
          <w:b/>
          <w:kern w:val="0"/>
          <w:szCs w:val="21"/>
          <w:highlight w:val="none"/>
          <w:lang w:val="en-US" w:eastAsia="zh-CN"/>
        </w:rPr>
        <w:t>背景</w:t>
      </w:r>
    </w:p>
    <w:p>
      <w:pPr>
        <w:widowControl/>
        <w:spacing w:line="360" w:lineRule="auto"/>
        <w:ind w:firstLine="420" w:firstLineChars="200"/>
        <w:rPr>
          <w:rFonts w:ascii="宋体" w:hAnsi="宋体" w:cs="宋体"/>
          <w:color w:val="0000FF"/>
          <w:szCs w:val="21"/>
          <w:highlight w:val="none"/>
        </w:rPr>
      </w:pPr>
      <w:r>
        <w:rPr>
          <w:rFonts w:hint="eastAsia" w:ascii="宋体" w:hAnsi="宋体" w:cs="宋体"/>
          <w:szCs w:val="21"/>
          <w:highlight w:val="none"/>
        </w:rPr>
        <w:t>根据《深圳前海深港现代服务业合作区促进企业回归办公用房租金补贴办法》（深前海规〔2019〕8号）和《深圳前海深港现代服务业合作区促进产业集聚办公用房资金补贴办法》（深前海规〔2021〕5号）规定，前海管理局需委托第三方专业机构评估项目市场评估价格。为掌握前海租金政策的实施效果，前海管理局拟委托第三方机构开展租金政策评估。</w:t>
      </w:r>
    </w:p>
    <w:p>
      <w:pPr>
        <w:adjustRightInd w:val="0"/>
        <w:snapToGrid w:val="0"/>
        <w:spacing w:line="360" w:lineRule="auto"/>
        <w:ind w:firstLine="422" w:firstLineChars="200"/>
        <w:outlineLvl w:val="1"/>
        <w:rPr>
          <w:rFonts w:ascii="宋体" w:hAnsi="宋体" w:cs="宋体"/>
          <w:b/>
          <w:kern w:val="0"/>
          <w:szCs w:val="21"/>
          <w:highlight w:val="none"/>
        </w:rPr>
      </w:pPr>
      <w:bookmarkStart w:id="42" w:name="_Toc548"/>
      <w:bookmarkStart w:id="43" w:name="_Toc86918424"/>
      <w:bookmarkStart w:id="44" w:name="_Toc10679"/>
      <w:bookmarkStart w:id="45" w:name="_Toc51746099"/>
      <w:bookmarkStart w:id="46" w:name="_Toc83405799"/>
      <w:bookmarkStart w:id="47" w:name="_Toc17684"/>
      <w:r>
        <w:rPr>
          <w:rFonts w:hint="eastAsia" w:ascii="宋体" w:hAnsi="宋体" w:cs="宋体"/>
          <w:b/>
          <w:kern w:val="0"/>
          <w:szCs w:val="21"/>
          <w:highlight w:val="none"/>
        </w:rPr>
        <w:t>二、技术要求</w:t>
      </w:r>
      <w:bookmarkEnd w:id="42"/>
      <w:bookmarkEnd w:id="43"/>
      <w:bookmarkEnd w:id="44"/>
      <w:bookmarkEnd w:id="45"/>
      <w:bookmarkEnd w:id="46"/>
      <w:bookmarkEnd w:id="47"/>
    </w:p>
    <w:p>
      <w:pPr>
        <w:shd w:val="clear" w:color="auto" w:fill="auto"/>
        <w:spacing w:line="360" w:lineRule="auto"/>
        <w:ind w:firstLine="420"/>
        <w:rPr>
          <w:rFonts w:hint="eastAsia" w:ascii="Calibri" w:hAnsi="Calibri" w:cs="Times New Roman"/>
          <w:b/>
          <w:bCs w:val="0"/>
          <w:szCs w:val="21"/>
          <w:highlight w:val="none"/>
          <w:lang w:val="en-US" w:eastAsia="zh-CN"/>
        </w:rPr>
      </w:pPr>
      <w:bookmarkStart w:id="48" w:name="_Toc16772"/>
      <w:bookmarkStart w:id="49" w:name="_Toc86918425"/>
      <w:bookmarkStart w:id="50" w:name="_Toc13746"/>
      <w:bookmarkStart w:id="51" w:name="_Toc51746100"/>
      <w:bookmarkStart w:id="52" w:name="_Toc83405800"/>
      <w:bookmarkStart w:id="53" w:name="_Toc21616"/>
      <w:bookmarkStart w:id="54" w:name="_Toc51746101"/>
      <w:r>
        <w:rPr>
          <w:rFonts w:hint="eastAsia"/>
          <w:b/>
          <w:bCs w:val="0"/>
          <w:szCs w:val="21"/>
          <w:highlight w:val="none"/>
        </w:rPr>
        <w:t>（</w:t>
      </w:r>
      <w:r>
        <w:rPr>
          <w:rFonts w:hint="eastAsia" w:ascii="Calibri" w:hAnsi="Calibri" w:eastAsia="宋体" w:cs="Times New Roman"/>
          <w:b/>
          <w:bCs w:val="0"/>
          <w:szCs w:val="21"/>
          <w:highlight w:val="none"/>
        </w:rPr>
        <w:t>一）</w:t>
      </w:r>
      <w:r>
        <w:rPr>
          <w:rFonts w:hint="eastAsia" w:ascii="Calibri" w:hAnsi="Calibri" w:cs="Times New Roman"/>
          <w:b/>
          <w:bCs w:val="0"/>
          <w:szCs w:val="21"/>
          <w:highlight w:val="none"/>
          <w:lang w:val="en-US" w:eastAsia="zh-CN"/>
        </w:rPr>
        <w:t>项目目标</w:t>
      </w:r>
    </w:p>
    <w:p>
      <w:pPr>
        <w:pStyle w:val="2"/>
        <w:spacing w:after="0" w:line="360" w:lineRule="auto"/>
        <w:ind w:firstLine="420" w:firstLineChars="200"/>
        <w:rPr>
          <w:rFonts w:hint="eastAsia" w:ascii="宋体" w:hAnsi="宋体" w:eastAsia="宋体" w:cs="宋体"/>
          <w:kern w:val="2"/>
          <w:sz w:val="21"/>
          <w:szCs w:val="21"/>
          <w:highlight w:val="none"/>
          <w:lang w:val="en-US" w:eastAsia="zh-CN" w:bidi="ar-SA"/>
        </w:rPr>
      </w:pPr>
      <w:r>
        <w:rPr>
          <w:rFonts w:hint="default" w:ascii="Calibri" w:hAnsi="Calibri" w:eastAsia="宋体" w:cs="Times New Roman"/>
          <w:kern w:val="2"/>
          <w:sz w:val="21"/>
          <w:szCs w:val="21"/>
          <w:highlight w:val="none"/>
          <w:lang w:val="en-US" w:eastAsia="zh-CN" w:bidi="ar-SA"/>
        </w:rPr>
        <w:t>对前海合作区内的办公用房项目进行2</w:t>
      </w:r>
      <w:r>
        <w:rPr>
          <w:rFonts w:hint="eastAsia" w:ascii="宋体" w:hAnsi="宋体" w:eastAsia="宋体" w:cs="宋体"/>
          <w:kern w:val="2"/>
          <w:sz w:val="21"/>
          <w:szCs w:val="21"/>
          <w:highlight w:val="none"/>
          <w:lang w:val="en-US" w:eastAsia="zh-CN" w:bidi="ar-SA"/>
        </w:rPr>
        <w:t>021年度租金价格评估，并负责解释、答疑。对前海租金政策实施和出台的效果进行评估，分析政策的出台和实施对前海办公用房空置率、租金价格等方面的影响</w:t>
      </w:r>
      <w:r>
        <w:rPr>
          <w:rFonts w:hint="eastAsia" w:ascii="宋体" w:hAnsi="宋体" w:cs="宋体"/>
          <w:kern w:val="2"/>
          <w:sz w:val="21"/>
          <w:szCs w:val="21"/>
          <w:highlight w:val="none"/>
          <w:lang w:val="en-US" w:eastAsia="zh-CN" w:bidi="ar-SA"/>
        </w:rPr>
        <w:t>。</w:t>
      </w:r>
    </w:p>
    <w:p>
      <w:pPr>
        <w:shd w:val="clear" w:color="auto" w:fill="auto"/>
        <w:spacing w:line="360" w:lineRule="auto"/>
        <w:ind w:firstLine="420"/>
        <w:rPr>
          <w:rFonts w:hint="eastAsia" w:ascii="Calibri" w:hAnsi="Calibri" w:eastAsia="宋体" w:cs="Times New Roman"/>
          <w:b/>
          <w:bCs w:val="0"/>
          <w:szCs w:val="21"/>
          <w:highlight w:val="none"/>
        </w:rPr>
      </w:pPr>
      <w:r>
        <w:rPr>
          <w:rFonts w:hint="eastAsia" w:ascii="Calibri" w:hAnsi="Calibri" w:cs="Times New Roman"/>
          <w:b/>
          <w:bCs w:val="0"/>
          <w:szCs w:val="21"/>
          <w:highlight w:val="none"/>
          <w:lang w:val="en-US" w:eastAsia="zh-CN"/>
        </w:rPr>
        <w:t>（二）</w:t>
      </w:r>
      <w:r>
        <w:rPr>
          <w:rFonts w:hint="eastAsia" w:ascii="Calibri" w:hAnsi="Calibri" w:eastAsia="宋体" w:cs="Times New Roman"/>
          <w:b/>
          <w:bCs w:val="0"/>
          <w:szCs w:val="21"/>
          <w:highlight w:val="none"/>
        </w:rPr>
        <w:t>办公用房租金评估</w:t>
      </w:r>
    </w:p>
    <w:p>
      <w:pPr>
        <w:shd w:val="clear" w:color="auto" w:fill="auto"/>
        <w:spacing w:line="360" w:lineRule="auto"/>
        <w:ind w:firstLine="420"/>
        <w:rPr>
          <w:rFonts w:hint="default" w:ascii="Calibri" w:hAnsi="Calibri" w:eastAsia="宋体" w:cs="Times New Roman"/>
          <w:szCs w:val="21"/>
          <w:highlight w:val="none"/>
        </w:rPr>
      </w:pPr>
      <w:r>
        <w:rPr>
          <w:rFonts w:hint="default" w:ascii="Calibri" w:hAnsi="Calibri" w:eastAsia="宋体" w:cs="Times New Roman"/>
          <w:szCs w:val="21"/>
          <w:highlight w:val="none"/>
        </w:rPr>
        <w:t>对前海合作区内需评估的办公用房项目进行物业查勘、市场调研，并科学合理建立评估模型；以项目为单位，根据项目实际情况，评估项目市场租金，并出具市场评估租金报告。公开发布相关项目市场评估租金，并根据需要进行解释、答疑。</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拟对2021年前海合作区原区域（15平方公里）内办公用房租金价格进行评估，主要涉及前海卓越金融中心、基金小镇、华润金融中心、景兴海上广场、景兴海上大厦、弘毅大厦、前海大厦、企业公馆、创新中心、嘉里中心、世茂金融中心、信利康大厦、香江金融大厦、香缤大厦、自贸大厦、招商海运中心、顺丰总部大厦、文创小镇一期、招商前海经贸中心、深国际前海颐都大厦等楼宇。</w:t>
      </w:r>
    </w:p>
    <w:p>
      <w:pPr>
        <w:shd w:val="clear" w:color="auto" w:fill="auto"/>
        <w:spacing w:line="360" w:lineRule="auto"/>
        <w:ind w:firstLine="420"/>
        <w:rPr>
          <w:rFonts w:hint="eastAsia" w:ascii="Calibri" w:hAnsi="Calibri" w:eastAsia="宋体" w:cs="Times New Roman"/>
          <w:b/>
          <w:bCs/>
          <w:szCs w:val="21"/>
          <w:highlight w:val="none"/>
        </w:rPr>
      </w:pPr>
      <w:r>
        <w:rPr>
          <w:rFonts w:hint="eastAsia" w:ascii="Calibri" w:hAnsi="Calibri" w:eastAsia="宋体" w:cs="Times New Roman"/>
          <w:b/>
          <w:bCs/>
          <w:szCs w:val="21"/>
          <w:highlight w:val="none"/>
        </w:rPr>
        <w:t>（</w:t>
      </w:r>
      <w:r>
        <w:rPr>
          <w:rFonts w:hint="eastAsia" w:ascii="Calibri" w:hAnsi="Calibri" w:cs="Times New Roman"/>
          <w:b/>
          <w:bCs/>
          <w:szCs w:val="21"/>
          <w:highlight w:val="none"/>
          <w:lang w:val="en-US" w:eastAsia="zh-CN"/>
        </w:rPr>
        <w:t>三</w:t>
      </w:r>
      <w:r>
        <w:rPr>
          <w:rFonts w:hint="eastAsia" w:ascii="Calibri" w:hAnsi="Calibri" w:eastAsia="宋体" w:cs="Times New Roman"/>
          <w:b/>
          <w:bCs/>
          <w:szCs w:val="21"/>
          <w:highlight w:val="none"/>
        </w:rPr>
        <w:t>）政策评估</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对前海租金政策评估内容包括但不限于：</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1.通过横向、纵向对比，分析租金政策出台前后，对租赁市场供需情况影响，对写字楼空置率的影响；分析前海近三年来办公用房租金水平的变动情况；</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2.通过模拟分析，如果没有租金补贴政策，前海需通过多长时间达到目前的入驻率，通过数据分析租金补贴政策出台后的效果；</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3.通过对企业、行业协会、中介等进行调研访谈，分析前海办公用房政策的兑现程度、效益产出等有效性评估，并收集各方有效反馈意见；</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4.梳理国内租金补贴政策，选取与前海区域位置、发展定位等相似案例，进行比较分析，客观地得出前海办公用房租金政策的效应；</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5.通过实地调研，新政策对前海办公用房租金的影响，了解社会公众对新旧政策的意见，归类总结提出相关政策建议。</w:t>
      </w:r>
    </w:p>
    <w:p>
      <w:pPr>
        <w:ind w:firstLine="422" w:firstLineChars="200"/>
        <w:rPr>
          <w:rFonts w:hint="eastAsia"/>
          <w:b/>
          <w:szCs w:val="21"/>
          <w:highlight w:val="none"/>
        </w:rPr>
      </w:pPr>
      <w:r>
        <w:rPr>
          <w:rFonts w:hint="eastAsia"/>
          <w:b/>
          <w:szCs w:val="21"/>
          <w:highlight w:val="none"/>
          <w:lang w:eastAsia="zh-CN"/>
        </w:rPr>
        <w:t>（</w:t>
      </w:r>
      <w:r>
        <w:rPr>
          <w:rFonts w:hint="eastAsia"/>
          <w:b/>
          <w:szCs w:val="21"/>
          <w:highlight w:val="none"/>
          <w:lang w:val="en-US" w:eastAsia="zh-CN"/>
        </w:rPr>
        <w:t>四</w:t>
      </w:r>
      <w:r>
        <w:rPr>
          <w:rFonts w:hint="eastAsia"/>
          <w:b/>
          <w:szCs w:val="21"/>
          <w:highlight w:val="none"/>
          <w:lang w:eastAsia="zh-CN"/>
        </w:rPr>
        <w:t>）</w:t>
      </w:r>
      <w:r>
        <w:rPr>
          <w:rFonts w:hint="eastAsia"/>
          <w:b/>
          <w:szCs w:val="21"/>
          <w:highlight w:val="none"/>
        </w:rPr>
        <w:t>项目人员要求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1.人员配备要求：供应商应指派</w:t>
      </w:r>
      <w:r>
        <w:rPr>
          <w:rFonts w:hint="default" w:ascii="Calibri" w:hAnsi="Calibri" w:eastAsia="宋体" w:cs="Times New Roman"/>
          <w:szCs w:val="21"/>
          <w:highlight w:val="none"/>
          <w:lang w:eastAsia="zh-CN"/>
        </w:rPr>
        <w:t>5</w:t>
      </w:r>
      <w:r>
        <w:rPr>
          <w:rFonts w:hint="eastAsia" w:ascii="Calibri" w:hAnsi="Calibri" w:eastAsia="宋体" w:cs="Times New Roman"/>
          <w:szCs w:val="21"/>
          <w:highlight w:val="none"/>
          <w:lang w:val="en-US" w:eastAsia="zh-CN"/>
        </w:rPr>
        <w:t>名团队</w:t>
      </w:r>
      <w:r>
        <w:rPr>
          <w:rFonts w:hint="eastAsia" w:ascii="Calibri" w:hAnsi="Calibri" w:eastAsia="宋体" w:cs="Times New Roman"/>
          <w:szCs w:val="21"/>
          <w:highlight w:val="none"/>
        </w:rPr>
        <w:t>人员，配合采购方开展项目全过程管理。</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2.人员资质要求：</w:t>
      </w:r>
      <w:r>
        <w:rPr>
          <w:rFonts w:hint="eastAsia" w:ascii="Calibri" w:hAnsi="Calibri"/>
          <w:szCs w:val="21"/>
          <w:highlight w:val="none"/>
        </w:rPr>
        <w:t>至少3名人员具有租金评估资质，且有租金价格评估及政策评估工作经验</w:t>
      </w:r>
      <w:r>
        <w:rPr>
          <w:rFonts w:hint="default" w:ascii="Calibri" w:hAnsi="Calibri"/>
          <w:szCs w:val="21"/>
          <w:highlight w:val="none"/>
        </w:rPr>
        <w:t>；</w:t>
      </w:r>
      <w:r>
        <w:rPr>
          <w:rFonts w:hint="eastAsia" w:ascii="Calibri" w:hAnsi="Calibri" w:eastAsia="宋体" w:cs="Times New Roman"/>
          <w:szCs w:val="21"/>
          <w:highlight w:val="none"/>
        </w:rPr>
        <w:t>身体健康，沟通能力强，有责任心，有较高的职业素养和敬业精神。</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3.在服务期限内，项目人员应相对稳定，中标方不得随意更换项目负责人和项目组成员，及减少项目团队人数，或降低项目团队标准。若团队成员更换，须经采购方书面同意后方可更换。</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4.中标方应在合同签订后5个工作日内按采购方要求安排人员到岗开展服务工作，否则，每超期1天处以5000元/人次</w:t>
      </w:r>
      <w:r>
        <w:rPr>
          <w:rFonts w:hint="eastAsia" w:ascii="Calibri" w:hAnsi="Calibri" w:eastAsia="宋体" w:cs="Times New Roman"/>
          <w:szCs w:val="21"/>
          <w:highlight w:val="none"/>
          <w:lang w:val="en-US" w:eastAsia="zh-CN"/>
        </w:rPr>
        <w:t>/</w:t>
      </w:r>
      <w:r>
        <w:rPr>
          <w:rFonts w:hint="eastAsia" w:ascii="Calibri" w:hAnsi="Calibri" w:eastAsia="宋体" w:cs="Times New Roman"/>
          <w:szCs w:val="21"/>
          <w:highlight w:val="none"/>
        </w:rPr>
        <w:t>日的违约金；若超期5天仍未按招标方要求安排人员到岗开展服务工作，采购方有权解除合同。若采购方根据工作需求提出更换团队服务人员的，中标方在10个工作日内未更换或拒不更换人员，采购方有权解除合同。</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5.本项目服务团队人员不得有下列情形之一：</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5.1受过刑事处罚或者涉嫌违法犯罪尚未查清的。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5.2曾被行政拘留或者有吸毒史的。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5.3因违规违纪被机关、事业单位开除、辞退的。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5.4有个人不良信用记录的。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5.5曾参加过非法组织、邪教组织或危害国家安全活动的。</w:t>
      </w:r>
    </w:p>
    <w:p>
      <w:pPr>
        <w:ind w:firstLine="211" w:firstLineChars="100"/>
        <w:rPr>
          <w:rFonts w:hint="eastAsia" w:ascii="宋体" w:hAnsi="宋体"/>
          <w:b/>
          <w:szCs w:val="21"/>
          <w:highlight w:val="none"/>
        </w:rPr>
      </w:pPr>
      <w:r>
        <w:rPr>
          <w:rFonts w:hint="eastAsia" w:ascii="宋体" w:hAnsi="宋体"/>
          <w:b/>
          <w:szCs w:val="21"/>
          <w:highlight w:val="none"/>
          <w:lang w:eastAsia="zh-CN"/>
        </w:rPr>
        <w:t>（</w:t>
      </w:r>
      <w:r>
        <w:rPr>
          <w:rFonts w:hint="eastAsia" w:ascii="宋体" w:hAnsi="宋体"/>
          <w:b/>
          <w:szCs w:val="21"/>
          <w:highlight w:val="none"/>
          <w:lang w:val="en-US" w:eastAsia="zh-CN"/>
        </w:rPr>
        <w:t>五</w:t>
      </w:r>
      <w:r>
        <w:rPr>
          <w:rFonts w:hint="eastAsia" w:ascii="宋体" w:hAnsi="宋体"/>
          <w:b/>
          <w:szCs w:val="21"/>
          <w:highlight w:val="none"/>
          <w:lang w:eastAsia="zh-CN"/>
        </w:rPr>
        <w:t>）</w:t>
      </w:r>
      <w:r>
        <w:rPr>
          <w:rFonts w:hint="eastAsia" w:ascii="宋体" w:hAnsi="宋体"/>
          <w:b/>
          <w:szCs w:val="21"/>
          <w:highlight w:val="none"/>
        </w:rPr>
        <w:t>项目管理要求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1.中标方应指定一名团队负责人与采购方做好工作业务沟通对接、人员管理工作。</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2.投入项目的团队成员工作时间应与采购方上班时间保持一致，不得无故缺勤，不得违反采购方单位工作纪律。</w:t>
      </w:r>
    </w:p>
    <w:p>
      <w:pPr>
        <w:pStyle w:val="2"/>
        <w:ind w:firstLine="420" w:firstLineChars="200"/>
        <w:rPr>
          <w:rFonts w:hint="eastAsia"/>
          <w:highlight w:val="none"/>
        </w:rPr>
      </w:pPr>
      <w:r>
        <w:rPr>
          <w:rFonts w:hint="eastAsia" w:ascii="Calibri" w:hAnsi="Calibri" w:eastAsia="宋体" w:cs="Times New Roman"/>
          <w:szCs w:val="21"/>
          <w:highlight w:val="none"/>
        </w:rPr>
        <w:t>3.采购方应为派驻人员提供必要的工作条件及设施。</w:t>
      </w:r>
    </w:p>
    <w:p>
      <w:pPr>
        <w:rPr>
          <w:rFonts w:hint="default"/>
          <w:highlight w:val="none"/>
          <w:lang w:val="en-US" w:eastAsia="zh-CN"/>
        </w:rPr>
      </w:pPr>
    </w:p>
    <w:p>
      <w:pPr>
        <w:pStyle w:val="18"/>
        <w:spacing w:before="0" w:beforeAutospacing="0" w:after="0" w:afterAutospacing="0" w:line="360" w:lineRule="auto"/>
        <w:ind w:firstLine="422" w:firstLineChars="200"/>
        <w:jc w:val="both"/>
        <w:outlineLvl w:val="1"/>
        <w:rPr>
          <w:rFonts w:hint="eastAsia"/>
          <w:b/>
          <w:sz w:val="21"/>
          <w:szCs w:val="21"/>
          <w:highlight w:val="none"/>
        </w:rPr>
      </w:pPr>
      <w:r>
        <w:rPr>
          <w:rFonts w:hint="eastAsia"/>
          <w:b/>
          <w:sz w:val="21"/>
          <w:szCs w:val="21"/>
          <w:highlight w:val="none"/>
        </w:rPr>
        <w:t>三、商务要求</w:t>
      </w:r>
      <w:bookmarkEnd w:id="48"/>
      <w:bookmarkEnd w:id="49"/>
      <w:bookmarkEnd w:id="50"/>
      <w:bookmarkEnd w:id="51"/>
      <w:bookmarkEnd w:id="52"/>
      <w:bookmarkEnd w:id="53"/>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（一）服务期限及要求：</w:t>
      </w:r>
    </w:p>
    <w:p>
      <w:pPr>
        <w:shd w:val="clear" w:color="auto" w:fill="auto"/>
        <w:spacing w:line="360" w:lineRule="auto"/>
        <w:ind w:firstLine="420"/>
        <w:rPr>
          <w:rFonts w:hint="eastAsia" w:ascii="Calibri" w:hAnsi="Calibri" w:eastAsia="宋体" w:cs="Times New Roman"/>
          <w:szCs w:val="21"/>
          <w:highlight w:val="none"/>
          <w:lang w:val="en-US" w:eastAsia="zh-CN"/>
        </w:rPr>
      </w:pPr>
      <w:r>
        <w:rPr>
          <w:rFonts w:hint="eastAsia" w:ascii="Calibri" w:hAnsi="Calibri" w:eastAsia="宋体" w:cs="Times New Roman"/>
          <w:szCs w:val="21"/>
          <w:highlight w:val="none"/>
          <w:lang w:val="en-US" w:eastAsia="zh-CN"/>
        </w:rPr>
        <w:t>服务范围为前海合作区内。</w:t>
      </w:r>
    </w:p>
    <w:p>
      <w:pPr>
        <w:shd w:val="clear" w:color="auto" w:fill="auto"/>
        <w:spacing w:line="360" w:lineRule="auto"/>
        <w:ind w:firstLine="420"/>
        <w:rPr>
          <w:rFonts w:hint="default" w:ascii="Calibri" w:hAnsi="Calibri" w:eastAsia="宋体" w:cs="Times New Roman"/>
          <w:szCs w:val="21"/>
          <w:highlight w:val="none"/>
          <w:lang w:val="en-US" w:eastAsia="zh-CN"/>
        </w:rPr>
      </w:pPr>
      <w:r>
        <w:rPr>
          <w:rFonts w:hint="eastAsia" w:ascii="Calibri" w:hAnsi="Calibri" w:eastAsia="宋体" w:cs="Times New Roman"/>
          <w:szCs w:val="21"/>
          <w:highlight w:val="none"/>
          <w:lang w:val="en-US" w:eastAsia="zh-CN"/>
        </w:rPr>
        <w:t>服务期限为：自合同签订之日起一年内。</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（二）项目预算</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本项目招标总价控制为</w:t>
      </w:r>
      <w:r>
        <w:rPr>
          <w:rFonts w:hint="eastAsia" w:ascii="Calibri" w:hAnsi="Calibri" w:eastAsia="宋体" w:cs="Times New Roman"/>
          <w:szCs w:val="21"/>
          <w:highlight w:val="none"/>
          <w:lang w:val="en-US" w:eastAsia="zh-CN"/>
        </w:rPr>
        <w:t>30</w:t>
      </w:r>
      <w:r>
        <w:rPr>
          <w:rFonts w:hint="eastAsia" w:ascii="Calibri" w:hAnsi="Calibri" w:eastAsia="宋体" w:cs="Times New Roman"/>
          <w:szCs w:val="21"/>
          <w:highlight w:val="none"/>
        </w:rPr>
        <w:t>万元，财政性资金100%。</w:t>
      </w:r>
    </w:p>
    <w:p>
      <w:pPr>
        <w:shd w:val="clear" w:color="auto" w:fill="auto"/>
        <w:spacing w:line="360" w:lineRule="auto"/>
        <w:ind w:firstLine="420"/>
        <w:rPr>
          <w:rFonts w:ascii="宋体" w:hAnsi="宋体" w:cs="宋体"/>
          <w:highlight w:val="none"/>
        </w:rPr>
      </w:pPr>
      <w:r>
        <w:rPr>
          <w:rFonts w:hint="eastAsia" w:ascii="Calibri" w:hAnsi="Calibri" w:eastAsia="宋体" w:cs="Times New Roman"/>
          <w:szCs w:val="21"/>
          <w:highlight w:val="none"/>
        </w:rPr>
        <w:t>本次投标为总价包干，投标报价包括了投标人完成本招标项目而发生的全部费用，包括调研费、交通费、中标服务费、各种资料费</w:t>
      </w:r>
      <w:r>
        <w:rPr>
          <w:rFonts w:hint="eastAsia" w:ascii="宋体" w:hAnsi="宋体" w:cs="宋体"/>
          <w:highlight w:val="none"/>
        </w:rPr>
        <w:t>、保险、税金、会议评审、广告宣传、公开展示、公众咨询等所有费用，并提供合同要求的成果文件，以及其它相关服务的全部费用。</w:t>
      </w:r>
    </w:p>
    <w:p>
      <w:pPr>
        <w:pStyle w:val="7"/>
        <w:tabs>
          <w:tab w:val="left" w:pos="4680"/>
        </w:tabs>
        <w:spacing w:line="360" w:lineRule="auto"/>
        <w:rPr>
          <w:rFonts w:ascii="宋体" w:hAnsi="宋体" w:cs="宋体"/>
          <w:highlight w:val="none"/>
        </w:rPr>
      </w:pPr>
      <w:r>
        <w:rPr>
          <w:rFonts w:hint="eastAsia" w:ascii="宋体" w:hAnsi="宋体" w:cs="宋体"/>
          <w:highlight w:val="none"/>
        </w:rPr>
        <w:t>（三）付款方式</w:t>
      </w:r>
    </w:p>
    <w:p>
      <w:pPr>
        <w:pStyle w:val="7"/>
        <w:tabs>
          <w:tab w:val="left" w:pos="4680"/>
        </w:tabs>
        <w:spacing w:line="360" w:lineRule="auto"/>
        <w:rPr>
          <w:rFonts w:ascii="宋体" w:hAnsi="宋体" w:cs="宋体"/>
          <w:highlight w:val="none"/>
        </w:rPr>
      </w:pPr>
      <w:bookmarkStart w:id="55" w:name="_Toc86918426"/>
      <w:bookmarkStart w:id="56" w:name="_Toc31978"/>
      <w:r>
        <w:rPr>
          <w:rFonts w:hint="eastAsia" w:ascii="宋体" w:hAnsi="宋体" w:cs="宋体"/>
          <w:highlight w:val="none"/>
        </w:rPr>
        <w:t>合同价款由采购人分3期付至中标单位指定银行账户，支付比例为30%（签订合同之日起15个工作日内）、50%（乙方完成送审成果，并通过专家评审会评审）、20%（乙方完成最终成果，并完成报批程序）。</w:t>
      </w:r>
    </w:p>
    <w:bookmarkEnd w:id="55"/>
    <w:bookmarkEnd w:id="56"/>
    <w:p>
      <w:pPr>
        <w:ind w:firstLine="422" w:firstLineChars="200"/>
        <w:rPr>
          <w:rFonts w:hint="eastAsia"/>
          <w:b/>
          <w:szCs w:val="21"/>
          <w:highlight w:val="none"/>
        </w:rPr>
      </w:pPr>
      <w:r>
        <w:rPr>
          <w:rFonts w:hint="eastAsia"/>
          <w:b/>
          <w:szCs w:val="21"/>
          <w:highlight w:val="none"/>
          <w:lang w:eastAsia="zh-CN"/>
        </w:rPr>
        <w:t>（</w:t>
      </w:r>
      <w:r>
        <w:rPr>
          <w:rFonts w:hint="eastAsia"/>
          <w:b/>
          <w:szCs w:val="21"/>
          <w:highlight w:val="none"/>
          <w:lang w:val="en-US" w:eastAsia="zh-CN"/>
        </w:rPr>
        <w:t>四</w:t>
      </w:r>
      <w:r>
        <w:rPr>
          <w:rFonts w:hint="eastAsia"/>
          <w:b/>
          <w:szCs w:val="21"/>
          <w:highlight w:val="none"/>
          <w:lang w:eastAsia="zh-CN"/>
        </w:rPr>
        <w:t>）</w:t>
      </w:r>
      <w:r>
        <w:rPr>
          <w:rFonts w:hint="eastAsia"/>
          <w:b/>
          <w:szCs w:val="21"/>
          <w:highlight w:val="none"/>
        </w:rPr>
        <w:t>投标报价要求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本项目服务费采用包干制，其报价应包括项目投入成本及其他费用。由企业根据招标文件所提供的资料自行测算投标报价；一经中标，投标报价总价作为中标单位与采购单位签定的合同金额，合同期限内不做调整；</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投标人的报价明显低于其他通过符合性审查投标人的报价，评标委员会认为有可能影响服务质量或者不能诚信履约的，投标人需提供报价合理性说明。投标人补充的书面说明或提供的证明材料仍不能证明其报价合理性的，评标委员会应当做出投标无效认定，不得以扣减得分等方式保留投标人的投标资格。</w:t>
      </w:r>
    </w:p>
    <w:p>
      <w:pPr>
        <w:ind w:firstLine="422" w:firstLineChars="200"/>
        <w:rPr>
          <w:rFonts w:hint="eastAsia"/>
          <w:b/>
          <w:szCs w:val="21"/>
          <w:highlight w:val="none"/>
        </w:rPr>
      </w:pPr>
      <w:bookmarkStart w:id="57" w:name="_Toc222480776"/>
      <w:bookmarkStart w:id="58" w:name="_Toc260314564"/>
      <w:r>
        <w:rPr>
          <w:rFonts w:hint="eastAsia"/>
          <w:b/>
          <w:szCs w:val="21"/>
          <w:highlight w:val="none"/>
          <w:lang w:val="en-US" w:eastAsia="zh-CN"/>
        </w:rPr>
        <w:t>（五）</w:t>
      </w:r>
      <w:r>
        <w:rPr>
          <w:rFonts w:hint="eastAsia"/>
          <w:b/>
          <w:szCs w:val="21"/>
          <w:highlight w:val="none"/>
        </w:rPr>
        <w:t>项目管理及进度要求</w:t>
      </w:r>
      <w:bookmarkEnd w:id="57"/>
      <w:bookmarkEnd w:id="58"/>
    </w:p>
    <w:p>
      <w:pPr>
        <w:shd w:val="clear" w:color="auto" w:fill="auto"/>
        <w:spacing w:line="360" w:lineRule="auto"/>
        <w:ind w:firstLine="420"/>
        <w:rPr>
          <w:rFonts w:hint="eastAsia" w:ascii="Calibri" w:hAnsi="Calibri" w:eastAsia="宋体" w:cs="Times New Roman"/>
          <w:szCs w:val="21"/>
          <w:highlight w:val="none"/>
        </w:rPr>
      </w:pPr>
      <w:r>
        <w:rPr>
          <w:rFonts w:hint="eastAsia"/>
          <w:szCs w:val="21"/>
          <w:highlight w:val="none"/>
        </w:rPr>
        <w:t>1</w:t>
      </w:r>
      <w:r>
        <w:rPr>
          <w:rFonts w:hint="eastAsia" w:ascii="Calibri" w:hAnsi="Calibri" w:eastAsia="宋体" w:cs="Times New Roman"/>
          <w:szCs w:val="21"/>
          <w:highlight w:val="none"/>
        </w:rPr>
        <w:t>.组织实施要求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为确保本次项目投标工作管理规范、实施有力，投标方应成立项目组，按采购人要求完成各项工作。</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2.项目服务期限要求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本项目合同服务期限为</w:t>
      </w:r>
      <w:r>
        <w:rPr>
          <w:rFonts w:hint="eastAsia" w:ascii="Calibri" w:hAnsi="Calibri" w:eastAsia="宋体" w:cs="Times New Roman"/>
          <w:szCs w:val="21"/>
          <w:highlight w:val="none"/>
          <w:lang w:val="en-US" w:eastAsia="zh-CN"/>
        </w:rPr>
        <w:t>自签订合同之日起一年，以合同签订时间为准</w:t>
      </w:r>
      <w:r>
        <w:rPr>
          <w:rFonts w:hint="eastAsia" w:ascii="Calibri" w:hAnsi="Calibri" w:eastAsia="宋体" w:cs="Times New Roman"/>
          <w:szCs w:val="21"/>
          <w:highlight w:val="none"/>
        </w:rPr>
        <w:t>。</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工作时间：工作日上午9:00-12:00，下午2:00-6:00。若有紧急工作需安排加班，由中标方负责安排协调，不另计费用。</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3.项目人员安排要求</w:t>
      </w:r>
    </w:p>
    <w:p>
      <w:pPr>
        <w:numPr>
          <w:ilvl w:val="0"/>
          <w:numId w:val="0"/>
        </w:numPr>
        <w:spacing w:line="360" w:lineRule="auto"/>
        <w:ind w:firstLine="420" w:firstLineChars="200"/>
        <w:rPr>
          <w:rFonts w:hint="eastAsia"/>
          <w:b/>
          <w:szCs w:val="21"/>
          <w:highlight w:val="none"/>
          <w:lang w:val="en-US" w:eastAsia="zh-CN"/>
        </w:rPr>
      </w:pPr>
      <w:r>
        <w:rPr>
          <w:rFonts w:hint="eastAsia" w:ascii="Calibri" w:hAnsi="Calibri" w:eastAsia="宋体" w:cs="Times New Roman"/>
          <w:szCs w:val="21"/>
          <w:highlight w:val="none"/>
        </w:rPr>
        <w:t>中标方不得随意更换项目负责人和项目组成员，如不经采购单位同意擅自更换，则采购单位有权解除合同或根据情节要求中标方支付5000元/人/次的违约金。</w:t>
      </w:r>
    </w:p>
    <w:p>
      <w:pPr>
        <w:numPr>
          <w:ilvl w:val="0"/>
          <w:numId w:val="0"/>
        </w:numPr>
        <w:spacing w:line="360" w:lineRule="auto"/>
        <w:ind w:firstLine="422" w:firstLineChars="200"/>
        <w:rPr>
          <w:rFonts w:hint="eastAsia"/>
          <w:b/>
          <w:szCs w:val="21"/>
          <w:highlight w:val="none"/>
        </w:rPr>
      </w:pPr>
      <w:r>
        <w:rPr>
          <w:rFonts w:hint="eastAsia"/>
          <w:b/>
          <w:szCs w:val="21"/>
          <w:highlight w:val="none"/>
          <w:lang w:val="en-US" w:eastAsia="zh-CN"/>
        </w:rPr>
        <w:t>（六）</w:t>
      </w:r>
      <w:r>
        <w:rPr>
          <w:rFonts w:hint="eastAsia"/>
          <w:b/>
          <w:szCs w:val="21"/>
          <w:highlight w:val="none"/>
        </w:rPr>
        <w:t>项目</w:t>
      </w:r>
      <w:r>
        <w:rPr>
          <w:rFonts w:hint="eastAsia"/>
          <w:b/>
          <w:szCs w:val="21"/>
          <w:highlight w:val="none"/>
          <w:lang w:val="en-US" w:eastAsia="zh-CN"/>
        </w:rPr>
        <w:t>成果要求及</w:t>
      </w:r>
      <w:r>
        <w:rPr>
          <w:rFonts w:hint="eastAsia"/>
          <w:b/>
          <w:szCs w:val="21"/>
          <w:highlight w:val="none"/>
        </w:rPr>
        <w:t>验收</w:t>
      </w:r>
    </w:p>
    <w:p>
      <w:pPr>
        <w:pStyle w:val="22"/>
        <w:rPr>
          <w:rFonts w:hint="eastAsia"/>
          <w:b/>
          <w:szCs w:val="21"/>
          <w:highlight w:val="none"/>
          <w:lang w:val="en-US" w:eastAsia="zh-CN"/>
        </w:rPr>
      </w:pPr>
      <w:r>
        <w:rPr>
          <w:rFonts w:hint="eastAsia"/>
          <w:b/>
          <w:szCs w:val="21"/>
          <w:highlight w:val="none"/>
          <w:lang w:val="en-US" w:eastAsia="zh-CN"/>
        </w:rPr>
        <w:t>1.成果要求：形成《</w:t>
      </w:r>
      <w:r>
        <w:rPr>
          <w:rFonts w:hint="eastAsia"/>
          <w:szCs w:val="21"/>
          <w:highlight w:val="none"/>
        </w:rPr>
        <w:t>前海办公用房租金评估及</w:t>
      </w:r>
      <w:r>
        <w:rPr>
          <w:rFonts w:hint="default"/>
          <w:szCs w:val="21"/>
          <w:highlight w:val="none"/>
        </w:rPr>
        <w:t>租金</w:t>
      </w:r>
      <w:r>
        <w:rPr>
          <w:rFonts w:hint="eastAsia"/>
          <w:szCs w:val="21"/>
          <w:highlight w:val="none"/>
        </w:rPr>
        <w:t>政策评估</w:t>
      </w:r>
      <w:r>
        <w:rPr>
          <w:rFonts w:hint="eastAsia"/>
          <w:szCs w:val="21"/>
          <w:highlight w:val="none"/>
          <w:lang w:val="en-US" w:eastAsia="zh-CN"/>
        </w:rPr>
        <w:t>评估报告</w:t>
      </w:r>
      <w:r>
        <w:rPr>
          <w:rFonts w:hint="eastAsia"/>
          <w:b/>
          <w:szCs w:val="21"/>
          <w:highlight w:val="none"/>
          <w:lang w:val="en-US" w:eastAsia="zh-CN"/>
        </w:rPr>
        <w:t>》；</w:t>
      </w:r>
    </w:p>
    <w:p>
      <w:pPr>
        <w:pStyle w:val="22"/>
        <w:rPr>
          <w:highlight w:val="none"/>
        </w:rPr>
      </w:pPr>
      <w:r>
        <w:rPr>
          <w:rFonts w:hint="eastAsia"/>
          <w:b/>
          <w:szCs w:val="21"/>
          <w:highlight w:val="none"/>
          <w:lang w:val="en-US" w:eastAsia="zh-CN"/>
        </w:rPr>
        <w:t>2.验收要求：形成评估报告，通过专家评审会并经过采购方审议后进行验收。</w:t>
      </w:r>
    </w:p>
    <w:p>
      <w:pPr>
        <w:rPr>
          <w:highlight w:val="none"/>
        </w:rPr>
      </w:pPr>
    </w:p>
    <w:p>
      <w:pPr>
        <w:pStyle w:val="18"/>
        <w:spacing w:before="0" w:beforeAutospacing="0" w:after="0" w:afterAutospacing="0" w:line="360" w:lineRule="auto"/>
        <w:ind w:firstLine="422" w:firstLineChars="200"/>
        <w:jc w:val="both"/>
        <w:outlineLvl w:val="1"/>
        <w:rPr>
          <w:rFonts w:hint="default"/>
          <w:b/>
          <w:sz w:val="21"/>
          <w:szCs w:val="21"/>
          <w:highlight w:val="none"/>
        </w:rPr>
      </w:pPr>
      <w:r>
        <w:rPr>
          <w:rFonts w:hint="eastAsia"/>
          <w:b/>
          <w:sz w:val="21"/>
          <w:szCs w:val="21"/>
          <w:highlight w:val="none"/>
          <w:lang w:val="en-US" w:eastAsia="zh-CN"/>
        </w:rPr>
        <w:t>四</w:t>
      </w:r>
      <w:r>
        <w:rPr>
          <w:rFonts w:hint="eastAsia"/>
          <w:b/>
          <w:sz w:val="21"/>
          <w:szCs w:val="21"/>
          <w:highlight w:val="none"/>
        </w:rPr>
        <w:t>、★成果归属</w:t>
      </w:r>
      <w:r>
        <w:rPr>
          <w:rFonts w:hint="default"/>
          <w:b/>
          <w:sz w:val="21"/>
          <w:szCs w:val="21"/>
          <w:highlight w:val="none"/>
        </w:rPr>
        <w:t>与知识产权</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（一）本项目全部阶段性成果和最终成果的所有权、知识产权以及与之相关的所有权利归采购人所有；本合同签署前双方已经拥有的知识产权权利，仍归各自所有。</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（二）双方确定，采购人有权对中标人按照本合同约定提供的成果进行后续改进。由此产生的具有实质性或创造性技术进步特征的新的技术成果及其权利全部由采购人享有。</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三）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四）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（五）中标人完成本项目的研究人员享有在有关技术成果文件上署名的权利和与采购人共同获得有关荣誉证书、奖励的权利。</w:t>
      </w:r>
    </w:p>
    <w:p>
      <w:pPr>
        <w:pStyle w:val="18"/>
        <w:spacing w:before="0" w:beforeAutospacing="0" w:after="0" w:afterAutospacing="0" w:line="360" w:lineRule="auto"/>
        <w:ind w:firstLine="422" w:firstLineChars="200"/>
        <w:jc w:val="both"/>
        <w:outlineLvl w:val="1"/>
        <w:rPr>
          <w:rFonts w:hint="eastAsia"/>
          <w:b/>
          <w:sz w:val="21"/>
          <w:szCs w:val="21"/>
          <w:highlight w:val="none"/>
        </w:rPr>
      </w:pPr>
      <w:r>
        <w:rPr>
          <w:rFonts w:hint="eastAsia"/>
          <w:b/>
          <w:sz w:val="21"/>
          <w:szCs w:val="21"/>
          <w:highlight w:val="none"/>
          <w:lang w:val="en-US" w:eastAsia="zh-CN"/>
        </w:rPr>
        <w:t>五</w:t>
      </w:r>
      <w:r>
        <w:rPr>
          <w:rFonts w:hint="eastAsia"/>
          <w:b/>
          <w:sz w:val="21"/>
          <w:szCs w:val="21"/>
          <w:highlight w:val="none"/>
        </w:rPr>
        <w:t>、★保密条款</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二）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（三）中标人实施项目的程序应符合国家安全、保密的有关规定和标准。</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（四）上述保密义务不适用以下情况：</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1.获取的信息已被合法公开；</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2.获得信息拥有方书面许可并在该许可范围内披露；</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3.国家法律、法规规定的情形。</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五）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（六）无论本合同或本合同其他条款是否有效，本保密条款始终约束双方。国家秘密的保密期限由国家有关部门确定，工作秘密的保密期限由采购人确定。</w:t>
      </w:r>
    </w:p>
    <w:p>
      <w:pPr>
        <w:pStyle w:val="18"/>
        <w:spacing w:before="0" w:beforeAutospacing="0" w:after="0" w:afterAutospacing="0" w:line="360" w:lineRule="auto"/>
        <w:ind w:firstLine="422" w:firstLineChars="200"/>
        <w:jc w:val="both"/>
        <w:outlineLvl w:val="1"/>
        <w:rPr>
          <w:rFonts w:hint="eastAsia"/>
          <w:b/>
          <w:sz w:val="21"/>
          <w:szCs w:val="21"/>
          <w:highlight w:val="none"/>
        </w:rPr>
      </w:pPr>
      <w:r>
        <w:rPr>
          <w:rFonts w:hint="eastAsia"/>
          <w:b/>
          <w:sz w:val="21"/>
          <w:szCs w:val="21"/>
          <w:highlight w:val="none"/>
          <w:lang w:val="en-US" w:eastAsia="zh-CN"/>
        </w:rPr>
        <w:t>六</w:t>
      </w:r>
      <w:r>
        <w:rPr>
          <w:rFonts w:hint="eastAsia"/>
          <w:b/>
          <w:sz w:val="21"/>
          <w:szCs w:val="21"/>
          <w:highlight w:val="none"/>
        </w:rPr>
        <w:t>、★违约责任</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（一）如中标人未按照本合同约定的时间完成本项目各阶段工作，且未经采购人书面同意延长服务成果完成期限的，每迟延一日，采购人有权要求中标人支付本合同服务费总金额的1‰的逾期违约金。</w:t>
      </w:r>
    </w:p>
    <w:p>
      <w:pPr>
        <w:widowControl/>
        <w:spacing w:line="360" w:lineRule="auto"/>
        <w:ind w:firstLine="420" w:firstLineChars="200"/>
        <w:rPr>
          <w:rFonts w:ascii="宋体" w:hAnsi="宋体"/>
          <w:szCs w:val="21"/>
          <w:highlight w:val="none"/>
        </w:rPr>
      </w:pPr>
      <w:r>
        <w:rPr>
          <w:rFonts w:hint="eastAsia"/>
          <w:szCs w:val="21"/>
          <w:highlight w:val="none"/>
        </w:rPr>
        <w:t>（二）</w:t>
      </w:r>
      <w:r>
        <w:rPr>
          <w:rFonts w:ascii="宋体" w:hAnsi="宋体"/>
          <w:szCs w:val="21"/>
          <w:highlight w:val="none"/>
        </w:rPr>
        <w:t>本合同履行期</w:t>
      </w:r>
      <w:r>
        <w:rPr>
          <w:rFonts w:hint="eastAsia" w:ascii="宋体" w:hAnsi="宋体"/>
          <w:szCs w:val="21"/>
          <w:highlight w:val="none"/>
        </w:rPr>
        <w:t>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中标人</w:t>
      </w:r>
      <w:r>
        <w:rPr>
          <w:rFonts w:ascii="宋体" w:hAnsi="宋体"/>
          <w:szCs w:val="21"/>
          <w:highlight w:val="none"/>
        </w:rPr>
        <w:t>未能按合同约定的日期(含协商延缓的日期)提交</w:t>
      </w:r>
      <w:r>
        <w:rPr>
          <w:rFonts w:hint="eastAsia" w:ascii="宋体" w:hAnsi="宋体"/>
          <w:szCs w:val="21"/>
          <w:highlight w:val="none"/>
        </w:rPr>
        <w:t>各阶段成果或最终</w:t>
      </w:r>
      <w:r>
        <w:rPr>
          <w:rFonts w:ascii="宋体" w:hAnsi="宋体"/>
          <w:szCs w:val="21"/>
          <w:highlight w:val="none"/>
        </w:rPr>
        <w:t>成果，延误时间超过</w:t>
      </w:r>
      <w:r>
        <w:rPr>
          <w:rFonts w:hint="eastAsia" w:ascii="宋体" w:hAnsi="宋体"/>
          <w:szCs w:val="21"/>
          <w:highlight w:val="none"/>
        </w:rPr>
        <w:t>15个工作日；</w:t>
      </w:r>
    </w:p>
    <w:p>
      <w:pPr>
        <w:widowControl/>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因</w:t>
      </w:r>
      <w:r>
        <w:rPr>
          <w:rFonts w:hint="eastAsia" w:ascii="宋体" w:hAnsi="宋体"/>
          <w:szCs w:val="21"/>
          <w:highlight w:val="none"/>
        </w:rPr>
        <w:t>中标人</w:t>
      </w:r>
      <w:r>
        <w:rPr>
          <w:rFonts w:ascii="宋体" w:hAnsi="宋体"/>
          <w:szCs w:val="21"/>
          <w:highlight w:val="none"/>
        </w:rPr>
        <w:t>工作的错误或遗漏造成成果质量损失，</w:t>
      </w:r>
      <w:r>
        <w:rPr>
          <w:rFonts w:hint="eastAsia" w:ascii="宋体" w:hAnsi="宋体"/>
          <w:szCs w:val="21"/>
          <w:highlight w:val="none"/>
          <w:lang w:val="zh-CN"/>
        </w:rPr>
        <w:t>工作成果质量低劣，不能满足采购人工作需要和要求</w:t>
      </w:r>
      <w:r>
        <w:rPr>
          <w:rFonts w:ascii="宋体" w:hAnsi="宋体"/>
          <w:szCs w:val="21"/>
          <w:highlight w:val="none"/>
        </w:rPr>
        <w:t>；</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中标人虽如期提交最终成果，但连续二次未能通过采购人验收的；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4）未经</w:t>
      </w:r>
      <w:r>
        <w:rPr>
          <w:rFonts w:hint="eastAsia" w:ascii="宋体" w:hAnsi="宋体"/>
          <w:szCs w:val="21"/>
          <w:highlight w:val="none"/>
        </w:rPr>
        <w:t>采购人书面在先</w:t>
      </w:r>
      <w:r>
        <w:rPr>
          <w:rFonts w:ascii="宋体" w:hAnsi="宋体"/>
          <w:szCs w:val="21"/>
          <w:highlight w:val="none"/>
        </w:rPr>
        <w:t>同意，</w:t>
      </w:r>
      <w:r>
        <w:rPr>
          <w:rFonts w:hint="eastAsia" w:ascii="宋体" w:hAnsi="宋体"/>
          <w:szCs w:val="21"/>
          <w:highlight w:val="none"/>
        </w:rPr>
        <w:t>中标人</w:t>
      </w:r>
      <w:r>
        <w:rPr>
          <w:rFonts w:ascii="宋体" w:hAnsi="宋体"/>
          <w:szCs w:val="21"/>
          <w:highlight w:val="none"/>
        </w:rPr>
        <w:t>擅自</w:t>
      </w:r>
      <w:r>
        <w:rPr>
          <w:rFonts w:hint="eastAsia" w:ascii="宋体" w:hAnsi="宋体"/>
          <w:szCs w:val="21"/>
          <w:highlight w:val="none"/>
        </w:rPr>
        <w:t>将本合同项目与任何第三方合作，或将本合同标的全部或部分擅自转包或分包给任何第三方，且未按采购人的要求终止与第三方的合同的；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（5）项目负责人未承担本合同项目实质性工作，或未经采购人书面在先同意，中标人擅自更换项目负责人的；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中标人</w:t>
      </w:r>
      <w:r>
        <w:rPr>
          <w:rFonts w:ascii="宋体" w:hAnsi="宋体"/>
          <w:szCs w:val="21"/>
          <w:highlight w:val="none"/>
        </w:rPr>
        <w:t>明确表示或者以自己的行为表明不履行</w:t>
      </w:r>
      <w:r>
        <w:rPr>
          <w:rFonts w:hint="eastAsia" w:ascii="宋体" w:hAnsi="宋体"/>
          <w:szCs w:val="21"/>
          <w:highlight w:val="none"/>
        </w:rPr>
        <w:t>本合同的。</w:t>
      </w:r>
    </w:p>
    <w:p>
      <w:pPr>
        <w:widowControl/>
        <w:spacing w:line="360" w:lineRule="auto"/>
        <w:ind w:firstLine="420" w:firstLineChars="200"/>
        <w:rPr>
          <w:szCs w:val="21"/>
          <w:highlight w:val="none"/>
        </w:rPr>
      </w:pPr>
      <w:r>
        <w:rPr>
          <w:rFonts w:hint="eastAsia" w:ascii="宋体" w:hAnsi="宋体"/>
          <w:szCs w:val="21"/>
          <w:highlight w:val="none"/>
        </w:rPr>
        <w:t>（三） 除因</w:t>
      </w:r>
      <w:r>
        <w:rPr>
          <w:rFonts w:hint="eastAsia" w:ascii="宋体" w:hAnsi="宋体"/>
          <w:kern w:val="0"/>
          <w:szCs w:val="21"/>
          <w:highlight w:val="none"/>
        </w:rPr>
        <w:t>采购人付款审批影响支付进度的情况外，</w:t>
      </w:r>
      <w:r>
        <w:rPr>
          <w:rFonts w:hint="eastAsia" w:ascii="宋体" w:hAnsi="宋体"/>
          <w:szCs w:val="21"/>
          <w:highlight w:val="none"/>
        </w:rPr>
        <w:t>如采购人未按照本合同约定的时间支付服务费，中标人书面催告采购人并给予不少于30个工作日的履行期限后采购人仍未支付的，中标人有权自该期限届满之日起要求采购人支付该阶段应付而未付合同价款每日</w:t>
      </w:r>
      <w:r>
        <w:rPr>
          <w:rFonts w:ascii="宋体" w:hAnsi="宋体"/>
          <w:szCs w:val="21"/>
          <w:highlight w:val="none"/>
        </w:rPr>
        <w:t>1</w:t>
      </w:r>
      <w:r>
        <w:rPr>
          <w:rFonts w:hint="eastAsia" w:ascii="宋体" w:hAnsi="宋体"/>
          <w:szCs w:val="21"/>
          <w:highlight w:val="none"/>
        </w:rPr>
        <w:t>‰的逾期违约金。采购人无正当理由拒绝接受服务，到期明确表示拒付服务款项的，采购人向中标人偿付本合同总价5%的违约金。</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（四）上述违约责任各自独立且可累加。如本合同所约定的违约金无法弥补因违约行为所造成的损失，违约方应补偿上述不足部分的损失。</w:t>
      </w:r>
    </w:p>
    <w:p>
      <w:pPr>
        <w:tabs>
          <w:tab w:val="left" w:pos="720"/>
        </w:tabs>
        <w:autoSpaceDE w:val="0"/>
        <w:autoSpaceDN w:val="0"/>
        <w:adjustRightInd w:val="0"/>
        <w:spacing w:line="360" w:lineRule="auto"/>
        <w:ind w:right="17" w:firstLine="420" w:firstLineChars="200"/>
        <w:rPr>
          <w:rFonts w:ascii="宋体" w:hAnsi="宋体" w:cs="宋体"/>
          <w:kern w:val="0"/>
          <w:szCs w:val="21"/>
          <w:highlight w:val="none"/>
        </w:rPr>
      </w:pPr>
    </w:p>
    <w:bookmarkEnd w:id="54"/>
    <w:p>
      <w:pPr>
        <w:pStyle w:val="18"/>
        <w:spacing w:before="0" w:beforeAutospacing="0" w:after="0" w:afterAutospacing="0" w:line="360" w:lineRule="auto"/>
        <w:ind w:firstLine="360" w:firstLineChars="150"/>
        <w:rPr>
          <w:highlight w:val="none"/>
        </w:rPr>
      </w:pPr>
      <w:r>
        <w:rPr>
          <w:highlight w:val="none"/>
        </w:rPr>
        <w:br w:type="page"/>
      </w:r>
    </w:p>
    <w:p>
      <w:pPr>
        <w:jc w:val="center"/>
        <w:outlineLvl w:val="0"/>
        <w:rPr>
          <w:b/>
          <w:bCs/>
          <w:sz w:val="30"/>
          <w:highlight w:val="none"/>
        </w:rPr>
      </w:pPr>
      <w:bookmarkStart w:id="59" w:name="_Toc26969"/>
      <w:bookmarkStart w:id="60" w:name="_Toc86918427"/>
      <w:bookmarkStart w:id="61" w:name="_Toc83405801"/>
      <w:bookmarkStart w:id="62" w:name="_Toc14381"/>
      <w:bookmarkStart w:id="63" w:name="_Toc9015"/>
      <w:bookmarkStart w:id="64" w:name="_Toc51746102"/>
      <w:r>
        <w:rPr>
          <w:rFonts w:hint="eastAsia"/>
          <w:b/>
          <w:bCs/>
          <w:sz w:val="30"/>
          <w:highlight w:val="none"/>
        </w:rPr>
        <w:t>第六章 招标项目评分表</w:t>
      </w:r>
      <w:bookmarkEnd w:id="59"/>
      <w:bookmarkEnd w:id="60"/>
    </w:p>
    <w:p>
      <w:pPr>
        <w:ind w:firstLine="420" w:firstLineChars="200"/>
        <w:rPr>
          <w:rFonts w:ascii="宋体" w:hAnsi="宋体" w:cs="宋体"/>
          <w:szCs w:val="21"/>
          <w:highlight w:val="none"/>
        </w:rPr>
      </w:pPr>
      <w:r>
        <w:rPr>
          <w:rFonts w:hint="eastAsia" w:ascii="宋体" w:hAnsi="宋体" w:cs="宋体"/>
          <w:szCs w:val="21"/>
          <w:highlight w:val="none"/>
        </w:rPr>
        <w:t>本次评标采用综合评分法，按照招标文件中规定的各项因素进行量化打分，</w:t>
      </w:r>
      <w:r>
        <w:rPr>
          <w:rFonts w:hint="eastAsia"/>
          <w:szCs w:val="21"/>
          <w:highlight w:val="none"/>
        </w:rPr>
        <w:t>以评标总得分最高的投标人为中标供应</w:t>
      </w:r>
      <w:r>
        <w:rPr>
          <w:szCs w:val="21"/>
          <w:highlight w:val="none"/>
        </w:rPr>
        <w:t>商</w:t>
      </w:r>
      <w:r>
        <w:rPr>
          <w:rFonts w:hint="eastAsia" w:ascii="宋体" w:hAnsi="宋体" w:cs="宋体"/>
          <w:bCs/>
          <w:szCs w:val="21"/>
          <w:highlight w:val="none"/>
        </w:rPr>
        <w:t>。</w:t>
      </w:r>
    </w:p>
    <w:p>
      <w:pPr>
        <w:ind w:firstLine="420" w:firstLineChars="200"/>
        <w:rPr>
          <w:rFonts w:ascii="宋体" w:hAnsi="宋体" w:cs="宋体"/>
          <w:szCs w:val="21"/>
          <w:highlight w:val="none"/>
        </w:rPr>
      </w:pPr>
      <w:r>
        <w:rPr>
          <w:rFonts w:hint="eastAsia" w:ascii="宋体" w:hAnsi="宋体" w:cs="宋体"/>
          <w:szCs w:val="21"/>
          <w:highlight w:val="none"/>
        </w:rPr>
        <w:t>确定中标供应商按评审后得分由高到低顺序排列。评审后得分由高到低顺序排列，得分相同的，技术因素得分高者排名优先。若技术因素得分也相同，则由评标委员以少数服从多数的原则投票推选出招标项目的第一名。</w:t>
      </w:r>
    </w:p>
    <w:p>
      <w:pPr>
        <w:ind w:firstLine="420" w:firstLineChars="200"/>
        <w:rPr>
          <w:rFonts w:ascii="宋体" w:hAnsi="宋体" w:cs="宋体"/>
          <w:szCs w:val="21"/>
          <w:highlight w:val="none"/>
        </w:rPr>
      </w:pPr>
      <w:r>
        <w:rPr>
          <w:rFonts w:hint="eastAsia" w:ascii="宋体" w:hAnsi="宋体" w:cs="宋体"/>
          <w:szCs w:val="21"/>
          <w:highlight w:val="none"/>
        </w:rPr>
        <w:t>评审委员会对每个通过资格性检查和符合性检查且报价不超过预算控制金额的投标供应商进行评审、打分，然后汇总每个投标供应商每项评分因素的评分。</w:t>
      </w:r>
    </w:p>
    <w:p>
      <w:pPr>
        <w:ind w:firstLine="420" w:firstLineChars="200"/>
        <w:rPr>
          <w:rFonts w:ascii="宋体" w:hAnsi="宋体" w:cs="宋体"/>
          <w:szCs w:val="21"/>
          <w:highlight w:val="none"/>
        </w:rPr>
      </w:pPr>
      <w:r>
        <w:rPr>
          <w:rFonts w:hint="eastAsia" w:ascii="宋体" w:hAnsi="宋体" w:cs="宋体"/>
          <w:szCs w:val="21"/>
          <w:highlight w:val="none"/>
        </w:rPr>
        <w:t>评委会在评标时，按照以下量化的评审因素，对进入该阶段评审的各投标文件进行分析和比较。</w:t>
      </w:r>
    </w:p>
    <w:p>
      <w:pPr>
        <w:autoSpaceDE w:val="0"/>
        <w:autoSpaceDN w:val="0"/>
        <w:adjustRightInd w:val="0"/>
        <w:jc w:val="center"/>
        <w:rPr>
          <w:rFonts w:ascii="宋体" w:hAnsi="宋体" w:cs="宋体"/>
          <w:color w:val="000000"/>
          <w:highlight w:val="none"/>
        </w:rPr>
      </w:pPr>
      <w:r>
        <w:rPr>
          <w:rFonts w:hint="eastAsia" w:ascii="仿宋" w:hAnsi="仿宋" w:eastAsia="仿宋" w:cs="宋体"/>
          <w:b/>
          <w:color w:val="000000"/>
          <w:sz w:val="28"/>
          <w:szCs w:val="28"/>
          <w:highlight w:val="none"/>
        </w:rPr>
        <w:t>评审细则表</w:t>
      </w:r>
    </w:p>
    <w:tbl>
      <w:tblPr>
        <w:tblStyle w:val="23"/>
        <w:tblW w:w="94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2"/>
        <w:gridCol w:w="1686"/>
        <w:gridCol w:w="800"/>
        <w:gridCol w:w="5301"/>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3" w:hRule="atLeast"/>
          <w:jc w:val="center"/>
        </w:trPr>
        <w:tc>
          <w:tcPr>
            <w:tcW w:w="8349" w:type="dxa"/>
            <w:gridSpan w:val="4"/>
            <w:vAlign w:val="center"/>
          </w:tcPr>
          <w:p>
            <w:pPr>
              <w:autoSpaceDE w:val="0"/>
              <w:autoSpaceDN w:val="0"/>
              <w:adjustRightInd w:val="0"/>
              <w:jc w:val="center"/>
              <w:rPr>
                <w:rFonts w:ascii="宋体" w:hAnsi="宋体"/>
                <w:b/>
                <w:color w:val="000000" w:themeColor="text1"/>
                <w:szCs w:val="21"/>
                <w:highlight w:val="none"/>
                <w:lang w:val="zh-CN"/>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评分项及评分规则</w:t>
            </w:r>
          </w:p>
        </w:tc>
        <w:tc>
          <w:tcPr>
            <w:tcW w:w="1134" w:type="dxa"/>
            <w:vAlign w:val="center"/>
          </w:tcPr>
          <w:p>
            <w:pPr>
              <w:autoSpaceDE w:val="0"/>
              <w:autoSpaceDN w:val="0"/>
              <w:adjustRightInd w:val="0"/>
              <w:jc w:val="center"/>
              <w:rPr>
                <w:rFonts w:ascii="宋体" w:hAnsi="宋体"/>
                <w:b/>
                <w:color w:val="000000" w:themeColor="text1"/>
                <w:szCs w:val="21"/>
                <w:highlight w:val="none"/>
                <w:lang w:val="zh-CN"/>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权重</w:t>
            </w:r>
          </w:p>
        </w:tc>
      </w:tr>
      <w:tr>
        <w:trPr>
          <w:trHeight w:val="428" w:hRule="atLeast"/>
          <w:jc w:val="center"/>
        </w:trPr>
        <w:tc>
          <w:tcPr>
            <w:tcW w:w="8349" w:type="dxa"/>
            <w:gridSpan w:val="4"/>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一、价格部分</w:t>
            </w:r>
          </w:p>
        </w:tc>
        <w:tc>
          <w:tcPr>
            <w:tcW w:w="1134" w:type="dxa"/>
            <w:vAlign w:val="center"/>
          </w:tcPr>
          <w:p>
            <w:pPr>
              <w:autoSpaceDE w:val="0"/>
              <w:autoSpaceDN w:val="0"/>
              <w:adjustRightInd w:val="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17" w:hRule="atLeast"/>
          <w:jc w:val="center"/>
        </w:trPr>
        <w:tc>
          <w:tcPr>
            <w:tcW w:w="8349" w:type="dxa"/>
            <w:gridSpan w:val="4"/>
            <w:vAlign w:val="center"/>
          </w:tcPr>
          <w:p>
            <w:pPr>
              <w:autoSpaceDE w:val="0"/>
              <w:autoSpaceDN w:val="0"/>
              <w:adjustRightInd w:val="0"/>
              <w:jc w:val="left"/>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价格分采用低价优先法计算，即满足招标文件要求且投标价格最低的投标报价为评标基准价，其价格分为满分。其他投标人的价格分按照下列公式计算：</w:t>
            </w:r>
          </w:p>
          <w:p>
            <w:pPr>
              <w:autoSpaceDE w:val="0"/>
              <w:autoSpaceDN w:val="0"/>
              <w:adjustRightInd w:val="0"/>
              <w:jc w:val="lef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投标报价得分</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评标基准价／投标报价</w:t>
            </w:r>
            <w:r>
              <w:rPr>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×价格分权重</w:t>
            </w:r>
          </w:p>
          <w:p>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根据财库〔2020〕46号、财库[2014]68号、财库[2017]141号及深府购[2020]24号文件规定：本项目非专门面向中小企业的项目，对小型和微型企业的投标报价扣除10%后参与评审，对残疾人福利性单位和监狱企业的投标报价扣除10%后参与评审。</w:t>
            </w:r>
          </w:p>
          <w:p>
            <w:pPr>
              <w:autoSpaceDE w:val="0"/>
              <w:autoSpaceDN w:val="0"/>
              <w:adjustRightInd w:val="0"/>
              <w:rPr>
                <w:rFonts w:ascii="宋体" w:hAnsi="宋体"/>
                <w:color w:val="000000" w:themeColor="text1"/>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1134" w:type="dxa"/>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9" w:hRule="atLeast"/>
          <w:jc w:val="center"/>
        </w:trPr>
        <w:tc>
          <w:tcPr>
            <w:tcW w:w="8349" w:type="dxa"/>
            <w:gridSpan w:val="4"/>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二、商务部分</w:t>
            </w:r>
          </w:p>
        </w:tc>
        <w:tc>
          <w:tcPr>
            <w:tcW w:w="1134" w:type="dxa"/>
            <w:vAlign w:val="center"/>
          </w:tcPr>
          <w:p>
            <w:pPr>
              <w:autoSpaceDE w:val="0"/>
              <w:autoSpaceDN w:val="0"/>
              <w:adjustRightInd w:val="0"/>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5" w:hRule="atLeast"/>
          <w:jc w:val="center"/>
        </w:trPr>
        <w:tc>
          <w:tcPr>
            <w:tcW w:w="562" w:type="dxa"/>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序号</w:t>
            </w:r>
          </w:p>
        </w:tc>
        <w:tc>
          <w:tcPr>
            <w:tcW w:w="1686" w:type="dxa"/>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内容</w:t>
            </w:r>
          </w:p>
        </w:tc>
        <w:tc>
          <w:tcPr>
            <w:tcW w:w="800" w:type="dxa"/>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权重</w:t>
            </w:r>
          </w:p>
        </w:tc>
        <w:tc>
          <w:tcPr>
            <w:tcW w:w="5301" w:type="dxa"/>
            <w:vAlign w:val="center"/>
          </w:tcPr>
          <w:p>
            <w:pPr>
              <w:autoSpaceDE w:val="0"/>
              <w:autoSpaceDN w:val="0"/>
              <w:adjustRightInd w:val="0"/>
              <w:jc w:val="center"/>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评分规则</w:t>
            </w:r>
          </w:p>
        </w:tc>
        <w:tc>
          <w:tcPr>
            <w:tcW w:w="1134" w:type="dxa"/>
            <w:vAlign w:val="center"/>
          </w:tcPr>
          <w:p>
            <w:pPr>
              <w:autoSpaceDE w:val="0"/>
              <w:autoSpaceDN w:val="0"/>
              <w:adjustRightInd w:val="0"/>
              <w:jc w:val="center"/>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5" w:hRule="atLeast"/>
          <w:jc w:val="center"/>
        </w:trPr>
        <w:tc>
          <w:tcPr>
            <w:tcW w:w="562" w:type="dxa"/>
            <w:vAlign w:val="center"/>
          </w:tcPr>
          <w:p>
            <w:pPr>
              <w:autoSpaceDE w:val="0"/>
              <w:autoSpaceDN w:val="0"/>
              <w:adjustRightInd w:val="0"/>
              <w:jc w:val="center"/>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1</w:t>
            </w:r>
          </w:p>
        </w:tc>
        <w:tc>
          <w:tcPr>
            <w:tcW w:w="1686" w:type="dxa"/>
            <w:vAlign w:val="center"/>
          </w:tcPr>
          <w:p>
            <w:pPr>
              <w:jc w:val="center"/>
              <w:rPr>
                <w:rFonts w:ascii="宋体" w:hAnsi="宋体"/>
                <w:b w:val="0"/>
                <w:bCs/>
                <w:color w:val="000000" w:themeColor="text1"/>
                <w:szCs w:val="21"/>
                <w:highlight w:val="none"/>
                <w:lang w:val="zh-CN"/>
                <w14:textFill>
                  <w14:solidFill>
                    <w14:schemeClr w14:val="tx1"/>
                  </w14:solidFill>
                </w14:textFill>
              </w:rPr>
            </w:pPr>
            <w:r>
              <w:rPr>
                <w:rFonts w:hint="eastAsia" w:ascii="宋体" w:hAnsi="宋体"/>
                <w:szCs w:val="21"/>
                <w:highlight w:val="none"/>
              </w:rPr>
              <w:t>实施方案</w:t>
            </w:r>
          </w:p>
        </w:tc>
        <w:tc>
          <w:tcPr>
            <w:tcW w:w="800" w:type="dxa"/>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szCs w:val="21"/>
                <w:highlight w:val="none"/>
              </w:rPr>
              <w:t>15</w:t>
            </w:r>
          </w:p>
        </w:tc>
        <w:tc>
          <w:tcPr>
            <w:tcW w:w="5301"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highlight w:val="none"/>
              </w:rPr>
              <w:t>按照投标文件相应情况进行横向比较，分档评分：</w:t>
            </w:r>
            <w:r>
              <w:rPr>
                <w:rFonts w:hint="eastAsia" w:ascii="宋体" w:hAnsi="宋体" w:eastAsia="宋体" w:cs="宋体"/>
                <w:kern w:val="0"/>
                <w:sz w:val="21"/>
                <w:szCs w:val="21"/>
                <w:highlight w:val="none"/>
                <w:lang w:val="en-US" w:eastAsia="zh-CN" w:bidi="ar"/>
              </w:rPr>
              <w:t>考察投标人对本项目需求的理解程度。投标人提供具体实施方案</w:t>
            </w:r>
            <w:r>
              <w:rPr>
                <w:rFonts w:hint="default" w:ascii="宋体" w:hAnsi="宋体" w:eastAsia="宋体" w:cs="宋体"/>
                <w:kern w:val="0"/>
                <w:sz w:val="21"/>
                <w:szCs w:val="21"/>
                <w:highlight w:val="none"/>
                <w:lang w:eastAsia="zh-CN" w:bidi="ar"/>
              </w:rPr>
              <w:t>得分</w:t>
            </w:r>
            <w:r>
              <w:rPr>
                <w:rFonts w:hint="eastAsia" w:ascii="宋体" w:hAnsi="宋体" w:eastAsia="宋体" w:cs="宋体"/>
                <w:kern w:val="0"/>
                <w:sz w:val="21"/>
                <w:szCs w:val="21"/>
                <w:highlight w:val="none"/>
                <w:lang w:val="en-US" w:eastAsia="zh-CN" w:bidi="ar"/>
              </w:rPr>
              <w:t xml:space="preserve">，不提供不得分：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 xml:space="preserve">1.针对本项目的需求制定工作措施；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 xml:space="preserve">2.有具体的工作方法及工作手段；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 xml:space="preserve">3.明确了具体的工作流程；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满足以上3点得</w:t>
            </w:r>
            <w:r>
              <w:rPr>
                <w:rFonts w:hint="default" w:ascii="宋体" w:hAnsi="宋体" w:eastAsia="宋体" w:cs="宋体"/>
                <w:kern w:val="0"/>
                <w:sz w:val="21"/>
                <w:szCs w:val="21"/>
                <w:highlight w:val="none"/>
                <w:lang w:eastAsia="zh-CN" w:bidi="ar"/>
              </w:rPr>
              <w:t>9</w:t>
            </w:r>
            <w:r>
              <w:rPr>
                <w:rFonts w:hint="eastAsia" w:ascii="宋体" w:hAnsi="宋体" w:eastAsia="宋体" w:cs="宋体"/>
                <w:kern w:val="0"/>
                <w:sz w:val="21"/>
                <w:szCs w:val="21"/>
                <w:highlight w:val="none"/>
                <w:lang w:val="en-US" w:eastAsia="zh-CN" w:bidi="ar"/>
              </w:rPr>
              <w:t xml:space="preserve">分，满足任意2点得 </w:t>
            </w:r>
            <w:r>
              <w:rPr>
                <w:rFonts w:hint="default" w:ascii="宋体" w:hAnsi="宋体" w:eastAsia="宋体" w:cs="宋体"/>
                <w:kern w:val="0"/>
                <w:sz w:val="21"/>
                <w:szCs w:val="21"/>
                <w:highlight w:val="none"/>
                <w:lang w:eastAsia="zh-CN" w:bidi="ar"/>
              </w:rPr>
              <w:t>6</w:t>
            </w:r>
            <w:r>
              <w:rPr>
                <w:rFonts w:hint="eastAsia" w:ascii="宋体" w:hAnsi="宋体" w:eastAsia="宋体" w:cs="宋体"/>
                <w:kern w:val="0"/>
                <w:sz w:val="21"/>
                <w:szCs w:val="21"/>
                <w:highlight w:val="none"/>
                <w:lang w:val="en-US" w:eastAsia="zh-CN" w:bidi="ar"/>
              </w:rPr>
              <w:t>分，满足任意1点得</w:t>
            </w:r>
            <w:r>
              <w:rPr>
                <w:rFonts w:hint="default" w:ascii="宋体" w:hAnsi="宋体" w:eastAsia="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 xml:space="preserve">分，未满足不得分。在此基础上，专家根据各供应商的具体响应内容按照量化的评审因素指标进一步评审：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1.实施方案分析准确、符合项目要求，具体实施措施科学有效的评审为优得</w:t>
            </w:r>
            <w:r>
              <w:rPr>
                <w:rFonts w:hint="default" w:ascii="宋体" w:hAnsi="宋体" w:eastAsia="宋体" w:cs="宋体"/>
                <w:kern w:val="0"/>
                <w:sz w:val="21"/>
                <w:szCs w:val="21"/>
                <w:highlight w:val="none"/>
                <w:lang w:eastAsia="zh-CN" w:bidi="ar"/>
              </w:rPr>
              <w:t>6</w:t>
            </w:r>
            <w:r>
              <w:rPr>
                <w:rFonts w:hint="eastAsia" w:ascii="宋体" w:hAnsi="宋体" w:eastAsia="宋体" w:cs="宋体"/>
                <w:kern w:val="0"/>
                <w:sz w:val="21"/>
                <w:szCs w:val="21"/>
                <w:highlight w:val="none"/>
                <w:lang w:val="en-US" w:eastAsia="zh-CN" w:bidi="ar"/>
              </w:rPr>
              <w:t xml:space="preserve">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2.实施方案分析较准确、较符合项目要求，具体实施措施较科学有效评审为良的得</w:t>
            </w:r>
            <w:r>
              <w:rPr>
                <w:rFonts w:hint="default" w:ascii="宋体" w:hAnsi="宋体" w:eastAsia="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 xml:space="preserve">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3.实施方案分析基本准确、基本符合项目要求，具体实施措施基本科学有效评审为中的得</w:t>
            </w:r>
            <w:r>
              <w:rPr>
                <w:rFonts w:hint="eastAsia" w:ascii="宋体" w:hAnsi="宋体" w:eastAsia="宋体" w:cs="宋体"/>
                <w:kern w:val="0"/>
                <w:sz w:val="21"/>
                <w:szCs w:val="21"/>
                <w:highlight w:val="none"/>
                <w:lang w:eastAsia="zh-CN" w:bidi="ar"/>
              </w:rPr>
              <w:t>1</w:t>
            </w:r>
            <w:r>
              <w:rPr>
                <w:rFonts w:hint="eastAsia" w:ascii="宋体" w:hAnsi="宋体" w:eastAsia="宋体" w:cs="宋体"/>
                <w:kern w:val="0"/>
                <w:sz w:val="21"/>
                <w:szCs w:val="21"/>
                <w:highlight w:val="none"/>
                <w:lang w:val="en-US" w:eastAsia="zh-CN" w:bidi="ar"/>
              </w:rPr>
              <w:t xml:space="preserve">分； </w:t>
            </w:r>
          </w:p>
          <w:p>
            <w:pPr>
              <w:pStyle w:val="9"/>
              <w:rPr>
                <w:rFonts w:hint="eastAsia" w:ascii="宋体" w:hAnsi="宋体" w:eastAsia="宋体" w:cs="宋体"/>
                <w:highlight w:val="none"/>
                <w:lang w:val="en-US" w:eastAsia="zh-CN"/>
              </w:rPr>
            </w:pPr>
            <w:r>
              <w:rPr>
                <w:rFonts w:hint="eastAsia" w:ascii="宋体" w:hAnsi="宋体" w:eastAsia="宋体" w:cs="宋体"/>
                <w:kern w:val="0"/>
                <w:sz w:val="21"/>
                <w:szCs w:val="21"/>
                <w:highlight w:val="none"/>
                <w:lang w:val="en-US" w:eastAsia="zh-CN" w:bidi="ar"/>
              </w:rPr>
              <w:t>4.实施方案分析不准确、不符合项目要求，具体实施措施不科学有效评审为差的得 0 分。</w:t>
            </w:r>
          </w:p>
          <w:p>
            <w:pPr>
              <w:pStyle w:val="13"/>
              <w:rPr>
                <w:rFonts w:hint="eastAsia" w:eastAsia="宋体"/>
                <w:highlight w:val="none"/>
                <w:lang w:eastAsia="zh-CN"/>
              </w:rPr>
            </w:pPr>
            <w:r>
              <w:rPr>
                <w:rFonts w:hint="eastAsia" w:ascii="宋体" w:hAnsi="宋体" w:cs="宋体"/>
                <w:sz w:val="21"/>
                <w:szCs w:val="21"/>
                <w:highlight w:val="none"/>
              </w:rPr>
              <w:t>如果评审为差，要求专家书面说明理由，并记录在档。</w:t>
            </w:r>
          </w:p>
        </w:tc>
        <w:tc>
          <w:tcPr>
            <w:tcW w:w="1134" w:type="dxa"/>
            <w:vAlign w:val="center"/>
          </w:tcPr>
          <w:p>
            <w:pPr>
              <w:autoSpaceDE w:val="0"/>
              <w:autoSpaceDN w:val="0"/>
              <w:adjustRightInd w:val="0"/>
              <w:jc w:val="center"/>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5" w:hRule="atLeast"/>
          <w:jc w:val="center"/>
        </w:trPr>
        <w:tc>
          <w:tcPr>
            <w:tcW w:w="562" w:type="dxa"/>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686" w:type="dxa"/>
            <w:vAlign w:val="center"/>
          </w:tcPr>
          <w:p>
            <w:pPr>
              <w:jc w:val="center"/>
              <w:rPr>
                <w:rFonts w:ascii="宋体" w:hAnsi="宋体"/>
                <w:b w:val="0"/>
                <w:bCs/>
                <w:color w:val="000000" w:themeColor="text1"/>
                <w:szCs w:val="21"/>
                <w:highlight w:val="none"/>
                <w:lang w:val="zh-CN"/>
                <w14:textFill>
                  <w14:solidFill>
                    <w14:schemeClr w14:val="tx1"/>
                  </w14:solidFill>
                </w14:textFill>
              </w:rPr>
            </w:pPr>
            <w:r>
              <w:rPr>
                <w:rFonts w:hint="eastAsia" w:ascii="宋体" w:hAnsi="宋体"/>
                <w:szCs w:val="21"/>
                <w:highlight w:val="none"/>
              </w:rPr>
              <w:t>项目重点难点分析、应对措施及相关的合理化建议</w:t>
            </w:r>
          </w:p>
        </w:tc>
        <w:tc>
          <w:tcPr>
            <w:tcW w:w="800"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szCs w:val="21"/>
                <w:highlight w:val="none"/>
              </w:rPr>
              <w:t>15</w:t>
            </w:r>
          </w:p>
        </w:tc>
        <w:tc>
          <w:tcPr>
            <w:tcW w:w="5301"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highlight w:val="none"/>
              </w:rPr>
              <w:t>按照投标文件相应情况进行横向比较，</w:t>
            </w:r>
            <w:r>
              <w:rPr>
                <w:rFonts w:hint="eastAsia" w:ascii="宋体" w:hAnsi="宋体" w:eastAsia="宋体" w:cs="宋体"/>
                <w:kern w:val="0"/>
                <w:sz w:val="21"/>
                <w:szCs w:val="21"/>
                <w:highlight w:val="none"/>
                <w:lang w:val="en-US" w:eastAsia="zh-CN" w:bidi="ar"/>
              </w:rPr>
              <w:t>考察投标人对本项目需求的理解程度。投标人提供具体实施方案</w:t>
            </w:r>
            <w:r>
              <w:rPr>
                <w:rFonts w:hint="default" w:ascii="宋体" w:hAnsi="宋体" w:eastAsia="宋体" w:cs="宋体"/>
                <w:kern w:val="0"/>
                <w:sz w:val="21"/>
                <w:szCs w:val="21"/>
                <w:highlight w:val="none"/>
                <w:lang w:eastAsia="zh-CN" w:bidi="ar"/>
              </w:rPr>
              <w:t>得分</w:t>
            </w:r>
            <w:r>
              <w:rPr>
                <w:rFonts w:hint="eastAsia" w:ascii="宋体" w:hAnsi="宋体" w:eastAsia="宋体" w:cs="宋体"/>
                <w:kern w:val="0"/>
                <w:sz w:val="21"/>
                <w:szCs w:val="21"/>
                <w:highlight w:val="none"/>
                <w:lang w:val="en-US" w:eastAsia="zh-CN" w:bidi="ar"/>
              </w:rPr>
              <w:t xml:space="preserve">，不提供不得分：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r>
              <w:rPr>
                <w:rFonts w:hint="default" w:ascii="宋体" w:hAnsi="宋体" w:cs="宋体"/>
                <w:kern w:val="0"/>
                <w:sz w:val="21"/>
                <w:szCs w:val="21"/>
                <w:highlight w:val="none"/>
                <w:lang w:eastAsia="zh-CN" w:bidi="ar"/>
              </w:rPr>
              <w:t>准确分析项目的重点难点</w:t>
            </w:r>
            <w:r>
              <w:rPr>
                <w:rFonts w:hint="eastAsia" w:ascii="宋体" w:hAnsi="宋体" w:eastAsia="宋体" w:cs="宋体"/>
                <w:kern w:val="0"/>
                <w:sz w:val="21"/>
                <w:szCs w:val="21"/>
                <w:highlight w:val="no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 xml:space="preserve">2.有具体的工作方法及工作手段；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3.明确了具体的工作流程</w:t>
            </w:r>
            <w:r>
              <w:rPr>
                <w:rFonts w:hint="default" w:ascii="宋体" w:hAnsi="宋体" w:cs="宋体"/>
                <w:kern w:val="0"/>
                <w:sz w:val="21"/>
                <w:szCs w:val="21"/>
                <w:highlight w:val="none"/>
                <w:lang w:eastAsia="zh-CN" w:bidi="ar"/>
              </w:rPr>
              <w:t>，并提出合理化建议</w:t>
            </w:r>
            <w:r>
              <w:rPr>
                <w:rFonts w:hint="eastAsia" w:ascii="宋体" w:hAnsi="宋体" w:eastAsia="宋体" w:cs="宋体"/>
                <w:kern w:val="0"/>
                <w:sz w:val="21"/>
                <w:szCs w:val="21"/>
                <w:highlight w:val="no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满足以上3点得</w:t>
            </w:r>
            <w:r>
              <w:rPr>
                <w:rFonts w:hint="default" w:ascii="宋体" w:hAnsi="宋体" w:eastAsia="宋体" w:cs="宋体"/>
                <w:kern w:val="0"/>
                <w:sz w:val="21"/>
                <w:szCs w:val="21"/>
                <w:highlight w:val="none"/>
                <w:lang w:eastAsia="zh-CN" w:bidi="ar"/>
              </w:rPr>
              <w:t>9</w:t>
            </w:r>
            <w:r>
              <w:rPr>
                <w:rFonts w:hint="eastAsia" w:ascii="宋体" w:hAnsi="宋体" w:eastAsia="宋体" w:cs="宋体"/>
                <w:kern w:val="0"/>
                <w:sz w:val="21"/>
                <w:szCs w:val="21"/>
                <w:highlight w:val="none"/>
                <w:lang w:val="en-US" w:eastAsia="zh-CN" w:bidi="ar"/>
              </w:rPr>
              <w:t xml:space="preserve">分，满足任意2点得 </w:t>
            </w:r>
            <w:r>
              <w:rPr>
                <w:rFonts w:hint="default" w:ascii="宋体" w:hAnsi="宋体" w:eastAsia="宋体" w:cs="宋体"/>
                <w:kern w:val="0"/>
                <w:sz w:val="21"/>
                <w:szCs w:val="21"/>
                <w:highlight w:val="none"/>
                <w:lang w:eastAsia="zh-CN" w:bidi="ar"/>
              </w:rPr>
              <w:t>6</w:t>
            </w:r>
            <w:r>
              <w:rPr>
                <w:rFonts w:hint="eastAsia" w:ascii="宋体" w:hAnsi="宋体" w:eastAsia="宋体" w:cs="宋体"/>
                <w:kern w:val="0"/>
                <w:sz w:val="21"/>
                <w:szCs w:val="21"/>
                <w:highlight w:val="none"/>
                <w:lang w:val="en-US" w:eastAsia="zh-CN" w:bidi="ar"/>
              </w:rPr>
              <w:t>分，满足任意1点得</w:t>
            </w:r>
            <w:r>
              <w:rPr>
                <w:rFonts w:hint="default" w:ascii="宋体" w:hAnsi="宋体" w:eastAsia="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 xml:space="preserve">分，未满足不得分。在此基础上，专家根据各供应商的具体响应内容按照量化的评审因素指标进一步评审：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1.实施方案分析准确、符合项目要求，具体实施措施科学有效的评审为优得</w:t>
            </w:r>
            <w:r>
              <w:rPr>
                <w:rFonts w:hint="default" w:ascii="宋体" w:hAnsi="宋体" w:eastAsia="宋体" w:cs="宋体"/>
                <w:kern w:val="0"/>
                <w:sz w:val="21"/>
                <w:szCs w:val="21"/>
                <w:highlight w:val="none"/>
                <w:lang w:eastAsia="zh-CN" w:bidi="ar"/>
              </w:rPr>
              <w:t>6</w:t>
            </w:r>
            <w:r>
              <w:rPr>
                <w:rFonts w:hint="eastAsia" w:ascii="宋体" w:hAnsi="宋体" w:eastAsia="宋体" w:cs="宋体"/>
                <w:kern w:val="0"/>
                <w:sz w:val="21"/>
                <w:szCs w:val="21"/>
                <w:highlight w:val="none"/>
                <w:lang w:val="en-US" w:eastAsia="zh-CN" w:bidi="ar"/>
              </w:rPr>
              <w:t xml:space="preserve">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2.实施方案分析较准确、较符合项目要求，具体实施措施较科学有效评审为良的得</w:t>
            </w:r>
            <w:r>
              <w:rPr>
                <w:rFonts w:hint="default" w:ascii="宋体" w:hAnsi="宋体" w:eastAsia="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 xml:space="preserve">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3.实施方案分析基本准确、基本符合项目要求，具体实施措施基本科学有效评审为中的得</w:t>
            </w:r>
            <w:r>
              <w:rPr>
                <w:rFonts w:hint="eastAsia" w:ascii="宋体" w:hAnsi="宋体" w:eastAsia="宋体" w:cs="宋体"/>
                <w:kern w:val="0"/>
                <w:sz w:val="21"/>
                <w:szCs w:val="21"/>
                <w:highlight w:val="none"/>
                <w:lang w:eastAsia="zh-CN" w:bidi="ar"/>
              </w:rPr>
              <w:t>1</w:t>
            </w:r>
            <w:r>
              <w:rPr>
                <w:rFonts w:hint="eastAsia" w:ascii="宋体" w:hAnsi="宋体" w:eastAsia="宋体" w:cs="宋体"/>
                <w:kern w:val="0"/>
                <w:sz w:val="21"/>
                <w:szCs w:val="21"/>
                <w:highlight w:val="none"/>
                <w:lang w:val="en-US" w:eastAsia="zh-CN" w:bidi="ar"/>
              </w:rPr>
              <w:t xml:space="preserve">分； </w:t>
            </w:r>
          </w:p>
          <w:p>
            <w:pPr>
              <w:pStyle w:val="9"/>
              <w:rPr>
                <w:rFonts w:hint="eastAsia" w:ascii="宋体" w:hAnsi="宋体" w:eastAsia="宋体" w:cs="宋体"/>
                <w:highlight w:val="none"/>
                <w:lang w:val="en-US" w:eastAsia="zh-CN"/>
              </w:rPr>
            </w:pPr>
            <w:r>
              <w:rPr>
                <w:rFonts w:hint="eastAsia" w:ascii="宋体" w:hAnsi="宋体" w:eastAsia="宋体" w:cs="宋体"/>
                <w:kern w:val="0"/>
                <w:sz w:val="21"/>
                <w:szCs w:val="21"/>
                <w:highlight w:val="none"/>
                <w:lang w:val="en-US" w:eastAsia="zh-CN" w:bidi="ar"/>
              </w:rPr>
              <w:t>4.实施方案分析不准确、不符合项目要求，具体实施措施不科学有效评审为差的得 0 分。</w:t>
            </w:r>
          </w:p>
          <w:p>
            <w:pPr>
              <w:jc w:val="lef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s="宋体"/>
                <w:szCs w:val="21"/>
                <w:highlight w:val="none"/>
              </w:rPr>
              <w:t>如果评审为差，要求专家书面说明理由，并记录在档。</w:t>
            </w:r>
          </w:p>
        </w:tc>
        <w:tc>
          <w:tcPr>
            <w:tcW w:w="1134" w:type="dxa"/>
            <w:vAlign w:val="center"/>
          </w:tcPr>
          <w:p>
            <w:pPr>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5" w:hRule="atLeast"/>
          <w:jc w:val="center"/>
        </w:trPr>
        <w:tc>
          <w:tcPr>
            <w:tcW w:w="562" w:type="dxa"/>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686" w:type="dxa"/>
            <w:vAlign w:val="center"/>
          </w:tcPr>
          <w:p>
            <w:pPr>
              <w:jc w:val="center"/>
              <w:rPr>
                <w:rFonts w:ascii="宋体" w:hAnsi="宋体"/>
                <w:b w:val="0"/>
                <w:bCs/>
                <w:color w:val="000000" w:themeColor="text1"/>
                <w:szCs w:val="21"/>
                <w:highlight w:val="none"/>
                <w:lang w:val="zh-CN"/>
                <w14:textFill>
                  <w14:solidFill>
                    <w14:schemeClr w14:val="tx1"/>
                  </w14:solidFill>
                </w14:textFill>
              </w:rPr>
            </w:pPr>
            <w:r>
              <w:rPr>
                <w:rFonts w:hint="default" w:ascii="宋体" w:hAnsi="宋体"/>
                <w:szCs w:val="21"/>
                <w:highlight w:val="none"/>
              </w:rPr>
              <w:t>数据和报告</w:t>
            </w:r>
            <w:r>
              <w:rPr>
                <w:rFonts w:hint="eastAsia" w:ascii="宋体" w:hAnsi="宋体"/>
                <w:szCs w:val="21"/>
                <w:highlight w:val="none"/>
              </w:rPr>
              <w:t>质量保障措施及方案</w:t>
            </w:r>
          </w:p>
        </w:tc>
        <w:tc>
          <w:tcPr>
            <w:tcW w:w="800" w:type="dxa"/>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szCs w:val="21"/>
                <w:highlight w:val="none"/>
              </w:rPr>
              <w:t>1</w:t>
            </w:r>
            <w:r>
              <w:rPr>
                <w:rFonts w:hint="default" w:ascii="宋体" w:hAnsi="宋体"/>
                <w:szCs w:val="21"/>
                <w:highlight w:val="none"/>
              </w:rPr>
              <w:t>0</w:t>
            </w:r>
          </w:p>
        </w:tc>
        <w:tc>
          <w:tcPr>
            <w:tcW w:w="5301" w:type="dxa"/>
            <w:vAlign w:val="top"/>
          </w:tcPr>
          <w:p>
            <w:pPr>
              <w:pStyle w:val="9"/>
              <w:rPr>
                <w:rFonts w:hint="default" w:ascii="宋体" w:hAnsi="宋体" w:eastAsia="宋体" w:cs="宋体"/>
                <w:highlight w:val="none"/>
              </w:rPr>
            </w:pPr>
            <w:r>
              <w:rPr>
                <w:rFonts w:hint="eastAsia" w:ascii="宋体" w:hAnsi="宋体" w:eastAsia="宋体" w:cs="宋体"/>
                <w:highlight w:val="none"/>
              </w:rPr>
              <w:t>按照投标文件</w:t>
            </w:r>
            <w:r>
              <w:rPr>
                <w:rFonts w:hint="eastAsia" w:ascii="宋体" w:hAnsi="宋体" w:cs="宋体"/>
                <w:highlight w:val="none"/>
                <w:lang w:val="en-US" w:eastAsia="zh-CN"/>
              </w:rPr>
              <w:t>响</w:t>
            </w:r>
            <w:r>
              <w:rPr>
                <w:rFonts w:hint="eastAsia" w:ascii="宋体" w:hAnsi="宋体" w:eastAsia="宋体" w:cs="宋体"/>
                <w:highlight w:val="none"/>
              </w:rPr>
              <w:t>应情况进行横向比较，</w:t>
            </w:r>
            <w:r>
              <w:rPr>
                <w:rFonts w:hint="default" w:ascii="宋体" w:hAnsi="宋体" w:eastAsia="宋体" w:cs="宋体"/>
                <w:highlight w:val="none"/>
              </w:rPr>
              <w:t>考察投标人对本项目统计数据质量把控的理解程度。投标人提供具体方案得分，不提供不得分：</w:t>
            </w:r>
          </w:p>
          <w:p>
            <w:pPr>
              <w:pStyle w:val="9"/>
              <w:rPr>
                <w:rFonts w:hint="default" w:ascii="宋体" w:hAnsi="宋体" w:eastAsia="宋体" w:cs="宋体"/>
                <w:highlight w:val="none"/>
              </w:rPr>
            </w:pPr>
            <w:r>
              <w:rPr>
                <w:rFonts w:hint="default" w:ascii="宋体" w:hAnsi="宋体" w:eastAsia="宋体" w:cs="宋体"/>
                <w:highlight w:val="none"/>
              </w:rPr>
              <w:t>1.列明</w:t>
            </w:r>
            <w:r>
              <w:rPr>
                <w:rFonts w:hint="default" w:ascii="宋体" w:hAnsi="宋体" w:cs="宋体"/>
                <w:highlight w:val="none"/>
              </w:rPr>
              <w:t>数据和报告</w:t>
            </w:r>
            <w:r>
              <w:rPr>
                <w:rFonts w:hint="default" w:ascii="宋体" w:hAnsi="宋体" w:eastAsia="宋体" w:cs="宋体"/>
                <w:highlight w:val="none"/>
              </w:rPr>
              <w:t>质量保障环节；</w:t>
            </w:r>
          </w:p>
          <w:p>
            <w:pPr>
              <w:pStyle w:val="9"/>
              <w:rPr>
                <w:rFonts w:hint="default" w:ascii="宋体" w:hAnsi="宋体" w:eastAsia="宋体" w:cs="宋体"/>
                <w:highlight w:val="none"/>
              </w:rPr>
            </w:pPr>
            <w:r>
              <w:rPr>
                <w:rFonts w:hint="default" w:ascii="宋体" w:hAnsi="宋体" w:eastAsia="宋体" w:cs="宋体"/>
                <w:highlight w:val="none"/>
              </w:rPr>
              <w:t>2.明确了具体质量把控流程。</w:t>
            </w:r>
          </w:p>
          <w:p>
            <w:pPr>
              <w:pStyle w:val="9"/>
              <w:rPr>
                <w:rFonts w:hint="eastAsia" w:ascii="宋体" w:hAnsi="宋体" w:eastAsia="宋体" w:cs="宋体"/>
                <w:kern w:val="0"/>
                <w:sz w:val="21"/>
                <w:szCs w:val="21"/>
                <w:highlight w:val="none"/>
                <w:lang w:val="en-US" w:eastAsia="zh-CN" w:bidi="ar"/>
              </w:rPr>
            </w:pPr>
            <w:r>
              <w:rPr>
                <w:rFonts w:hint="default" w:ascii="宋体" w:hAnsi="宋体" w:eastAsia="宋体" w:cs="宋体"/>
                <w:highlight w:val="none"/>
              </w:rPr>
              <w:t>满足以上2点得6分，</w:t>
            </w:r>
            <w:r>
              <w:rPr>
                <w:rFonts w:hint="eastAsia" w:ascii="宋体" w:hAnsi="宋体" w:eastAsia="宋体" w:cs="宋体"/>
                <w:kern w:val="0"/>
                <w:sz w:val="21"/>
                <w:szCs w:val="21"/>
                <w:highlight w:val="none"/>
                <w:lang w:val="en-US" w:eastAsia="zh-CN" w:bidi="ar"/>
              </w:rPr>
              <w:t>满足任意1点得</w:t>
            </w:r>
            <w:r>
              <w:rPr>
                <w:rFonts w:hint="default" w:ascii="宋体" w:hAnsi="宋体" w:eastAsia="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分，未满足不得分。在此基础上，专家根据各供应商的具体响应内容按照量化的评审因素指标进一步评审：</w:t>
            </w:r>
          </w:p>
          <w:p>
            <w:pPr>
              <w:pStyle w:val="9"/>
              <w:rPr>
                <w:rFonts w:hint="eastAsia" w:ascii="宋体" w:hAnsi="宋体" w:eastAsia="宋体" w:cs="宋体"/>
                <w:sz w:val="21"/>
                <w:szCs w:val="21"/>
                <w:highlight w:val="none"/>
              </w:rPr>
            </w:pPr>
            <w:r>
              <w:rPr>
                <w:rFonts w:hint="eastAsia" w:ascii="宋体" w:hAnsi="宋体" w:cs="宋体"/>
                <w:kern w:val="0"/>
                <w:sz w:val="21"/>
                <w:szCs w:val="21"/>
                <w:highlight w:val="none"/>
                <w:lang w:val="en-US" w:eastAsia="zh-CN" w:bidi="ar"/>
              </w:rPr>
              <w:t>1.</w:t>
            </w:r>
            <w:r>
              <w:rPr>
                <w:rFonts w:hint="default" w:ascii="宋体" w:hAnsi="宋体" w:cs="宋体"/>
                <w:highlight w:val="none"/>
              </w:rPr>
              <w:t>数据和报告</w:t>
            </w:r>
            <w:r>
              <w:rPr>
                <w:rFonts w:hint="default" w:ascii="宋体" w:hAnsi="宋体" w:eastAsia="宋体" w:cs="宋体"/>
                <w:highlight w:val="none"/>
              </w:rPr>
              <w:t>质量</w:t>
            </w:r>
            <w:r>
              <w:rPr>
                <w:rFonts w:hint="default" w:ascii="宋体" w:hAnsi="宋体" w:eastAsia="宋体" w:cs="宋体"/>
                <w:kern w:val="0"/>
                <w:sz w:val="21"/>
                <w:szCs w:val="21"/>
                <w:highlight w:val="none"/>
                <w:lang w:eastAsia="zh-CN" w:bidi="ar"/>
              </w:rPr>
              <w:t>把控方案</w:t>
            </w:r>
            <w:r>
              <w:rPr>
                <w:rFonts w:hint="eastAsia" w:ascii="宋体" w:hAnsi="宋体" w:eastAsia="宋体" w:cs="宋体"/>
                <w:kern w:val="0"/>
                <w:sz w:val="21"/>
                <w:szCs w:val="21"/>
                <w:highlight w:val="none"/>
                <w:lang w:val="en-US" w:eastAsia="zh-CN" w:bidi="ar"/>
              </w:rPr>
              <w:t>准确、符合项目要求，具体实施措施科学有效的评审为优得</w:t>
            </w:r>
            <w:r>
              <w:rPr>
                <w:rFonts w:hint="default" w:ascii="宋体" w:hAnsi="宋体" w:eastAsia="宋体" w:cs="宋体"/>
                <w:kern w:val="0"/>
                <w:sz w:val="21"/>
                <w:szCs w:val="21"/>
                <w:highlight w:val="none"/>
                <w:lang w:eastAsia="zh-CN" w:bidi="ar"/>
              </w:rPr>
              <w:t>4</w:t>
            </w:r>
            <w:r>
              <w:rPr>
                <w:rFonts w:hint="eastAsia" w:ascii="宋体" w:hAnsi="宋体" w:eastAsia="宋体" w:cs="宋体"/>
                <w:kern w:val="0"/>
                <w:sz w:val="21"/>
                <w:szCs w:val="21"/>
                <w:highlight w:val="none"/>
                <w:lang w:val="en-US" w:eastAsia="zh-CN" w:bidi="ar"/>
              </w:rPr>
              <w:t xml:space="preserve">分， </w:t>
            </w:r>
          </w:p>
          <w:p>
            <w:pPr>
              <w:pStyle w:val="9"/>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w:t>
            </w:r>
            <w:r>
              <w:rPr>
                <w:rFonts w:hint="default" w:ascii="宋体" w:hAnsi="宋体" w:cs="宋体"/>
                <w:highlight w:val="none"/>
              </w:rPr>
              <w:t>数据和报告</w:t>
            </w:r>
            <w:r>
              <w:rPr>
                <w:rFonts w:hint="default" w:ascii="宋体" w:hAnsi="宋体" w:eastAsia="宋体" w:cs="宋体"/>
                <w:highlight w:val="none"/>
              </w:rPr>
              <w:t>质量</w:t>
            </w:r>
            <w:r>
              <w:rPr>
                <w:rFonts w:hint="default" w:ascii="宋体" w:hAnsi="宋体" w:eastAsia="宋体" w:cs="宋体"/>
                <w:kern w:val="0"/>
                <w:sz w:val="21"/>
                <w:szCs w:val="21"/>
                <w:highlight w:val="none"/>
                <w:lang w:eastAsia="zh-CN" w:bidi="ar"/>
              </w:rPr>
              <w:t>量把控方案</w:t>
            </w:r>
            <w:r>
              <w:rPr>
                <w:rFonts w:hint="eastAsia" w:ascii="宋体" w:hAnsi="宋体" w:eastAsia="宋体" w:cs="宋体"/>
                <w:kern w:val="0"/>
                <w:sz w:val="21"/>
                <w:szCs w:val="21"/>
                <w:highlight w:val="none"/>
                <w:lang w:val="en-US" w:eastAsia="zh-CN" w:bidi="ar"/>
              </w:rPr>
              <w:t>较准确、较符合项目要求，具体实施措施较科学有效评审为良的得</w:t>
            </w:r>
            <w:r>
              <w:rPr>
                <w:rFonts w:hint="default" w:ascii="宋体" w:hAnsi="宋体" w:eastAsia="宋体" w:cs="宋体"/>
                <w:kern w:val="0"/>
                <w:sz w:val="21"/>
                <w:szCs w:val="21"/>
                <w:highlight w:val="none"/>
                <w:lang w:eastAsia="zh-CN" w:bidi="ar"/>
              </w:rPr>
              <w:t>2</w:t>
            </w:r>
            <w:r>
              <w:rPr>
                <w:rFonts w:hint="eastAsia" w:ascii="宋体" w:hAnsi="宋体" w:eastAsia="宋体" w:cs="宋体"/>
                <w:kern w:val="0"/>
                <w:sz w:val="21"/>
                <w:szCs w:val="21"/>
                <w:highlight w:val="none"/>
                <w:lang w:val="en-US" w:eastAsia="zh-CN" w:bidi="ar"/>
              </w:rPr>
              <w:t xml:space="preserve">分， </w:t>
            </w:r>
          </w:p>
          <w:p>
            <w:pPr>
              <w:pStyle w:val="9"/>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3.</w:t>
            </w:r>
            <w:r>
              <w:rPr>
                <w:rFonts w:hint="default" w:ascii="宋体" w:hAnsi="宋体" w:cs="宋体"/>
                <w:highlight w:val="none"/>
              </w:rPr>
              <w:t>数据和报告</w:t>
            </w:r>
            <w:r>
              <w:rPr>
                <w:rFonts w:hint="default" w:ascii="宋体" w:hAnsi="宋体" w:eastAsia="宋体" w:cs="宋体"/>
                <w:highlight w:val="none"/>
              </w:rPr>
              <w:t>质量</w:t>
            </w:r>
            <w:r>
              <w:rPr>
                <w:rFonts w:hint="default" w:ascii="宋体" w:hAnsi="宋体" w:eastAsia="宋体" w:cs="宋体"/>
                <w:kern w:val="0"/>
                <w:sz w:val="21"/>
                <w:szCs w:val="21"/>
                <w:highlight w:val="none"/>
                <w:lang w:eastAsia="zh-CN" w:bidi="ar"/>
              </w:rPr>
              <w:t>把控方案</w:t>
            </w:r>
            <w:r>
              <w:rPr>
                <w:rFonts w:hint="eastAsia" w:ascii="宋体" w:hAnsi="宋体" w:eastAsia="宋体" w:cs="宋体"/>
                <w:kern w:val="0"/>
                <w:sz w:val="21"/>
                <w:szCs w:val="21"/>
                <w:highlight w:val="none"/>
                <w:lang w:val="en-US" w:eastAsia="zh-CN" w:bidi="ar"/>
              </w:rPr>
              <w:t>基本准确、基本符合项目要求，具体实施措施基本科学有效评审为中的得</w:t>
            </w:r>
            <w:r>
              <w:rPr>
                <w:rFonts w:hint="default" w:ascii="宋体" w:hAnsi="宋体" w:eastAsia="宋体" w:cs="宋体"/>
                <w:kern w:val="0"/>
                <w:sz w:val="21"/>
                <w:szCs w:val="21"/>
                <w:highlight w:val="none"/>
                <w:lang w:eastAsia="zh-CN" w:bidi="ar"/>
              </w:rPr>
              <w:t>1</w:t>
            </w:r>
            <w:r>
              <w:rPr>
                <w:rFonts w:hint="eastAsia" w:ascii="宋体" w:hAnsi="宋体" w:eastAsia="宋体" w:cs="宋体"/>
                <w:kern w:val="0"/>
                <w:sz w:val="21"/>
                <w:szCs w:val="21"/>
                <w:highlight w:val="none"/>
                <w:lang w:val="en-US" w:eastAsia="zh-CN" w:bidi="ar"/>
              </w:rPr>
              <w:t xml:space="preserve">分； </w:t>
            </w:r>
          </w:p>
          <w:p>
            <w:pPr>
              <w:jc w:val="left"/>
              <w:rPr>
                <w:rFonts w:ascii="宋体" w:hAnsi="宋体"/>
                <w:color w:val="000000" w:themeColor="text1"/>
                <w:kern w:val="0"/>
                <w:szCs w:val="21"/>
                <w:highlight w:val="none"/>
                <w14:textFill>
                  <w14:solidFill>
                    <w14:schemeClr w14:val="tx1"/>
                  </w14:solidFill>
                </w14:textFill>
              </w:rPr>
            </w:pPr>
            <w:r>
              <w:rPr>
                <w:rFonts w:hint="eastAsia" w:ascii="宋体" w:hAnsi="宋体" w:eastAsia="宋体" w:cs="宋体"/>
                <w:kern w:val="0"/>
                <w:sz w:val="21"/>
                <w:szCs w:val="21"/>
                <w:highlight w:val="none"/>
                <w:lang w:val="en-US" w:eastAsia="zh-CN" w:bidi="ar"/>
              </w:rPr>
              <w:t>4.</w:t>
            </w:r>
            <w:r>
              <w:rPr>
                <w:rFonts w:hint="default" w:ascii="宋体" w:hAnsi="宋体" w:cs="宋体"/>
                <w:highlight w:val="none"/>
              </w:rPr>
              <w:t>数据和报告</w:t>
            </w:r>
            <w:r>
              <w:rPr>
                <w:rFonts w:hint="default" w:ascii="宋体" w:hAnsi="宋体" w:eastAsia="宋体" w:cs="宋体"/>
                <w:highlight w:val="none"/>
              </w:rPr>
              <w:t>质量</w:t>
            </w:r>
            <w:r>
              <w:rPr>
                <w:rFonts w:hint="default" w:ascii="宋体" w:hAnsi="宋体" w:eastAsia="宋体" w:cs="宋体"/>
                <w:kern w:val="0"/>
                <w:sz w:val="21"/>
                <w:szCs w:val="21"/>
                <w:highlight w:val="none"/>
                <w:lang w:eastAsia="zh-CN" w:bidi="ar"/>
              </w:rPr>
              <w:t>把控方案</w:t>
            </w:r>
            <w:r>
              <w:rPr>
                <w:rFonts w:hint="eastAsia" w:ascii="宋体" w:hAnsi="宋体" w:eastAsia="宋体" w:cs="宋体"/>
                <w:kern w:val="0"/>
                <w:sz w:val="21"/>
                <w:szCs w:val="21"/>
                <w:highlight w:val="none"/>
                <w:lang w:val="en-US" w:eastAsia="zh-CN" w:bidi="ar"/>
              </w:rPr>
              <w:t>不准确、不符合项目要求，具体实施措施不科学有效评审为差的得 0 分。</w:t>
            </w:r>
            <w:r>
              <w:rPr>
                <w:rFonts w:hint="eastAsia" w:ascii="宋体" w:hAnsi="宋体" w:cs="宋体"/>
                <w:szCs w:val="21"/>
                <w:highlight w:val="none"/>
              </w:rPr>
              <w:t>如果评审为差，要求专家书面说明理由，并记录在档。</w:t>
            </w:r>
          </w:p>
        </w:tc>
        <w:tc>
          <w:tcPr>
            <w:tcW w:w="1134" w:type="dxa"/>
            <w:vAlign w:val="center"/>
          </w:tcPr>
          <w:p>
            <w:pPr>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8" w:hRule="atLeast"/>
          <w:jc w:val="center"/>
        </w:trPr>
        <w:tc>
          <w:tcPr>
            <w:tcW w:w="8349" w:type="dxa"/>
            <w:gridSpan w:val="4"/>
            <w:vAlign w:val="center"/>
          </w:tcPr>
          <w:p>
            <w:pPr>
              <w:autoSpaceDE w:val="0"/>
              <w:autoSpaceDN w:val="0"/>
              <w:adjustRightInd w:val="0"/>
              <w:jc w:val="center"/>
              <w:rPr>
                <w:rFonts w:ascii="宋体" w:hAnsi="宋体"/>
                <w:color w:val="000000" w:themeColor="text1"/>
                <w:szCs w:val="21"/>
                <w:highlight w:val="none"/>
                <w:lang w:val="zh-CN"/>
                <w14:textFill>
                  <w14:solidFill>
                    <w14:schemeClr w14:val="tx1"/>
                  </w14:solidFill>
                </w14:textFill>
              </w:rPr>
            </w:pPr>
            <w:r>
              <w:rPr>
                <w:rFonts w:hint="eastAsia" w:ascii="宋体" w:hAnsi="宋体"/>
                <w:b/>
                <w:bCs/>
                <w:color w:val="000000" w:themeColor="text1"/>
                <w:kern w:val="0"/>
                <w:szCs w:val="21"/>
                <w:highlight w:val="none"/>
                <w:lang w:val="zh-CN"/>
                <w14:textFill>
                  <w14:solidFill>
                    <w14:schemeClr w14:val="tx1"/>
                  </w14:solidFill>
                </w14:textFill>
              </w:rPr>
              <w:t>三、技术部分</w:t>
            </w:r>
          </w:p>
        </w:tc>
        <w:tc>
          <w:tcPr>
            <w:tcW w:w="1134" w:type="dxa"/>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1" w:hRule="atLeast"/>
          <w:jc w:val="center"/>
        </w:trPr>
        <w:tc>
          <w:tcPr>
            <w:tcW w:w="562" w:type="dxa"/>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序号</w:t>
            </w:r>
          </w:p>
        </w:tc>
        <w:tc>
          <w:tcPr>
            <w:tcW w:w="1686" w:type="dxa"/>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内容</w:t>
            </w:r>
          </w:p>
        </w:tc>
        <w:tc>
          <w:tcPr>
            <w:tcW w:w="800" w:type="dxa"/>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权重</w:t>
            </w:r>
          </w:p>
        </w:tc>
        <w:tc>
          <w:tcPr>
            <w:tcW w:w="5301" w:type="dxa"/>
            <w:vAlign w:val="center"/>
          </w:tcPr>
          <w:p>
            <w:pPr>
              <w:autoSpaceDE w:val="0"/>
              <w:autoSpaceDN w:val="0"/>
              <w:adjustRightInd w:val="0"/>
              <w:jc w:val="center"/>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评分规则</w:t>
            </w:r>
          </w:p>
        </w:tc>
        <w:tc>
          <w:tcPr>
            <w:tcW w:w="1134" w:type="dxa"/>
            <w:vAlign w:val="center"/>
          </w:tcPr>
          <w:p>
            <w:pPr>
              <w:autoSpaceDE w:val="0"/>
              <w:autoSpaceDN w:val="0"/>
              <w:adjustRightInd w:val="0"/>
              <w:jc w:val="center"/>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05" w:hRule="atLeast"/>
          <w:jc w:val="center"/>
        </w:trPr>
        <w:tc>
          <w:tcPr>
            <w:tcW w:w="562" w:type="dxa"/>
            <w:tcBorders>
              <w:top w:val="single" w:color="auto" w:sz="4" w:space="0"/>
              <w:bottom w:val="single" w:color="auto" w:sz="4" w:space="0"/>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686" w:type="dxa"/>
            <w:tcBorders>
              <w:top w:val="single" w:color="auto" w:sz="4" w:space="0"/>
              <w:bottom w:val="single" w:color="auto" w:sz="4" w:space="0"/>
            </w:tcBorders>
            <w:vAlign w:val="center"/>
          </w:tcPr>
          <w:p>
            <w:pPr>
              <w:jc w:val="center"/>
              <w:rPr>
                <w:rFonts w:ascii="宋体" w:hAnsi="宋体"/>
                <w:b w:val="0"/>
                <w:bCs/>
                <w:color w:val="000000" w:themeColor="text1"/>
                <w:szCs w:val="21"/>
                <w:highlight w:val="none"/>
                <w:lang w:val="zh-CN"/>
                <w14:textFill>
                  <w14:solidFill>
                    <w14:schemeClr w14:val="tx1"/>
                  </w14:solidFill>
                </w14:textFill>
              </w:rPr>
            </w:pPr>
            <w:r>
              <w:rPr>
                <w:rFonts w:hint="eastAsia" w:ascii="宋体" w:hAnsi="宋体"/>
                <w:szCs w:val="21"/>
                <w:highlight w:val="none"/>
              </w:rPr>
              <w:t>投标人同类项目业绩情况</w:t>
            </w:r>
          </w:p>
        </w:tc>
        <w:tc>
          <w:tcPr>
            <w:tcW w:w="800" w:type="dxa"/>
            <w:tcBorders>
              <w:top w:val="single" w:color="auto" w:sz="4" w:space="0"/>
              <w:bottom w:val="single" w:color="auto" w:sz="4" w:space="0"/>
            </w:tcBorders>
            <w:vAlign w:val="top"/>
          </w:tcPr>
          <w:p>
            <w:pPr>
              <w:jc w:val="center"/>
              <w:rPr>
                <w:rFonts w:hint="default" w:ascii="宋体" w:hAnsi="宋体"/>
                <w:szCs w:val="21"/>
                <w:highlight w:val="none"/>
              </w:rPr>
            </w:pPr>
          </w:p>
          <w:p>
            <w:pPr>
              <w:jc w:val="center"/>
              <w:rPr>
                <w:rFonts w:hint="default" w:ascii="宋体" w:hAnsi="宋体"/>
                <w:szCs w:val="21"/>
                <w:highlight w:val="none"/>
              </w:rPr>
            </w:pPr>
          </w:p>
          <w:p>
            <w:pPr>
              <w:jc w:val="center"/>
              <w:rPr>
                <w:rFonts w:hint="default" w:ascii="宋体" w:hAnsi="宋体"/>
                <w:szCs w:val="21"/>
                <w:highlight w:val="none"/>
              </w:rPr>
            </w:pPr>
          </w:p>
          <w:p>
            <w:pPr>
              <w:jc w:val="center"/>
              <w:rPr>
                <w:rFonts w:hint="default" w:ascii="宋体" w:hAnsi="宋体"/>
                <w:szCs w:val="21"/>
                <w:highlight w:val="none"/>
              </w:rPr>
            </w:pPr>
          </w:p>
          <w:p>
            <w:pPr>
              <w:jc w:val="center"/>
              <w:rPr>
                <w:rFonts w:hint="default" w:ascii="宋体" w:hAnsi="宋体"/>
                <w:szCs w:val="21"/>
                <w:highlight w:val="none"/>
              </w:rPr>
            </w:pPr>
          </w:p>
          <w:p>
            <w:pPr>
              <w:jc w:val="center"/>
              <w:rPr>
                <w:rFonts w:hint="default" w:ascii="宋体" w:hAnsi="宋体"/>
                <w:szCs w:val="21"/>
                <w:highlight w:val="none"/>
              </w:rPr>
            </w:pPr>
          </w:p>
          <w:p>
            <w:pPr>
              <w:jc w:val="center"/>
              <w:rPr>
                <w:rFonts w:hint="default" w:ascii="宋体" w:hAnsi="宋体"/>
                <w:szCs w:val="21"/>
                <w:highlight w:val="none"/>
              </w:rPr>
            </w:pPr>
          </w:p>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default" w:ascii="宋体" w:hAnsi="宋体"/>
                <w:szCs w:val="21"/>
                <w:highlight w:val="none"/>
              </w:rPr>
              <w:t>15</w:t>
            </w:r>
          </w:p>
        </w:tc>
        <w:tc>
          <w:tcPr>
            <w:tcW w:w="5301" w:type="dxa"/>
            <w:tcBorders>
              <w:top w:val="single" w:color="auto" w:sz="4" w:space="0"/>
              <w:bottom w:val="single" w:color="auto" w:sz="4" w:space="0"/>
            </w:tcBorders>
            <w:vAlign w:val="top"/>
          </w:tcPr>
          <w:p>
            <w:pPr>
              <w:spacing w:line="240" w:lineRule="exact"/>
              <w:jc w:val="left"/>
              <w:rPr>
                <w:rFonts w:hint="eastAsia" w:ascii="宋体" w:hAnsi="宋体"/>
                <w:b/>
                <w:bCs/>
                <w:szCs w:val="21"/>
                <w:highlight w:val="none"/>
              </w:rPr>
            </w:pPr>
            <w:r>
              <w:rPr>
                <w:rFonts w:hint="eastAsia" w:ascii="宋体" w:hAnsi="宋体"/>
                <w:b/>
                <w:bCs/>
                <w:szCs w:val="21"/>
                <w:highlight w:val="none"/>
              </w:rPr>
              <w:t>评审内容：</w:t>
            </w:r>
          </w:p>
          <w:p>
            <w:pPr>
              <w:spacing w:line="240" w:lineRule="exact"/>
              <w:jc w:val="left"/>
              <w:rPr>
                <w:rFonts w:hint="eastAsia" w:ascii="宋体" w:hAnsi="宋体"/>
                <w:szCs w:val="21"/>
                <w:highlight w:val="none"/>
              </w:rPr>
            </w:pPr>
            <w:r>
              <w:rPr>
                <w:rFonts w:hint="eastAsia" w:ascii="宋体" w:hAnsi="宋体"/>
                <w:szCs w:val="21"/>
                <w:highlight w:val="none"/>
              </w:rPr>
              <w:t>投标人近五年（201</w:t>
            </w:r>
            <w:r>
              <w:rPr>
                <w:rFonts w:hint="eastAsia" w:ascii="宋体" w:hAnsi="宋体"/>
                <w:szCs w:val="21"/>
                <w:highlight w:val="none"/>
                <w:lang w:val="en-US" w:eastAsia="zh-CN"/>
              </w:rPr>
              <w:t>7</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月-投标截止日，以合同签订时间为准）协助</w:t>
            </w:r>
            <w:r>
              <w:rPr>
                <w:rFonts w:hint="default" w:ascii="宋体" w:hAnsi="宋体"/>
                <w:szCs w:val="21"/>
                <w:highlight w:val="none"/>
              </w:rPr>
              <w:t>市或区</w:t>
            </w:r>
            <w:r>
              <w:rPr>
                <w:rFonts w:hint="eastAsia" w:ascii="宋体" w:hAnsi="宋体"/>
                <w:szCs w:val="21"/>
                <w:highlight w:val="none"/>
              </w:rPr>
              <w:t>政府部门开展</w:t>
            </w:r>
            <w:r>
              <w:rPr>
                <w:rFonts w:hint="default" w:ascii="宋体" w:hAnsi="宋体"/>
                <w:szCs w:val="21"/>
                <w:highlight w:val="none"/>
              </w:rPr>
              <w:t>租金项目评估</w:t>
            </w:r>
            <w:r>
              <w:rPr>
                <w:rFonts w:hint="eastAsia" w:ascii="宋体" w:hAnsi="宋体"/>
                <w:szCs w:val="21"/>
                <w:highlight w:val="none"/>
              </w:rPr>
              <w:t>实施经验的，每提供一个有效业绩得5分，本项最高得分15分。</w:t>
            </w:r>
          </w:p>
          <w:p>
            <w:pPr>
              <w:spacing w:line="240" w:lineRule="exact"/>
              <w:jc w:val="left"/>
              <w:rPr>
                <w:rFonts w:hint="eastAsia" w:ascii="宋体" w:hAnsi="宋体"/>
                <w:szCs w:val="21"/>
                <w:highlight w:val="none"/>
              </w:rPr>
            </w:pPr>
            <w:r>
              <w:rPr>
                <w:rFonts w:hint="eastAsia" w:ascii="宋体" w:hAnsi="宋体"/>
                <w:b/>
                <w:bCs/>
                <w:szCs w:val="21"/>
                <w:highlight w:val="none"/>
              </w:rPr>
              <w:t>须提供</w:t>
            </w:r>
            <w:r>
              <w:rPr>
                <w:rFonts w:hint="eastAsia" w:ascii="宋体" w:hAnsi="宋体"/>
                <w:szCs w:val="21"/>
                <w:highlight w:val="none"/>
              </w:rPr>
              <w:t>：</w:t>
            </w:r>
          </w:p>
          <w:p>
            <w:pPr>
              <w:spacing w:line="240" w:lineRule="exact"/>
              <w:jc w:val="left"/>
              <w:rPr>
                <w:rFonts w:hint="eastAsia" w:ascii="宋体" w:hAnsi="宋体"/>
                <w:szCs w:val="21"/>
                <w:highlight w:val="none"/>
              </w:rPr>
            </w:pPr>
            <w:r>
              <w:rPr>
                <w:rFonts w:hint="eastAsia" w:ascii="宋体" w:hAnsi="宋体"/>
                <w:szCs w:val="21"/>
                <w:highlight w:val="none"/>
              </w:rPr>
              <w:t>1.最近五年承担的类似项目业绩一览表（包含合作单位、合作时间、项目名称、项目简介等信息）；</w:t>
            </w:r>
          </w:p>
          <w:p>
            <w:pPr>
              <w:spacing w:line="240" w:lineRule="exact"/>
              <w:jc w:val="left"/>
              <w:rPr>
                <w:rFonts w:hint="eastAsia" w:ascii="宋体" w:hAnsi="宋体"/>
                <w:szCs w:val="21"/>
                <w:highlight w:val="none"/>
              </w:rPr>
            </w:pPr>
            <w:r>
              <w:rPr>
                <w:rFonts w:hint="eastAsia" w:ascii="宋体" w:hAnsi="宋体"/>
                <w:szCs w:val="21"/>
                <w:highlight w:val="none"/>
              </w:rPr>
              <w:t>2.服务项目的合同关键页（包括但不限于合同封面、合作内容、合作时间、双方盖章页等）作为得分依据。</w:t>
            </w:r>
          </w:p>
          <w:p>
            <w:pPr>
              <w:spacing w:line="240" w:lineRule="exact"/>
              <w:jc w:val="left"/>
              <w:rPr>
                <w:rFonts w:hint="eastAsia" w:ascii="宋体" w:hAnsi="宋体"/>
                <w:szCs w:val="21"/>
                <w:highlight w:val="none"/>
              </w:rPr>
            </w:pPr>
            <w:r>
              <w:rPr>
                <w:rFonts w:hint="eastAsia" w:ascii="宋体" w:hAnsi="宋体"/>
                <w:szCs w:val="21"/>
                <w:highlight w:val="none"/>
              </w:rPr>
              <w:t>3.同一项目不重复得分。通过合同关键信息无法判断是否得分的，须提供能证明得分的其它证明资料，如项目报告或合同甲方出具的证明文件等。未按要求提供或提供不清晰导致专家无法判断的不得分。</w:t>
            </w:r>
          </w:p>
          <w:p>
            <w:pPr>
              <w:spacing w:line="240" w:lineRule="exact"/>
              <w:jc w:val="left"/>
              <w:rPr>
                <w:color w:val="000000" w:themeColor="text1"/>
                <w:highlight w:val="none"/>
                <w:lang w:bidi="ar"/>
                <w14:textFill>
                  <w14:solidFill>
                    <w14:schemeClr w14:val="tx1"/>
                  </w14:solidFill>
                </w14:textFill>
              </w:rPr>
            </w:pPr>
            <w:r>
              <w:rPr>
                <w:rFonts w:hint="eastAsia" w:ascii="宋体" w:hAnsi="宋体"/>
                <w:szCs w:val="21"/>
                <w:highlight w:val="none"/>
              </w:rPr>
              <w:t>4.以上资料均要求提供复印件加盖投标人公章，原件备查。</w:t>
            </w:r>
          </w:p>
        </w:tc>
        <w:tc>
          <w:tcPr>
            <w:tcW w:w="1134" w:type="dxa"/>
            <w:tcBorders>
              <w:top w:val="single" w:color="auto" w:sz="4" w:space="0"/>
              <w:bottom w:val="single" w:color="auto" w:sz="4" w:space="0"/>
            </w:tcBorders>
            <w:vAlign w:val="center"/>
          </w:tcPr>
          <w:p>
            <w:pPr>
              <w:autoSpaceDE w:val="0"/>
              <w:autoSpaceDN w:val="0"/>
              <w:adjustRightInd w:val="0"/>
              <w:jc w:val="center"/>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60" w:hRule="atLeast"/>
          <w:jc w:val="center"/>
        </w:trPr>
        <w:tc>
          <w:tcPr>
            <w:tcW w:w="562" w:type="dxa"/>
            <w:tcBorders>
              <w:top w:val="single" w:color="auto" w:sz="4" w:space="0"/>
            </w:tcBorders>
            <w:vAlign w:val="center"/>
          </w:tcPr>
          <w:p>
            <w:pPr>
              <w:autoSpaceDE w:val="0"/>
              <w:autoSpaceDN w:val="0"/>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686" w:type="dxa"/>
            <w:tcBorders>
              <w:top w:val="single" w:color="auto" w:sz="4" w:space="0"/>
            </w:tcBorders>
            <w:vAlign w:val="center"/>
          </w:tcPr>
          <w:p>
            <w:pPr>
              <w:jc w:val="center"/>
              <w:rPr>
                <w:rFonts w:ascii="宋体" w:hAnsi="宋体"/>
                <w:b w:val="0"/>
                <w:bCs/>
                <w:color w:val="000000" w:themeColor="text1"/>
                <w:szCs w:val="21"/>
                <w:highlight w:val="none"/>
                <w:lang w:val="zh-CN"/>
                <w14:textFill>
                  <w14:solidFill>
                    <w14:schemeClr w14:val="tx1"/>
                  </w14:solidFill>
                </w14:textFill>
              </w:rPr>
            </w:pPr>
            <w:r>
              <w:rPr>
                <w:rFonts w:hint="eastAsia" w:ascii="宋体" w:hAnsi="宋体"/>
                <w:szCs w:val="21"/>
                <w:highlight w:val="none"/>
              </w:rPr>
              <w:t>拟安排的项目负责人情况（仅限一人）</w:t>
            </w:r>
          </w:p>
        </w:tc>
        <w:tc>
          <w:tcPr>
            <w:tcW w:w="800" w:type="dxa"/>
            <w:tcBorders>
              <w:top w:val="single" w:color="auto" w:sz="4" w:space="0"/>
            </w:tcBorders>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default" w:ascii="宋体" w:hAnsi="宋体"/>
                <w:szCs w:val="21"/>
                <w:highlight w:val="none"/>
              </w:rPr>
              <w:t>10</w:t>
            </w:r>
          </w:p>
        </w:tc>
        <w:tc>
          <w:tcPr>
            <w:tcW w:w="5301" w:type="dxa"/>
            <w:tcBorders>
              <w:top w:val="single" w:color="auto" w:sz="4" w:space="0"/>
            </w:tcBorders>
            <w:vAlign w:val="top"/>
          </w:tcPr>
          <w:p>
            <w:pPr>
              <w:spacing w:line="240" w:lineRule="exact"/>
              <w:jc w:val="left"/>
              <w:rPr>
                <w:rFonts w:hint="eastAsia" w:ascii="宋体" w:hAnsi="宋体"/>
                <w:b/>
                <w:bCs/>
                <w:szCs w:val="21"/>
                <w:highlight w:val="none"/>
              </w:rPr>
            </w:pPr>
            <w:r>
              <w:rPr>
                <w:rFonts w:hint="eastAsia" w:ascii="宋体" w:hAnsi="宋体"/>
                <w:b/>
                <w:bCs/>
                <w:szCs w:val="21"/>
                <w:highlight w:val="none"/>
              </w:rPr>
              <w:t>评审内容：</w:t>
            </w:r>
          </w:p>
          <w:p>
            <w:pPr>
              <w:spacing w:line="240" w:lineRule="exact"/>
              <w:jc w:val="left"/>
              <w:rPr>
                <w:rFonts w:hint="eastAsia" w:ascii="宋体" w:hAnsi="宋体"/>
                <w:szCs w:val="21"/>
                <w:highlight w:val="none"/>
              </w:rPr>
            </w:pPr>
            <w:r>
              <w:rPr>
                <w:rFonts w:hint="eastAsia" w:ascii="宋体" w:hAnsi="宋体"/>
                <w:szCs w:val="21"/>
                <w:highlight w:val="none"/>
              </w:rPr>
              <w:t>1.项目负责人具有</w:t>
            </w:r>
            <w:r>
              <w:rPr>
                <w:rFonts w:hint="default" w:ascii="宋体" w:hAnsi="宋体"/>
                <w:szCs w:val="21"/>
                <w:highlight w:val="none"/>
              </w:rPr>
              <w:t>房地产估价师</w:t>
            </w:r>
            <w:r>
              <w:rPr>
                <w:rFonts w:hint="eastAsia" w:ascii="宋体" w:hAnsi="宋体"/>
                <w:szCs w:val="21"/>
                <w:highlight w:val="none"/>
              </w:rPr>
              <w:t>资格证书的得5分；</w:t>
            </w:r>
          </w:p>
          <w:p>
            <w:pPr>
              <w:spacing w:line="240" w:lineRule="exact"/>
              <w:jc w:val="left"/>
              <w:rPr>
                <w:rFonts w:hint="eastAsia" w:ascii="宋体" w:hAnsi="宋体"/>
                <w:szCs w:val="21"/>
                <w:highlight w:val="none"/>
              </w:rPr>
            </w:pPr>
            <w:r>
              <w:rPr>
                <w:rFonts w:hint="eastAsia" w:ascii="宋体" w:hAnsi="宋体"/>
                <w:szCs w:val="21"/>
                <w:highlight w:val="none"/>
              </w:rPr>
              <w:t>2.项目负责人具有硕士研究生或以上学历的得5分；</w:t>
            </w:r>
          </w:p>
          <w:p>
            <w:pPr>
              <w:spacing w:line="240" w:lineRule="exact"/>
              <w:jc w:val="left"/>
              <w:rPr>
                <w:rFonts w:hint="eastAsia" w:ascii="宋体" w:hAnsi="宋体"/>
                <w:b/>
                <w:bCs/>
                <w:szCs w:val="21"/>
                <w:highlight w:val="none"/>
              </w:rPr>
            </w:pPr>
            <w:r>
              <w:rPr>
                <w:rFonts w:hint="eastAsia" w:ascii="宋体" w:hAnsi="宋体"/>
                <w:b/>
                <w:bCs/>
                <w:szCs w:val="21"/>
                <w:highlight w:val="none"/>
              </w:rPr>
              <w:t>须提供：</w:t>
            </w:r>
          </w:p>
          <w:p>
            <w:pPr>
              <w:spacing w:line="240" w:lineRule="exact"/>
              <w:jc w:val="left"/>
              <w:rPr>
                <w:rFonts w:hint="eastAsia" w:ascii="宋体" w:hAnsi="宋体"/>
                <w:szCs w:val="21"/>
                <w:highlight w:val="none"/>
              </w:rPr>
            </w:pPr>
            <w:r>
              <w:rPr>
                <w:rFonts w:hint="eastAsia" w:ascii="宋体" w:hAnsi="宋体"/>
                <w:szCs w:val="21"/>
                <w:highlight w:val="none"/>
              </w:rPr>
              <w:t>1.提供项目负责人职称证书、学历证书（毕业证书或学位证书</w:t>
            </w:r>
            <w:r>
              <w:rPr>
                <w:rFonts w:hint="eastAsia" w:ascii="宋体" w:hAnsi="宋体"/>
                <w:szCs w:val="21"/>
                <w:highlight w:val="none"/>
                <w:lang w:eastAsia="zh-CN"/>
              </w:rPr>
              <w:t>，</w:t>
            </w:r>
            <w:r>
              <w:rPr>
                <w:rFonts w:hint="eastAsia" w:ascii="宋体" w:hAnsi="宋体"/>
                <w:szCs w:val="21"/>
                <w:highlight w:val="none"/>
                <w:lang w:val="en-US" w:eastAsia="zh-CN"/>
              </w:rPr>
              <w:t>同时提供</w:t>
            </w:r>
            <w:r>
              <w:rPr>
                <w:rFonts w:hint="eastAsia" w:ascii="宋体" w:hAnsi="宋体"/>
                <w:szCs w:val="21"/>
                <w:highlight w:val="none"/>
              </w:rPr>
              <w:t>学信网查询记录，学信网无法查询的，提供毕业院校或者人社部门等颁发机构或者监管机构等单位出具的证明）复印件。</w:t>
            </w:r>
          </w:p>
          <w:p>
            <w:pPr>
              <w:spacing w:line="240" w:lineRule="exact"/>
              <w:jc w:val="left"/>
              <w:rPr>
                <w:rFonts w:hint="eastAsia" w:ascii="宋体" w:hAnsi="宋体"/>
                <w:szCs w:val="21"/>
                <w:highlight w:val="none"/>
              </w:rPr>
            </w:pPr>
            <w:r>
              <w:rPr>
                <w:rFonts w:hint="eastAsia" w:ascii="宋体" w:hAnsi="宋体"/>
                <w:szCs w:val="21"/>
                <w:highlight w:val="none"/>
              </w:rPr>
              <w:t>2.要求提供项目负责人投标截止日前6个月的（2021年</w:t>
            </w:r>
            <w:r>
              <w:rPr>
                <w:rFonts w:hint="eastAsia" w:ascii="宋体" w:hAnsi="宋体"/>
                <w:szCs w:val="21"/>
                <w:highlight w:val="none"/>
                <w:lang w:val="en-US" w:eastAsia="zh-CN"/>
              </w:rPr>
              <w:t>8</w:t>
            </w:r>
            <w:r>
              <w:rPr>
                <w:rFonts w:hint="eastAsia" w:ascii="宋体" w:hAnsi="宋体"/>
                <w:szCs w:val="21"/>
                <w:highlight w:val="none"/>
              </w:rPr>
              <w:t>月-202</w:t>
            </w:r>
            <w:r>
              <w:rPr>
                <w:rFonts w:hint="eastAsia" w:ascii="宋体" w:hAnsi="宋体"/>
                <w:szCs w:val="21"/>
                <w:highlight w:val="none"/>
                <w:lang w:val="en-US" w:eastAsia="zh-CN"/>
              </w:rPr>
              <w:t>2</w:t>
            </w:r>
            <w:r>
              <w:rPr>
                <w:rFonts w:hint="eastAsia" w:ascii="宋体" w:hAnsi="宋体"/>
                <w:szCs w:val="21"/>
                <w:highlight w:val="none"/>
              </w:rPr>
              <w:t>年1月，如开标日上一个月的社保材料因社保部门原因暂时无法取得，则可以往前顺延一个月）社保缴纳记录（加盖社保部门公章）。</w:t>
            </w:r>
          </w:p>
          <w:p>
            <w:pPr>
              <w:spacing w:line="240" w:lineRule="exact"/>
              <w:jc w:val="left"/>
              <w:rPr>
                <w:color w:val="000000" w:themeColor="text1"/>
                <w:kern w:val="2"/>
                <w:sz w:val="21"/>
                <w:szCs w:val="21"/>
                <w:highlight w:val="none"/>
                <w14:textFill>
                  <w14:solidFill>
                    <w14:schemeClr w14:val="tx1"/>
                  </w14:solidFill>
                </w14:textFill>
              </w:rPr>
            </w:pPr>
            <w:r>
              <w:rPr>
                <w:rFonts w:hint="eastAsia" w:ascii="宋体" w:hAnsi="宋体"/>
                <w:szCs w:val="21"/>
                <w:highlight w:val="none"/>
              </w:rPr>
              <w:t>3.以上资料均要求提供复印件</w:t>
            </w:r>
            <w:r>
              <w:rPr>
                <w:rFonts w:hint="eastAsia" w:ascii="宋体" w:hAnsi="宋体"/>
                <w:szCs w:val="21"/>
                <w:highlight w:val="none"/>
                <w:lang w:val="en-US" w:eastAsia="zh-CN"/>
              </w:rPr>
              <w:t>加盖投标人公章</w:t>
            </w:r>
            <w:r>
              <w:rPr>
                <w:rFonts w:hint="eastAsia" w:ascii="宋体" w:hAnsi="宋体"/>
                <w:szCs w:val="21"/>
                <w:highlight w:val="none"/>
              </w:rPr>
              <w:t>，原件备查。未按要求提供或提供不清晰导致专家无法判断的不得分。</w:t>
            </w:r>
          </w:p>
        </w:tc>
        <w:tc>
          <w:tcPr>
            <w:tcW w:w="1134" w:type="dxa"/>
            <w:tcBorders>
              <w:top w:val="single" w:color="auto" w:sz="4" w:space="0"/>
            </w:tcBorders>
            <w:vAlign w:val="center"/>
          </w:tcPr>
          <w:p>
            <w:pPr>
              <w:autoSpaceDE w:val="0"/>
              <w:autoSpaceDN w:val="0"/>
              <w:adjustRightInd w:val="0"/>
              <w:jc w:val="center"/>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2" w:hRule="atLeast"/>
          <w:jc w:val="center"/>
        </w:trPr>
        <w:tc>
          <w:tcPr>
            <w:tcW w:w="562" w:type="dxa"/>
            <w:vAlign w:val="center"/>
          </w:tcPr>
          <w:p>
            <w:pPr>
              <w:autoSpaceDE w:val="0"/>
              <w:autoSpaceDN w:val="0"/>
              <w:adjustRightInd w:val="0"/>
              <w:jc w:val="center"/>
              <w:rPr>
                <w:rFonts w:ascii="宋体" w:hAnsi="宋体"/>
                <w:color w:val="000000" w:themeColor="text1"/>
                <w:kern w:val="0"/>
                <w:szCs w:val="21"/>
                <w:highlight w:val="none"/>
                <w:lang w:val="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p>
        </w:tc>
        <w:tc>
          <w:tcPr>
            <w:tcW w:w="1686" w:type="dxa"/>
            <w:vAlign w:val="center"/>
          </w:tcPr>
          <w:p>
            <w:pPr>
              <w:jc w:val="center"/>
              <w:rPr>
                <w:rFonts w:hint="eastAsia" w:ascii="宋体" w:hAnsi="宋体"/>
                <w:szCs w:val="21"/>
                <w:highlight w:val="none"/>
              </w:rPr>
            </w:pPr>
          </w:p>
          <w:p>
            <w:pPr>
              <w:jc w:val="center"/>
              <w:rPr>
                <w:rFonts w:hint="eastAsia" w:ascii="宋体" w:hAnsi="宋体"/>
                <w:szCs w:val="21"/>
                <w:highlight w:val="none"/>
              </w:rPr>
            </w:pPr>
          </w:p>
          <w:p>
            <w:pPr>
              <w:jc w:val="center"/>
              <w:rPr>
                <w:rFonts w:ascii="宋体" w:hAnsi="宋体"/>
                <w:b w:val="0"/>
                <w:bCs/>
                <w:color w:val="000000" w:themeColor="text1"/>
                <w:kern w:val="0"/>
                <w:szCs w:val="21"/>
                <w:highlight w:val="none"/>
                <w:lang w:val="zh-CN"/>
                <w14:textFill>
                  <w14:solidFill>
                    <w14:schemeClr w14:val="tx1"/>
                  </w14:solidFill>
                </w14:textFill>
              </w:rPr>
            </w:pPr>
            <w:r>
              <w:rPr>
                <w:rFonts w:hint="eastAsia" w:ascii="宋体" w:hAnsi="宋体"/>
                <w:szCs w:val="21"/>
                <w:highlight w:val="none"/>
              </w:rPr>
              <w:t>拟安排的项目主要团队成员（主要技术人员）情况（项目负责人除外）</w:t>
            </w:r>
          </w:p>
        </w:tc>
        <w:tc>
          <w:tcPr>
            <w:tcW w:w="800" w:type="dxa"/>
            <w:vAlign w:val="center"/>
          </w:tcPr>
          <w:p>
            <w:pPr>
              <w:jc w:val="center"/>
              <w:rPr>
                <w:rFonts w:hint="eastAsia" w:ascii="宋体" w:hAnsi="宋体"/>
                <w:szCs w:val="21"/>
                <w:highlight w:val="none"/>
              </w:rPr>
            </w:pPr>
          </w:p>
          <w:p>
            <w:pPr>
              <w:jc w:val="center"/>
              <w:rPr>
                <w:rFonts w:hint="eastAsia" w:ascii="宋体" w:hAnsi="宋体"/>
                <w:szCs w:val="21"/>
                <w:highlight w:val="none"/>
              </w:rPr>
            </w:pPr>
          </w:p>
          <w:p>
            <w:pPr>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default" w:ascii="宋体" w:hAnsi="宋体"/>
                <w:szCs w:val="21"/>
                <w:highlight w:val="none"/>
              </w:rPr>
              <w:t>10</w:t>
            </w:r>
          </w:p>
        </w:tc>
        <w:tc>
          <w:tcPr>
            <w:tcW w:w="5301" w:type="dxa"/>
            <w:vAlign w:val="top"/>
          </w:tcPr>
          <w:p>
            <w:pPr>
              <w:jc w:val="left"/>
              <w:rPr>
                <w:rFonts w:hint="eastAsia" w:ascii="宋体" w:hAnsi="宋体" w:cs="宋体"/>
                <w:szCs w:val="21"/>
                <w:highlight w:val="none"/>
              </w:rPr>
            </w:pPr>
            <w:r>
              <w:rPr>
                <w:rFonts w:hint="eastAsia" w:ascii="宋体" w:hAnsi="宋体" w:cs="宋体"/>
                <w:szCs w:val="21"/>
                <w:highlight w:val="none"/>
              </w:rPr>
              <w:t>每有一个</w:t>
            </w:r>
            <w:r>
              <w:rPr>
                <w:rFonts w:hint="default" w:ascii="宋体" w:hAnsi="宋体"/>
                <w:szCs w:val="21"/>
                <w:highlight w:val="none"/>
              </w:rPr>
              <w:t>房地产估价师</w:t>
            </w:r>
            <w:r>
              <w:rPr>
                <w:rFonts w:hint="eastAsia" w:ascii="宋体" w:hAnsi="宋体"/>
                <w:szCs w:val="21"/>
                <w:highlight w:val="none"/>
              </w:rPr>
              <w:t>资格证书</w:t>
            </w:r>
            <w:r>
              <w:rPr>
                <w:rFonts w:hint="eastAsia" w:ascii="宋体" w:hAnsi="宋体" w:cs="宋体"/>
                <w:szCs w:val="21"/>
                <w:highlight w:val="none"/>
              </w:rPr>
              <w:t>的得5分，最高为1</w:t>
            </w:r>
            <w:r>
              <w:rPr>
                <w:rFonts w:hint="default" w:ascii="宋体" w:hAnsi="宋体" w:cs="宋体"/>
                <w:szCs w:val="21"/>
                <w:highlight w:val="none"/>
              </w:rPr>
              <w:t>0</w:t>
            </w:r>
            <w:r>
              <w:rPr>
                <w:rFonts w:hint="eastAsia" w:ascii="宋体" w:hAnsi="宋体" w:cs="宋体"/>
                <w:szCs w:val="21"/>
                <w:highlight w:val="none"/>
              </w:rPr>
              <w:t>分。</w:t>
            </w:r>
          </w:p>
          <w:p>
            <w:pPr>
              <w:jc w:val="left"/>
              <w:rPr>
                <w:rFonts w:hint="eastAsia" w:ascii="宋体" w:hAnsi="宋体" w:eastAsia="宋体" w:cs="宋体"/>
                <w:szCs w:val="21"/>
                <w:highlight w:val="none"/>
                <w:lang w:eastAsia="zh-CN"/>
              </w:rPr>
            </w:pPr>
            <w:r>
              <w:rPr>
                <w:rFonts w:hint="eastAsia" w:ascii="宋体" w:hAnsi="宋体" w:cs="宋体"/>
                <w:szCs w:val="21"/>
                <w:highlight w:val="none"/>
              </w:rPr>
              <w:t>须提供：</w:t>
            </w:r>
          </w:p>
          <w:p>
            <w:pPr>
              <w:jc w:val="left"/>
              <w:rPr>
                <w:rFonts w:hint="eastAsia" w:ascii="宋体" w:hAnsi="宋体" w:cs="宋体"/>
                <w:szCs w:val="21"/>
                <w:highlight w:val="none"/>
              </w:rPr>
            </w:pPr>
            <w:r>
              <w:rPr>
                <w:rFonts w:hint="eastAsia" w:ascii="宋体" w:hAnsi="宋体" w:cs="宋体"/>
                <w:szCs w:val="21"/>
                <w:highlight w:val="none"/>
              </w:rPr>
              <w:t>1.提供</w:t>
            </w:r>
            <w:r>
              <w:rPr>
                <w:rFonts w:hint="default" w:ascii="宋体" w:hAnsi="宋体" w:cs="宋体"/>
                <w:szCs w:val="21"/>
                <w:highlight w:val="none"/>
              </w:rPr>
              <w:t>执业资格</w:t>
            </w:r>
            <w:r>
              <w:rPr>
                <w:rFonts w:hint="eastAsia" w:ascii="宋体" w:hAnsi="宋体" w:cs="宋体"/>
                <w:szCs w:val="21"/>
                <w:highlight w:val="none"/>
              </w:rPr>
              <w:t>证明</w:t>
            </w:r>
            <w:r>
              <w:rPr>
                <w:rFonts w:hint="default" w:ascii="宋体" w:hAnsi="宋体" w:cs="宋体"/>
                <w:szCs w:val="21"/>
                <w:highlight w:val="none"/>
              </w:rPr>
              <w:t>复印件</w:t>
            </w:r>
            <w:r>
              <w:rPr>
                <w:rFonts w:hint="eastAsia" w:ascii="宋体" w:hAnsi="宋体" w:cs="宋体"/>
                <w:szCs w:val="21"/>
                <w:highlight w:val="none"/>
              </w:rPr>
              <w:t>。</w:t>
            </w:r>
          </w:p>
          <w:p>
            <w:pPr>
              <w:jc w:val="left"/>
              <w:rPr>
                <w:rFonts w:hint="eastAsia" w:ascii="宋体" w:hAnsi="宋体" w:cs="宋体"/>
                <w:szCs w:val="21"/>
                <w:highlight w:val="none"/>
              </w:rPr>
            </w:pPr>
            <w:r>
              <w:rPr>
                <w:rFonts w:hint="eastAsia" w:ascii="宋体" w:hAnsi="宋体" w:cs="宋体"/>
                <w:szCs w:val="21"/>
                <w:highlight w:val="none"/>
              </w:rPr>
              <w:t>2.要求提供项目团队成员投标截止日前6个月（2021年</w:t>
            </w:r>
            <w:r>
              <w:rPr>
                <w:rFonts w:hint="eastAsia" w:ascii="宋体" w:hAnsi="宋体" w:cs="宋体"/>
                <w:szCs w:val="21"/>
                <w:highlight w:val="none"/>
                <w:lang w:val="en-US" w:eastAsia="zh-CN"/>
              </w:rPr>
              <w:t>8</w:t>
            </w:r>
            <w:r>
              <w:rPr>
                <w:rFonts w:hint="eastAsia" w:ascii="宋体" w:hAnsi="宋体" w:cs="宋体"/>
                <w:szCs w:val="21"/>
                <w:highlight w:val="none"/>
              </w:rPr>
              <w:t>月-202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月，如开标日上一个月的社保材料因社保部门原因暂时无法取得，则可以往前顺延一个月）的社保缴纳记录（加盖社保部门公章）。</w:t>
            </w:r>
          </w:p>
          <w:p>
            <w:pPr>
              <w:jc w:val="left"/>
              <w:rPr>
                <w:rFonts w:ascii="宋体" w:hAnsi="宋体"/>
                <w:color w:val="000000" w:themeColor="text1"/>
                <w:kern w:val="0"/>
                <w:szCs w:val="21"/>
                <w:highlight w:val="none"/>
                <w:lang w:val="zh-CN"/>
                <w14:textFill>
                  <w14:solidFill>
                    <w14:schemeClr w14:val="tx1"/>
                  </w14:solidFill>
                </w14:textFill>
              </w:rPr>
            </w:pPr>
            <w:r>
              <w:rPr>
                <w:rFonts w:hint="eastAsia" w:ascii="宋体" w:hAnsi="宋体" w:cs="宋体"/>
                <w:szCs w:val="21"/>
                <w:highlight w:val="none"/>
              </w:rPr>
              <w:t>3.以上资料均要求提供复印件</w:t>
            </w:r>
            <w:r>
              <w:rPr>
                <w:rFonts w:hint="eastAsia" w:ascii="宋体" w:hAnsi="宋体"/>
                <w:szCs w:val="21"/>
                <w:highlight w:val="none"/>
                <w:lang w:val="en-US" w:eastAsia="zh-CN"/>
              </w:rPr>
              <w:t>加盖投标人公章</w:t>
            </w:r>
            <w:r>
              <w:rPr>
                <w:rFonts w:hint="eastAsia" w:ascii="宋体" w:hAnsi="宋体" w:cs="宋体"/>
                <w:szCs w:val="21"/>
                <w:highlight w:val="none"/>
              </w:rPr>
              <w:t>，原件备查。未按要求提供或提供不清晰导致专家无法判断的不得分。</w:t>
            </w:r>
          </w:p>
        </w:tc>
        <w:tc>
          <w:tcPr>
            <w:tcW w:w="1134" w:type="dxa"/>
            <w:vAlign w:val="center"/>
          </w:tcPr>
          <w:p>
            <w:pPr>
              <w:autoSpaceDE w:val="0"/>
              <w:autoSpaceDN w:val="0"/>
              <w:adjustRightInd w:val="0"/>
              <w:jc w:val="left"/>
              <w:rPr>
                <w:rFonts w:ascii="宋体" w:hAnsi="宋体"/>
                <w:color w:val="000000" w:themeColor="text1"/>
                <w:kern w:val="0"/>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4" w:hRule="atLeast"/>
          <w:jc w:val="center"/>
        </w:trPr>
        <w:tc>
          <w:tcPr>
            <w:tcW w:w="562" w:type="dxa"/>
            <w:vAlign w:val="center"/>
          </w:tcPr>
          <w:p>
            <w:pPr>
              <w:autoSpaceDE w:val="0"/>
              <w:autoSpaceDN w:val="0"/>
              <w:adjustRightIn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p>
        </w:tc>
        <w:tc>
          <w:tcPr>
            <w:tcW w:w="1686" w:type="dxa"/>
            <w:vAlign w:val="center"/>
          </w:tcPr>
          <w:p>
            <w:pPr>
              <w:wordWrap w:val="0"/>
              <w:jc w:val="center"/>
              <w:rPr>
                <w:rFonts w:ascii="宋体" w:hAnsi="宋体"/>
                <w:b w:val="0"/>
                <w:bCs/>
                <w:color w:val="000000" w:themeColor="text1"/>
                <w:kern w:val="0"/>
                <w:szCs w:val="21"/>
                <w:highlight w:val="none"/>
                <w:lang w:val="zh-CN"/>
                <w14:textFill>
                  <w14:solidFill>
                    <w14:schemeClr w14:val="tx1"/>
                  </w14:solidFill>
                </w14:textFill>
              </w:rPr>
            </w:pPr>
            <w:r>
              <w:rPr>
                <w:szCs w:val="21"/>
                <w:highlight w:val="none"/>
              </w:rPr>
              <w:t>诚信管理情况</w:t>
            </w:r>
          </w:p>
        </w:tc>
        <w:tc>
          <w:tcPr>
            <w:tcW w:w="800" w:type="dxa"/>
            <w:vAlign w:val="center"/>
          </w:tcPr>
          <w:p>
            <w:pPr>
              <w:wordWrap w:val="0"/>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szCs w:val="21"/>
                <w:highlight w:val="none"/>
              </w:rPr>
              <w:t>5</w:t>
            </w:r>
          </w:p>
        </w:tc>
        <w:tc>
          <w:tcPr>
            <w:tcW w:w="5301" w:type="dxa"/>
            <w:vAlign w:val="top"/>
          </w:tcPr>
          <w:p>
            <w:pPr>
              <w:wordWrap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投标人在参与政府采购活动中存在诚信相关问题且在主管部门相关处理措施实施期限内的，本项不得分，否则得满分。</w:t>
            </w:r>
          </w:p>
          <w:p>
            <w:pPr>
              <w:wordWrap w:val="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证明文件：</w:t>
            </w:r>
          </w:p>
          <w:p>
            <w:pPr>
              <w:wordWrap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须提供《投标人诚信承诺函》原件加盖投标人公章，按招标文件格式要求提供，不提供不得分。如被认定提供的陈述与事实不符的，依法追究其责任。</w:t>
            </w:r>
          </w:p>
        </w:tc>
        <w:tc>
          <w:tcPr>
            <w:tcW w:w="1134" w:type="dxa"/>
            <w:vAlign w:val="center"/>
          </w:tcPr>
          <w:p>
            <w:pPr>
              <w:autoSpaceDE w:val="0"/>
              <w:autoSpaceDN w:val="0"/>
              <w:adjustRightInd w:val="0"/>
              <w:jc w:val="left"/>
              <w:rPr>
                <w:rFonts w:ascii="宋体" w:hAnsi="宋体"/>
                <w:color w:val="000000" w:themeColor="text1"/>
                <w:kern w:val="0"/>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评委打分</w:t>
            </w:r>
          </w:p>
        </w:tc>
      </w:tr>
    </w:tbl>
    <w:p>
      <w:pPr>
        <w:ind w:firstLine="420" w:firstLineChars="200"/>
        <w:rPr>
          <w:rFonts w:ascii="宋体" w:hAnsi="宋体" w:cs="宋体"/>
          <w:color w:val="000000"/>
          <w:highlight w:val="none"/>
        </w:rPr>
      </w:pPr>
      <w:r>
        <w:rPr>
          <w:rFonts w:hint="eastAsia" w:ascii="宋体" w:hAnsi="宋体" w:cs="宋体"/>
          <w:color w:val="000000"/>
          <w:highlight w:val="none"/>
        </w:rPr>
        <w:t>注：1. 有取值范围的，含下限值，不含上限值。每一项的得分均不能超过该项最高分值。</w:t>
      </w:r>
    </w:p>
    <w:p>
      <w:pPr>
        <w:ind w:firstLine="821" w:firstLineChars="391"/>
        <w:rPr>
          <w:rFonts w:ascii="宋体" w:hAnsi="宋体" w:cs="宋体"/>
          <w:color w:val="000000"/>
          <w:highlight w:val="none"/>
        </w:rPr>
      </w:pPr>
      <w:r>
        <w:rPr>
          <w:rFonts w:hint="eastAsia" w:ascii="宋体" w:hAnsi="宋体" w:cs="宋体"/>
          <w:color w:val="000000"/>
          <w:highlight w:val="none"/>
        </w:rPr>
        <w:t>2. 缺项则该项为0分或不合格为0分。</w:t>
      </w:r>
    </w:p>
    <w:p>
      <w:pPr>
        <w:spacing w:line="0" w:lineRule="atLeast"/>
        <w:ind w:firstLine="821" w:firstLineChars="391"/>
        <w:rPr>
          <w:rFonts w:ascii="宋体" w:hAnsi="宋体" w:cs="宋体"/>
          <w:color w:val="000000"/>
          <w:highlight w:val="none"/>
        </w:rPr>
      </w:pPr>
      <w:r>
        <w:rPr>
          <w:rFonts w:hint="eastAsia" w:ascii="宋体" w:hAnsi="宋体" w:cs="宋体"/>
          <w:color w:val="000000"/>
          <w:highlight w:val="none"/>
        </w:rPr>
        <w:t>3. 价格、技术、商务部分为针对项目具体情况设置项目，累加满分为100分，固定额外加分部分为固定设置项，对涉及政策导向优先采购产品进行额外加分。</w:t>
      </w:r>
    </w:p>
    <w:p>
      <w:pPr>
        <w:spacing w:line="0" w:lineRule="atLeast"/>
        <w:ind w:firstLine="821" w:firstLineChars="391"/>
        <w:rPr>
          <w:rFonts w:ascii="宋体" w:hAnsi="宋体" w:cs="宋体"/>
          <w:snapToGrid w:val="0"/>
          <w:color w:val="000000"/>
          <w:kern w:val="0"/>
          <w:szCs w:val="18"/>
          <w:highlight w:val="none"/>
        </w:rPr>
      </w:pPr>
      <w:r>
        <w:rPr>
          <w:rFonts w:hint="eastAsia" w:ascii="宋体" w:hAnsi="宋体" w:cs="宋体"/>
          <w:color w:val="000000"/>
          <w:highlight w:val="none"/>
        </w:rPr>
        <w:t>4. 综合以上</w:t>
      </w:r>
      <w:r>
        <w:rPr>
          <w:rFonts w:hint="eastAsia" w:ascii="宋体" w:hAnsi="宋体" w:cs="宋体"/>
          <w:snapToGrid w:val="0"/>
          <w:color w:val="000000"/>
          <w:kern w:val="0"/>
          <w:highlight w:val="none"/>
        </w:rPr>
        <w:t>分析比较，评委会将对各投标文件进行书面的量化评定，得分</w:t>
      </w:r>
      <w:r>
        <w:rPr>
          <w:rFonts w:hint="eastAsia" w:ascii="宋体" w:hAnsi="宋体" w:cs="宋体"/>
          <w:snapToGrid w:val="0"/>
          <w:color w:val="000000"/>
          <w:kern w:val="0"/>
          <w:szCs w:val="18"/>
          <w:highlight w:val="none"/>
        </w:rPr>
        <w:t>精确到小数点后两位。</w:t>
      </w:r>
    </w:p>
    <w:p>
      <w:pPr>
        <w:rPr>
          <w:b/>
          <w:bCs/>
          <w:sz w:val="32"/>
          <w:highlight w:val="none"/>
        </w:rPr>
      </w:pPr>
      <w:r>
        <w:rPr>
          <w:rFonts w:hint="eastAsia"/>
          <w:b/>
          <w:bCs/>
          <w:sz w:val="32"/>
          <w:highlight w:val="none"/>
        </w:rPr>
        <w:br w:type="page"/>
      </w:r>
    </w:p>
    <w:p>
      <w:pPr>
        <w:spacing w:line="360" w:lineRule="auto"/>
        <w:ind w:firstLine="3360" w:firstLineChars="1046"/>
        <w:outlineLvl w:val="0"/>
        <w:rPr>
          <w:b/>
          <w:bCs/>
          <w:sz w:val="32"/>
          <w:highlight w:val="none"/>
        </w:rPr>
      </w:pPr>
      <w:bookmarkStart w:id="65" w:name="_Toc86918428"/>
      <w:bookmarkStart w:id="66" w:name="_Toc15913"/>
      <w:r>
        <w:rPr>
          <w:rFonts w:hint="eastAsia"/>
          <w:b/>
          <w:bCs/>
          <w:sz w:val="32"/>
          <w:highlight w:val="none"/>
        </w:rPr>
        <w:t>第七章 附件</w:t>
      </w:r>
      <w:bookmarkEnd w:id="61"/>
      <w:bookmarkEnd w:id="62"/>
      <w:bookmarkEnd w:id="63"/>
      <w:bookmarkEnd w:id="64"/>
      <w:bookmarkEnd w:id="65"/>
      <w:bookmarkEnd w:id="66"/>
    </w:p>
    <w:p>
      <w:pPr>
        <w:jc w:val="center"/>
        <w:outlineLvl w:val="1"/>
        <w:rPr>
          <w:b/>
          <w:bCs/>
          <w:sz w:val="30"/>
          <w:highlight w:val="none"/>
        </w:rPr>
      </w:pPr>
      <w:bookmarkStart w:id="67" w:name="_Toc29270"/>
      <w:bookmarkStart w:id="68" w:name="_Toc51746103"/>
      <w:bookmarkStart w:id="69" w:name="_Toc8411"/>
      <w:bookmarkStart w:id="70" w:name="_Toc86918429"/>
      <w:bookmarkStart w:id="71" w:name="_Toc83405802"/>
      <w:bookmarkStart w:id="72" w:name="_Toc24470"/>
      <w:r>
        <w:rPr>
          <w:rFonts w:hint="eastAsia"/>
          <w:b/>
          <w:bCs/>
          <w:sz w:val="30"/>
          <w:highlight w:val="none"/>
        </w:rPr>
        <w:t>（一）投标人资格证明文件</w:t>
      </w:r>
      <w:bookmarkEnd w:id="67"/>
      <w:bookmarkEnd w:id="68"/>
      <w:bookmarkEnd w:id="69"/>
      <w:bookmarkEnd w:id="70"/>
      <w:bookmarkEnd w:id="71"/>
      <w:bookmarkEnd w:id="72"/>
    </w:p>
    <w:p>
      <w:pPr>
        <w:widowControl/>
        <w:spacing w:line="360" w:lineRule="auto"/>
        <w:jc w:val="left"/>
        <w:outlineLvl w:val="2"/>
        <w:rPr>
          <w:b/>
          <w:bCs/>
          <w:sz w:val="24"/>
          <w:highlight w:val="none"/>
        </w:rPr>
      </w:pPr>
      <w:r>
        <w:rPr>
          <w:rFonts w:hint="eastAsia"/>
          <w:b/>
          <w:bCs/>
          <w:sz w:val="24"/>
          <w:highlight w:val="none"/>
        </w:rPr>
        <w:t>1</w:t>
      </w:r>
      <w:r>
        <w:rPr>
          <w:rFonts w:hint="eastAsia"/>
          <w:b/>
          <w:bCs/>
          <w:sz w:val="24"/>
          <w:highlight w:val="none"/>
          <w:lang w:val="en-US" w:eastAsia="zh-CN"/>
        </w:rPr>
        <w:t>.</w:t>
      </w:r>
      <w:r>
        <w:rPr>
          <w:rFonts w:hint="eastAsia"/>
          <w:b/>
          <w:bCs/>
          <w:sz w:val="24"/>
          <w:highlight w:val="none"/>
        </w:rPr>
        <w:t>《营业执照》或法人证书复印件（加盖投标人公章）；</w:t>
      </w:r>
    </w:p>
    <w:p>
      <w:pPr>
        <w:widowControl/>
        <w:spacing w:line="360" w:lineRule="auto"/>
        <w:jc w:val="left"/>
        <w:rPr>
          <w:b/>
          <w:bCs/>
          <w:sz w:val="24"/>
          <w:highlight w:val="none"/>
        </w:rPr>
      </w:pPr>
    </w:p>
    <w:p>
      <w:pPr>
        <w:widowControl/>
        <w:jc w:val="left"/>
        <w:rPr>
          <w:b/>
          <w:bCs/>
          <w:sz w:val="24"/>
          <w:highlight w:val="none"/>
        </w:rPr>
      </w:pPr>
      <w:r>
        <w:rPr>
          <w:b/>
          <w:bCs/>
          <w:sz w:val="24"/>
          <w:highlight w:val="none"/>
        </w:rPr>
        <w:br w:type="page"/>
      </w:r>
    </w:p>
    <w:p>
      <w:pPr>
        <w:jc w:val="center"/>
        <w:outlineLvl w:val="2"/>
        <w:rPr>
          <w:b/>
          <w:sz w:val="24"/>
          <w:szCs w:val="30"/>
          <w:highlight w:val="none"/>
        </w:rPr>
      </w:pPr>
      <w:bookmarkStart w:id="73" w:name="_Toc31945"/>
      <w:bookmarkStart w:id="74" w:name="_Toc10003"/>
      <w:bookmarkStart w:id="75" w:name="_Toc32493"/>
      <w:bookmarkStart w:id="76" w:name="_Toc8993"/>
      <w:r>
        <w:rPr>
          <w:rFonts w:hint="eastAsia"/>
          <w:b/>
          <w:sz w:val="24"/>
          <w:szCs w:val="30"/>
          <w:highlight w:val="none"/>
        </w:rPr>
        <w:t>2</w:t>
      </w:r>
      <w:r>
        <w:rPr>
          <w:rFonts w:hint="eastAsia"/>
          <w:b/>
          <w:sz w:val="24"/>
          <w:szCs w:val="30"/>
          <w:highlight w:val="none"/>
          <w:lang w:val="en-US" w:eastAsia="zh-CN"/>
        </w:rPr>
        <w:t>.</w:t>
      </w:r>
      <w:r>
        <w:rPr>
          <w:rFonts w:hint="eastAsia"/>
          <w:b/>
          <w:sz w:val="24"/>
          <w:szCs w:val="30"/>
          <w:highlight w:val="none"/>
        </w:rPr>
        <w:t>开标一览表</w:t>
      </w:r>
      <w:bookmarkEnd w:id="73"/>
      <w:bookmarkEnd w:id="74"/>
      <w:bookmarkEnd w:id="75"/>
      <w:bookmarkEnd w:id="76"/>
    </w:p>
    <w:p>
      <w:pPr>
        <w:jc w:val="right"/>
        <w:rPr>
          <w:rFonts w:ascii="宋体" w:hAnsi="宋体"/>
          <w:bCs/>
          <w:snapToGrid w:val="0"/>
          <w:kern w:val="0"/>
          <w:highlight w:val="none"/>
        </w:rPr>
      </w:pPr>
      <w:r>
        <w:rPr>
          <w:rFonts w:hint="eastAsia" w:ascii="宋体" w:hAnsi="宋体"/>
          <w:bCs/>
          <w:snapToGrid w:val="0"/>
          <w:kern w:val="0"/>
          <w:highlight w:val="none"/>
        </w:rPr>
        <w:t>单位：人民币元</w:t>
      </w:r>
    </w:p>
    <w:tbl>
      <w:tblPr>
        <w:tblStyle w:val="23"/>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849"/>
        <w:gridCol w:w="27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8" w:hRule="atLeast"/>
        </w:trPr>
        <w:tc>
          <w:tcPr>
            <w:tcW w:w="1411" w:type="dxa"/>
            <w:vAlign w:val="center"/>
          </w:tcPr>
          <w:p>
            <w:pPr>
              <w:jc w:val="center"/>
              <w:rPr>
                <w:rFonts w:ascii="宋体" w:hAnsi="宋体"/>
                <w:snapToGrid w:val="0"/>
                <w:kern w:val="0"/>
                <w:highlight w:val="none"/>
              </w:rPr>
            </w:pPr>
            <w:r>
              <w:rPr>
                <w:rFonts w:hint="eastAsia" w:ascii="宋体" w:hAnsi="宋体"/>
                <w:snapToGrid w:val="0"/>
                <w:kern w:val="0"/>
                <w:highlight w:val="none"/>
              </w:rPr>
              <w:t>项目编号</w:t>
            </w:r>
          </w:p>
        </w:tc>
        <w:tc>
          <w:tcPr>
            <w:tcW w:w="1849" w:type="dxa"/>
            <w:vAlign w:val="center"/>
          </w:tcPr>
          <w:p>
            <w:pPr>
              <w:jc w:val="center"/>
              <w:rPr>
                <w:rFonts w:ascii="宋体" w:hAnsi="宋体"/>
                <w:snapToGrid w:val="0"/>
                <w:kern w:val="0"/>
                <w:highlight w:val="none"/>
              </w:rPr>
            </w:pPr>
            <w:r>
              <w:rPr>
                <w:rFonts w:hint="eastAsia" w:ascii="宋体" w:hAnsi="宋体"/>
                <w:snapToGrid w:val="0"/>
                <w:kern w:val="0"/>
                <w:highlight w:val="none"/>
              </w:rPr>
              <w:t>项目名称</w:t>
            </w:r>
          </w:p>
        </w:tc>
        <w:tc>
          <w:tcPr>
            <w:tcW w:w="2788" w:type="dxa"/>
            <w:vAlign w:val="center"/>
          </w:tcPr>
          <w:p>
            <w:pPr>
              <w:jc w:val="center"/>
              <w:rPr>
                <w:rFonts w:ascii="宋体" w:hAnsi="宋体"/>
                <w:snapToGrid w:val="0"/>
                <w:kern w:val="0"/>
                <w:highlight w:val="none"/>
              </w:rPr>
            </w:pPr>
            <w:r>
              <w:rPr>
                <w:rFonts w:hint="eastAsia" w:ascii="宋体" w:hAnsi="宋体"/>
                <w:snapToGrid w:val="0"/>
                <w:kern w:val="0"/>
                <w:highlight w:val="none"/>
              </w:rPr>
              <w:t>投标总价（元）</w:t>
            </w:r>
          </w:p>
        </w:tc>
        <w:tc>
          <w:tcPr>
            <w:tcW w:w="2387" w:type="dxa"/>
            <w:vAlign w:val="center"/>
          </w:tcPr>
          <w:p>
            <w:pPr>
              <w:jc w:val="center"/>
              <w:rPr>
                <w:rFonts w:ascii="宋体" w:hAnsi="宋体"/>
                <w:snapToGrid w:val="0"/>
                <w:kern w:val="0"/>
                <w:highlight w:val="none"/>
              </w:rPr>
            </w:pPr>
            <w:r>
              <w:rPr>
                <w:rFonts w:hint="eastAsia" w:ascii="宋体" w:hAnsi="宋体"/>
                <w:snapToGrid w:val="0"/>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2" w:hRule="atLeast"/>
        </w:trPr>
        <w:tc>
          <w:tcPr>
            <w:tcW w:w="1411" w:type="dxa"/>
            <w:vAlign w:val="center"/>
          </w:tcPr>
          <w:p>
            <w:pPr>
              <w:jc w:val="center"/>
              <w:rPr>
                <w:rFonts w:ascii="宋体" w:hAnsi="宋体"/>
                <w:snapToGrid w:val="0"/>
                <w:kern w:val="0"/>
                <w:highlight w:val="none"/>
                <w:u w:val="single"/>
              </w:rPr>
            </w:pPr>
          </w:p>
        </w:tc>
        <w:tc>
          <w:tcPr>
            <w:tcW w:w="1849" w:type="dxa"/>
            <w:vAlign w:val="center"/>
          </w:tcPr>
          <w:p>
            <w:pPr>
              <w:rPr>
                <w:rFonts w:hint="eastAsia" w:ascii="宋体" w:hAnsi="宋体" w:eastAsia="宋体"/>
                <w:snapToGrid w:val="0"/>
                <w:kern w:val="0"/>
                <w:highlight w:val="none"/>
                <w:u w:val="single"/>
                <w:lang w:eastAsia="zh-CN"/>
              </w:rPr>
            </w:pPr>
            <w:r>
              <w:rPr>
                <w:rFonts w:hint="eastAsia"/>
                <w:kern w:val="0"/>
                <w:szCs w:val="21"/>
                <w:highlight w:val="none"/>
                <w:lang w:eastAsia="zh-CN"/>
              </w:rPr>
              <w:t>2021年前海办公用房租金评估及租金政策评估</w:t>
            </w:r>
          </w:p>
        </w:tc>
        <w:tc>
          <w:tcPr>
            <w:tcW w:w="2788" w:type="dxa"/>
            <w:vAlign w:val="center"/>
          </w:tcPr>
          <w:p>
            <w:pPr>
              <w:rPr>
                <w:rFonts w:ascii="宋体" w:hAnsi="宋体"/>
                <w:snapToGrid w:val="0"/>
                <w:kern w:val="0"/>
                <w:highlight w:val="none"/>
              </w:rPr>
            </w:pPr>
            <w:r>
              <w:rPr>
                <w:rFonts w:hint="eastAsia" w:ascii="宋体" w:hAnsi="宋体"/>
                <w:snapToGrid w:val="0"/>
                <w:kern w:val="0"/>
                <w:highlight w:val="none"/>
              </w:rPr>
              <w:t>大写：</w:t>
            </w:r>
          </w:p>
          <w:p>
            <w:pPr>
              <w:rPr>
                <w:rFonts w:ascii="宋体" w:hAnsi="宋体"/>
                <w:snapToGrid w:val="0"/>
                <w:kern w:val="0"/>
                <w:highlight w:val="none"/>
              </w:rPr>
            </w:pPr>
            <w:r>
              <w:rPr>
                <w:rFonts w:hint="eastAsia" w:ascii="宋体" w:hAnsi="宋体"/>
                <w:snapToGrid w:val="0"/>
                <w:kern w:val="0"/>
                <w:highlight w:val="none"/>
              </w:rPr>
              <w:t>小写：</w:t>
            </w:r>
          </w:p>
        </w:tc>
        <w:tc>
          <w:tcPr>
            <w:tcW w:w="2387" w:type="dxa"/>
            <w:vAlign w:val="center"/>
          </w:tcPr>
          <w:p>
            <w:pPr>
              <w:jc w:val="center"/>
              <w:rPr>
                <w:rFonts w:ascii="宋体" w:hAnsi="宋体"/>
                <w:snapToGrid w:val="0"/>
                <w:kern w:val="0"/>
                <w:highlight w:val="none"/>
              </w:rPr>
            </w:pPr>
          </w:p>
        </w:tc>
      </w:tr>
    </w:tbl>
    <w:p>
      <w:pPr>
        <w:rPr>
          <w:rFonts w:ascii="宋体" w:hAnsi="宋体"/>
          <w:snapToGrid w:val="0"/>
          <w:kern w:val="0"/>
          <w:highlight w:val="none"/>
        </w:rPr>
      </w:pPr>
      <w:r>
        <w:rPr>
          <w:rFonts w:hint="eastAsia" w:ascii="宋体" w:hAnsi="宋体"/>
          <w:snapToGrid w:val="0"/>
          <w:kern w:val="0"/>
          <w:highlight w:val="none"/>
        </w:rPr>
        <w:t>注：</w:t>
      </w:r>
      <w:r>
        <w:rPr>
          <w:rFonts w:hint="eastAsia" w:ascii="宋体" w:hAnsi="宋体"/>
          <w:snapToGrid w:val="0"/>
          <w:kern w:val="0"/>
          <w:highlight w:val="none"/>
          <w:lang w:eastAsia="zh-CN"/>
        </w:rPr>
        <w:t>（</w:t>
      </w:r>
      <w:r>
        <w:rPr>
          <w:rFonts w:hint="eastAsia" w:ascii="宋体" w:hAnsi="宋体"/>
          <w:snapToGrid w:val="0"/>
          <w:kern w:val="0"/>
          <w:highlight w:val="none"/>
          <w:lang w:val="en-US" w:eastAsia="zh-CN"/>
        </w:rPr>
        <w:t>1</w:t>
      </w:r>
      <w:r>
        <w:rPr>
          <w:rFonts w:hint="eastAsia" w:ascii="宋体" w:hAnsi="宋体"/>
          <w:snapToGrid w:val="0"/>
          <w:kern w:val="0"/>
          <w:highlight w:val="none"/>
          <w:lang w:eastAsia="zh-CN"/>
        </w:rPr>
        <w:t>）</w:t>
      </w:r>
      <w:r>
        <w:rPr>
          <w:rFonts w:hint="eastAsia" w:ascii="宋体" w:hAnsi="宋体"/>
          <w:snapToGrid w:val="0"/>
          <w:kern w:val="0"/>
          <w:highlight w:val="none"/>
        </w:rPr>
        <w:t>价格应按“招标文件”中规定的货币单位填写。</w:t>
      </w:r>
    </w:p>
    <w:p>
      <w:pPr>
        <w:rPr>
          <w:rFonts w:ascii="宋体" w:hAnsi="宋体"/>
          <w:highlight w:val="none"/>
        </w:rPr>
      </w:pPr>
      <w:r>
        <w:rPr>
          <w:rFonts w:hint="eastAsia" w:ascii="宋体" w:hAnsi="宋体"/>
          <w:snapToGrid w:val="0"/>
          <w:kern w:val="0"/>
          <w:highlight w:val="none"/>
        </w:rPr>
        <w:t xml:space="preserve">   </w:t>
      </w:r>
      <w:r>
        <w:rPr>
          <w:rFonts w:hint="eastAsia" w:ascii="宋体" w:hAnsi="宋体"/>
          <w:snapToGrid w:val="0"/>
          <w:kern w:val="0"/>
          <w:highlight w:val="none"/>
          <w:lang w:val="en-US" w:eastAsia="zh-CN"/>
        </w:rPr>
        <w:t xml:space="preserve"> </w:t>
      </w:r>
      <w:r>
        <w:rPr>
          <w:rFonts w:hint="eastAsia" w:ascii="宋体" w:hAnsi="宋体"/>
          <w:snapToGrid w:val="0"/>
          <w:kern w:val="0"/>
          <w:highlight w:val="none"/>
          <w:lang w:eastAsia="zh-CN"/>
        </w:rPr>
        <w:t>（</w:t>
      </w:r>
      <w:r>
        <w:rPr>
          <w:rFonts w:hint="eastAsia" w:ascii="宋体" w:hAnsi="宋体"/>
          <w:snapToGrid w:val="0"/>
          <w:kern w:val="0"/>
          <w:highlight w:val="none"/>
          <w:lang w:val="en-US" w:eastAsia="zh-CN"/>
        </w:rPr>
        <w:t>2</w:t>
      </w:r>
      <w:r>
        <w:rPr>
          <w:rFonts w:hint="eastAsia" w:ascii="宋体" w:hAnsi="宋体"/>
          <w:snapToGrid w:val="0"/>
          <w:kern w:val="0"/>
          <w:highlight w:val="none"/>
          <w:lang w:eastAsia="zh-CN"/>
        </w:rPr>
        <w:t>）</w:t>
      </w:r>
      <w:r>
        <w:rPr>
          <w:rFonts w:hint="eastAsia" w:ascii="宋体" w:hAnsi="宋体"/>
          <w:snapToGrid w:val="0"/>
          <w:kern w:val="0"/>
          <w:highlight w:val="none"/>
        </w:rPr>
        <w:t>投标人如果需要对报价或其它内容加以说明，可在备注栏填写。</w:t>
      </w:r>
    </w:p>
    <w:p>
      <w:pPr>
        <w:ind w:firstLine="420"/>
        <w:rPr>
          <w:rFonts w:ascii="宋体" w:hAnsi="宋体"/>
          <w:b/>
          <w:szCs w:val="21"/>
          <w:highlight w:val="none"/>
        </w:rPr>
      </w:pPr>
      <w:r>
        <w:rPr>
          <w:rFonts w:hint="eastAsia" w:ascii="宋体" w:hAnsi="宋体"/>
          <w:b/>
          <w:highlight w:val="none"/>
          <w:lang w:eastAsia="zh-CN"/>
        </w:rPr>
        <w:t>（</w:t>
      </w:r>
      <w:r>
        <w:rPr>
          <w:rFonts w:hint="eastAsia" w:ascii="宋体" w:hAnsi="宋体"/>
          <w:b/>
          <w:highlight w:val="none"/>
          <w:lang w:val="en-US" w:eastAsia="zh-CN"/>
        </w:rPr>
        <w:t>3</w:t>
      </w:r>
      <w:r>
        <w:rPr>
          <w:rFonts w:hint="eastAsia" w:ascii="宋体" w:hAnsi="宋体"/>
          <w:b/>
          <w:highlight w:val="none"/>
          <w:lang w:eastAsia="zh-CN"/>
        </w:rPr>
        <w:t>）</w:t>
      </w:r>
      <w:r>
        <w:rPr>
          <w:rFonts w:hint="eastAsia" w:ascii="宋体" w:hAnsi="宋体"/>
          <w:b/>
          <w:szCs w:val="21"/>
          <w:highlight w:val="none"/>
        </w:rPr>
        <w:t>开标一览表和投标文件（含正本和副本）应分开独立密封包装。开标一览表未按规定签字、盖章、密封将导致投标无效。</w:t>
      </w:r>
    </w:p>
    <w:p>
      <w:pPr>
        <w:snapToGrid w:val="0"/>
        <w:ind w:firstLine="411" w:firstLineChars="196"/>
        <w:rPr>
          <w:rFonts w:ascii="宋体" w:hAnsi="宋体"/>
          <w:szCs w:val="21"/>
          <w:highlight w:val="none"/>
        </w:rPr>
      </w:pP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szCs w:val="21"/>
          <w:highlight w:val="none"/>
        </w:rPr>
        <w:t>若开标一览表中大写金额和小写金额不一致的，以大写金额为准。</w:t>
      </w:r>
    </w:p>
    <w:p>
      <w:pPr>
        <w:ind w:firstLine="420"/>
        <w:rPr>
          <w:rFonts w:ascii="宋体" w:hAnsi="宋体"/>
          <w:highlight w:val="none"/>
        </w:rPr>
      </w:pPr>
    </w:p>
    <w:p>
      <w:pPr>
        <w:ind w:firstLine="420"/>
        <w:jc w:val="left"/>
        <w:rPr>
          <w:rFonts w:ascii="宋体" w:hAnsi="宋体"/>
          <w:highlight w:val="none"/>
        </w:rPr>
      </w:pPr>
    </w:p>
    <w:p>
      <w:pPr>
        <w:ind w:firstLine="420"/>
        <w:jc w:val="left"/>
        <w:rPr>
          <w:rFonts w:ascii="宋体" w:hAnsi="宋体"/>
          <w:highlight w:val="none"/>
        </w:rPr>
      </w:pPr>
    </w:p>
    <w:p>
      <w:pPr>
        <w:ind w:firstLine="3150" w:firstLineChars="1500"/>
        <w:jc w:val="left"/>
        <w:rPr>
          <w:rFonts w:ascii="宋体" w:hAnsi="宋体"/>
          <w:highlight w:val="none"/>
        </w:rPr>
      </w:pPr>
      <w:r>
        <w:rPr>
          <w:rFonts w:hint="eastAsia" w:ascii="宋体" w:hAnsi="宋体"/>
          <w:highlight w:val="none"/>
        </w:rPr>
        <w:t>法定代表人或其授权委托人（</w:t>
      </w:r>
      <w:r>
        <w:rPr>
          <w:rFonts w:hint="eastAsia" w:ascii="宋体" w:hAnsi="宋体"/>
          <w:b/>
          <w:highlight w:val="none"/>
        </w:rPr>
        <w:t>签名</w:t>
      </w:r>
      <w:r>
        <w:rPr>
          <w:rFonts w:hint="eastAsia" w:ascii="宋体" w:hAnsi="宋体"/>
          <w:highlight w:val="none"/>
        </w:rPr>
        <w:t>）：</w:t>
      </w:r>
    </w:p>
    <w:p>
      <w:pPr>
        <w:jc w:val="left"/>
        <w:rPr>
          <w:rFonts w:ascii="宋体" w:hAnsi="宋体"/>
          <w:highlight w:val="none"/>
        </w:rPr>
      </w:pPr>
    </w:p>
    <w:p>
      <w:pPr>
        <w:ind w:firstLine="3150" w:firstLineChars="1500"/>
        <w:jc w:val="left"/>
        <w:rPr>
          <w:rFonts w:ascii="宋体" w:hAnsi="宋体"/>
          <w:highlight w:val="none"/>
        </w:rPr>
      </w:pPr>
      <w:r>
        <w:rPr>
          <w:rFonts w:hint="eastAsia" w:ascii="宋体" w:hAnsi="宋体"/>
          <w:highlight w:val="none"/>
        </w:rPr>
        <w:t>投标单位（</w:t>
      </w:r>
      <w:r>
        <w:rPr>
          <w:rFonts w:hint="eastAsia" w:ascii="宋体" w:hAnsi="宋体"/>
          <w:b/>
          <w:highlight w:val="none"/>
        </w:rPr>
        <w:t>盖公章</w:t>
      </w:r>
      <w:r>
        <w:rPr>
          <w:rFonts w:hint="eastAsia" w:ascii="宋体" w:hAnsi="宋体"/>
          <w:highlight w:val="none"/>
        </w:rPr>
        <w:t>）：</w:t>
      </w:r>
    </w:p>
    <w:p>
      <w:pPr>
        <w:jc w:val="left"/>
        <w:rPr>
          <w:rFonts w:ascii="宋体" w:hAnsi="宋体"/>
          <w:highlight w:val="none"/>
        </w:rPr>
      </w:pPr>
    </w:p>
    <w:p>
      <w:pPr>
        <w:jc w:val="right"/>
        <w:rPr>
          <w:rFonts w:ascii="宋体" w:hAnsi="宋体"/>
          <w:highlight w:val="none"/>
        </w:rPr>
      </w:pPr>
      <w:r>
        <w:rPr>
          <w:rFonts w:hint="eastAsia" w:ascii="宋体" w:hAnsi="宋体"/>
          <w:highlight w:val="none"/>
        </w:rPr>
        <w:t>日期：    年  月  日</w:t>
      </w:r>
    </w:p>
    <w:p>
      <w:pPr>
        <w:widowControl/>
        <w:jc w:val="left"/>
        <w:rPr>
          <w:b/>
          <w:bCs/>
          <w:sz w:val="30"/>
          <w:highlight w:val="none"/>
        </w:rPr>
      </w:pPr>
      <w:r>
        <w:rPr>
          <w:b/>
          <w:bCs/>
          <w:sz w:val="30"/>
          <w:highlight w:val="none"/>
        </w:rPr>
        <w:br w:type="page"/>
      </w:r>
    </w:p>
    <w:p>
      <w:pPr>
        <w:widowControl/>
        <w:spacing w:line="360" w:lineRule="auto"/>
        <w:jc w:val="left"/>
        <w:rPr>
          <w:b/>
          <w:bCs/>
          <w:sz w:val="24"/>
          <w:highlight w:val="none"/>
        </w:rPr>
      </w:pPr>
    </w:p>
    <w:p>
      <w:pPr>
        <w:widowControl/>
        <w:spacing w:line="360" w:lineRule="auto"/>
        <w:jc w:val="left"/>
        <w:outlineLvl w:val="2"/>
        <w:rPr>
          <w:b/>
          <w:bCs/>
          <w:sz w:val="24"/>
          <w:highlight w:val="none"/>
        </w:rPr>
      </w:pPr>
      <w:r>
        <w:rPr>
          <w:rFonts w:hint="eastAsia"/>
          <w:b/>
          <w:bCs/>
          <w:sz w:val="24"/>
          <w:highlight w:val="none"/>
        </w:rPr>
        <w:t>3</w:t>
      </w:r>
      <w:r>
        <w:rPr>
          <w:rFonts w:hint="eastAsia"/>
          <w:b/>
          <w:bCs/>
          <w:sz w:val="24"/>
          <w:highlight w:val="none"/>
          <w:lang w:val="en-US" w:eastAsia="zh-CN"/>
        </w:rPr>
        <w:t>.</w:t>
      </w:r>
      <w:r>
        <w:rPr>
          <w:rFonts w:hint="eastAsia"/>
          <w:b/>
          <w:bCs/>
          <w:sz w:val="24"/>
          <w:highlight w:val="none"/>
        </w:rPr>
        <w:t>法定代表人证明书原件及身份证复印件（加盖投标人公章）；</w:t>
      </w:r>
    </w:p>
    <w:p>
      <w:pPr>
        <w:spacing w:line="480" w:lineRule="exact"/>
        <w:jc w:val="center"/>
        <w:rPr>
          <w:rFonts w:ascii="黑体" w:eastAsia="黑体"/>
          <w:sz w:val="28"/>
          <w:szCs w:val="28"/>
          <w:highlight w:val="none"/>
        </w:rPr>
      </w:pPr>
    </w:p>
    <w:p>
      <w:pPr>
        <w:spacing w:line="480" w:lineRule="exact"/>
        <w:jc w:val="center"/>
        <w:rPr>
          <w:rFonts w:ascii="宋体" w:hAnsi="宋体" w:cs="Arial"/>
          <w:b/>
          <w:bCs/>
          <w:sz w:val="24"/>
          <w:highlight w:val="none"/>
        </w:rPr>
      </w:pPr>
      <w:r>
        <w:rPr>
          <w:rFonts w:hint="eastAsia" w:ascii="宋体" w:hAnsi="宋体" w:cs="Arial"/>
          <w:b/>
          <w:bCs/>
          <w:sz w:val="24"/>
          <w:highlight w:val="none"/>
        </w:rPr>
        <w:t>法定代表人资格证明书</w:t>
      </w:r>
    </w:p>
    <w:p>
      <w:pPr>
        <w:spacing w:line="480" w:lineRule="exact"/>
        <w:jc w:val="center"/>
        <w:rPr>
          <w:rFonts w:ascii="黑体" w:eastAsia="黑体"/>
          <w:sz w:val="28"/>
          <w:szCs w:val="28"/>
          <w:highlight w:val="none"/>
        </w:rPr>
      </w:pPr>
    </w:p>
    <w:p>
      <w:pPr>
        <w:spacing w:line="480" w:lineRule="exact"/>
        <w:jc w:val="center"/>
        <w:rPr>
          <w:rFonts w:ascii="宋体"/>
          <w:sz w:val="24"/>
          <w:highlight w:val="none"/>
        </w:rPr>
      </w:pPr>
    </w:p>
    <w:p>
      <w:pPr>
        <w:snapToGrid w:val="0"/>
        <w:rPr>
          <w:rFonts w:ascii="宋体" w:hAnsi="宋体" w:cs="Arial"/>
          <w:bCs/>
          <w:sz w:val="24"/>
          <w:highlight w:val="none"/>
        </w:rPr>
      </w:pPr>
      <w:r>
        <w:rPr>
          <w:rFonts w:hint="eastAsia" w:ascii="宋体" w:hAnsi="宋体" w:cs="Arial"/>
          <w:bCs/>
          <w:sz w:val="24"/>
          <w:highlight w:val="none"/>
        </w:rPr>
        <w:t>单位名称：</w:t>
      </w:r>
    </w:p>
    <w:p>
      <w:pPr>
        <w:snapToGrid w:val="0"/>
        <w:rPr>
          <w:rFonts w:ascii="宋体" w:hAnsi="宋体" w:cs="Arial"/>
          <w:bCs/>
          <w:sz w:val="24"/>
          <w:highlight w:val="none"/>
        </w:rPr>
      </w:pPr>
      <w:r>
        <w:rPr>
          <w:rFonts w:hint="eastAsia" w:ascii="宋体" w:hAnsi="宋体" w:cs="Arial"/>
          <w:bCs/>
          <w:sz w:val="24"/>
          <w:highlight w:val="none"/>
        </w:rPr>
        <w:t>地    址：</w:t>
      </w:r>
    </w:p>
    <w:p>
      <w:pPr>
        <w:snapToGrid w:val="0"/>
        <w:rPr>
          <w:rFonts w:ascii="宋体" w:hAnsi="宋体" w:cs="Arial"/>
          <w:bCs/>
          <w:sz w:val="24"/>
          <w:highlight w:val="none"/>
        </w:rPr>
      </w:pPr>
      <w:r>
        <w:rPr>
          <w:rFonts w:hint="eastAsia" w:ascii="宋体" w:hAnsi="宋体" w:cs="Arial"/>
          <w:bCs/>
          <w:sz w:val="24"/>
          <w:highlight w:val="none"/>
        </w:rPr>
        <w:t xml:space="preserve">姓名： </w:t>
      </w:r>
      <w:r>
        <w:rPr>
          <w:rFonts w:ascii="宋体" w:hAnsi="宋体" w:cs="Arial"/>
          <w:bCs/>
          <w:sz w:val="24"/>
          <w:highlight w:val="none"/>
        </w:rPr>
        <w:t xml:space="preserve">    </w:t>
      </w:r>
      <w:r>
        <w:rPr>
          <w:rFonts w:hint="eastAsia" w:ascii="宋体" w:hAnsi="宋体" w:cs="Arial"/>
          <w:bCs/>
          <w:sz w:val="24"/>
          <w:highlight w:val="none"/>
        </w:rPr>
        <w:t xml:space="preserve"> 性别： </w:t>
      </w:r>
      <w:r>
        <w:rPr>
          <w:rFonts w:ascii="宋体" w:hAnsi="宋体" w:cs="Arial"/>
          <w:bCs/>
          <w:sz w:val="24"/>
          <w:highlight w:val="none"/>
        </w:rPr>
        <w:t xml:space="preserve">    </w:t>
      </w:r>
      <w:r>
        <w:rPr>
          <w:rFonts w:hint="eastAsia" w:ascii="宋体" w:hAnsi="宋体" w:cs="Arial"/>
          <w:bCs/>
          <w:sz w:val="24"/>
          <w:highlight w:val="none"/>
        </w:rPr>
        <w:t xml:space="preserve"> </w:t>
      </w:r>
      <w:r>
        <w:rPr>
          <w:rFonts w:ascii="宋体" w:hAnsi="宋体" w:cs="Arial"/>
          <w:bCs/>
          <w:sz w:val="24"/>
          <w:highlight w:val="none"/>
        </w:rPr>
        <w:t xml:space="preserve"> </w:t>
      </w:r>
      <w:r>
        <w:rPr>
          <w:rFonts w:hint="eastAsia" w:ascii="宋体" w:hAnsi="宋体" w:cs="Arial"/>
          <w:bCs/>
          <w:sz w:val="24"/>
          <w:highlight w:val="none"/>
        </w:rPr>
        <w:t xml:space="preserve">年龄： </w:t>
      </w:r>
      <w:r>
        <w:rPr>
          <w:rFonts w:ascii="宋体" w:hAnsi="宋体" w:cs="Arial"/>
          <w:bCs/>
          <w:sz w:val="24"/>
          <w:highlight w:val="none"/>
        </w:rPr>
        <w:t xml:space="preserve">      </w:t>
      </w:r>
      <w:r>
        <w:rPr>
          <w:rFonts w:hint="eastAsia" w:ascii="宋体" w:hAnsi="宋体" w:cs="Arial"/>
          <w:bCs/>
          <w:sz w:val="24"/>
          <w:highlight w:val="none"/>
        </w:rPr>
        <w:t>职务：</w:t>
      </w:r>
    </w:p>
    <w:p>
      <w:pPr>
        <w:snapToGrid w:val="0"/>
        <w:ind w:firstLine="1080" w:firstLineChars="450"/>
        <w:rPr>
          <w:rFonts w:ascii="宋体" w:hAnsi="宋体" w:cs="Arial"/>
          <w:bCs/>
          <w:sz w:val="24"/>
          <w:highlight w:val="none"/>
          <w:u w:val="single"/>
        </w:rPr>
      </w:pPr>
    </w:p>
    <w:p>
      <w:pPr>
        <w:snapToGrid w:val="0"/>
        <w:ind w:firstLine="480" w:firstLineChars="200"/>
        <w:rPr>
          <w:rFonts w:ascii="宋体" w:hAnsi="宋体" w:cs="Arial"/>
          <w:bCs/>
          <w:sz w:val="24"/>
          <w:highlight w:val="none"/>
        </w:rPr>
      </w:pPr>
      <w:r>
        <w:rPr>
          <w:rFonts w:hint="eastAsia" w:ascii="宋体" w:hAnsi="宋体" w:cs="Arial"/>
          <w:bCs/>
          <w:sz w:val="24"/>
          <w:highlight w:val="none"/>
        </w:rPr>
        <w:t>系  的法定代表人。为    项目，签署的投标文件、进行合同投标、签署合同和处理与之有关的一切事务。</w:t>
      </w:r>
    </w:p>
    <w:p>
      <w:pPr>
        <w:snapToGrid w:val="0"/>
        <w:rPr>
          <w:rFonts w:ascii="宋体" w:hAnsi="宋体" w:cs="Arial"/>
          <w:bCs/>
          <w:sz w:val="24"/>
          <w:highlight w:val="none"/>
        </w:rPr>
      </w:pPr>
      <w:r>
        <w:rPr>
          <w:rFonts w:hint="eastAsia" w:ascii="宋体" w:hAnsi="宋体" w:cs="Arial"/>
          <w:bCs/>
          <w:sz w:val="24"/>
          <w:highlight w:val="none"/>
        </w:rPr>
        <w:t>特此证明</w:t>
      </w:r>
    </w:p>
    <w:p>
      <w:pPr>
        <w:snapToGrid w:val="0"/>
        <w:rPr>
          <w:sz w:val="24"/>
          <w:highlight w:val="none"/>
        </w:rPr>
      </w:pPr>
    </w:p>
    <w:p>
      <w:pPr>
        <w:ind w:firstLine="3600" w:firstLineChars="1500"/>
        <w:jc w:val="left"/>
        <w:rPr>
          <w:sz w:val="24"/>
          <w:highlight w:val="none"/>
        </w:rPr>
      </w:pPr>
      <w:r>
        <w:rPr>
          <w:rFonts w:hint="eastAsia"/>
          <w:sz w:val="24"/>
          <w:highlight w:val="none"/>
        </w:rPr>
        <w:t>法定代表人（</w:t>
      </w:r>
      <w:r>
        <w:rPr>
          <w:rFonts w:hint="eastAsia"/>
          <w:b/>
          <w:sz w:val="24"/>
          <w:highlight w:val="none"/>
        </w:rPr>
        <w:t>签名</w:t>
      </w:r>
      <w:r>
        <w:rPr>
          <w:rFonts w:hint="eastAsia"/>
          <w:sz w:val="24"/>
          <w:highlight w:val="none"/>
        </w:rPr>
        <w:t>）：</w:t>
      </w:r>
    </w:p>
    <w:p>
      <w:pPr>
        <w:jc w:val="left"/>
        <w:rPr>
          <w:sz w:val="24"/>
          <w:highlight w:val="none"/>
        </w:rPr>
      </w:pPr>
    </w:p>
    <w:p>
      <w:pPr>
        <w:ind w:firstLine="3600" w:firstLineChars="1500"/>
        <w:jc w:val="left"/>
        <w:rPr>
          <w:sz w:val="24"/>
          <w:highlight w:val="none"/>
        </w:rPr>
      </w:pPr>
      <w:r>
        <w:rPr>
          <w:rFonts w:hint="eastAsia"/>
          <w:sz w:val="24"/>
          <w:highlight w:val="none"/>
        </w:rPr>
        <w:t>投标单位（</w:t>
      </w:r>
      <w:r>
        <w:rPr>
          <w:rFonts w:hint="eastAsia"/>
          <w:b/>
          <w:sz w:val="24"/>
          <w:highlight w:val="none"/>
        </w:rPr>
        <w:t>盖公章</w:t>
      </w:r>
      <w:r>
        <w:rPr>
          <w:rFonts w:hint="eastAsia"/>
          <w:sz w:val="24"/>
          <w:highlight w:val="none"/>
        </w:rPr>
        <w:t>）：</w:t>
      </w:r>
    </w:p>
    <w:p>
      <w:pPr>
        <w:jc w:val="left"/>
        <w:rPr>
          <w:sz w:val="24"/>
          <w:highlight w:val="none"/>
        </w:rPr>
      </w:pPr>
    </w:p>
    <w:p>
      <w:pPr>
        <w:jc w:val="right"/>
        <w:rPr>
          <w:sz w:val="24"/>
          <w:highlight w:val="none"/>
        </w:rPr>
      </w:pPr>
      <w:r>
        <w:rPr>
          <w:rFonts w:hint="eastAsia"/>
          <w:sz w:val="24"/>
          <w:highlight w:val="none"/>
        </w:rPr>
        <w:t>日期： 年 月 日</w:t>
      </w:r>
    </w:p>
    <w:p>
      <w:pPr>
        <w:snapToGrid w:val="0"/>
        <w:ind w:firstLine="4080" w:firstLineChars="1700"/>
        <w:rPr>
          <w:rFonts w:ascii="宋体" w:hAnsi="宋体" w:cs="Arial"/>
          <w:bCs/>
          <w:sz w:val="24"/>
          <w:highlight w:val="none"/>
        </w:rPr>
      </w:pPr>
    </w:p>
    <w:p>
      <w:pPr>
        <w:snapToGrid w:val="0"/>
        <w:ind w:firstLine="4080" w:firstLineChars="1700"/>
        <w:rPr>
          <w:rFonts w:ascii="宋体" w:hAnsi="宋体" w:cs="Arial"/>
          <w:bCs/>
          <w:sz w:val="24"/>
          <w:highlight w:val="none"/>
        </w:rPr>
      </w:pPr>
    </w:p>
    <w:p>
      <w:pPr>
        <w:snapToGrid w:val="0"/>
        <w:ind w:firstLine="4080" w:firstLineChars="1700"/>
        <w:rPr>
          <w:rFonts w:ascii="宋体" w:hAnsi="宋体" w:cs="Arial"/>
          <w:bCs/>
          <w:sz w:val="24"/>
          <w:highlight w:val="none"/>
        </w:rPr>
      </w:pPr>
    </w:p>
    <w:p>
      <w:pPr>
        <w:snapToGrid w:val="0"/>
        <w:ind w:firstLine="4080" w:firstLineChars="1700"/>
        <w:rPr>
          <w:rFonts w:ascii="宋体" w:hAnsi="宋体" w:cs="Arial"/>
          <w:bCs/>
          <w:sz w:val="24"/>
          <w:highlight w:val="none"/>
        </w:rPr>
      </w:pPr>
    </w:p>
    <w:p>
      <w:pPr>
        <w:snapToGrid w:val="0"/>
        <w:ind w:firstLine="4080" w:firstLineChars="1700"/>
        <w:rPr>
          <w:rFonts w:ascii="宋体" w:hAnsi="宋体" w:cs="Arial"/>
          <w:bCs/>
          <w:sz w:val="24"/>
          <w:highlight w:val="none"/>
        </w:rPr>
      </w:pPr>
    </w:p>
    <w:p>
      <w:pPr>
        <w:snapToGrid w:val="0"/>
        <w:ind w:left="735" w:hanging="735" w:hangingChars="350"/>
        <w:rPr>
          <w:rFonts w:ascii="宋体" w:hAnsi="宋体" w:cs="Arial"/>
          <w:bCs/>
          <w:szCs w:val="21"/>
          <w:highlight w:val="none"/>
        </w:rPr>
      </w:pPr>
      <w:r>
        <w:rPr>
          <w:rFonts w:hint="eastAsia" w:ascii="宋体" w:hAnsi="宋体" w:cs="Arial"/>
          <w:bCs/>
          <w:szCs w:val="21"/>
          <w:highlight w:val="none"/>
        </w:rPr>
        <w:t>说明：</w:t>
      </w:r>
    </w:p>
    <w:p>
      <w:pPr>
        <w:snapToGrid w:val="0"/>
        <w:ind w:firstLine="420" w:firstLineChars="200"/>
        <w:rPr>
          <w:rFonts w:ascii="宋体" w:hAnsi="宋体" w:cs="Arial"/>
          <w:bCs/>
          <w:szCs w:val="21"/>
          <w:highlight w:val="none"/>
        </w:rPr>
      </w:pPr>
      <w:r>
        <w:rPr>
          <w:rFonts w:hint="eastAsia" w:ascii="宋体" w:hAnsi="宋体" w:cs="Arial"/>
          <w:bCs/>
          <w:szCs w:val="21"/>
          <w:highlight w:val="none"/>
          <w:lang w:eastAsia="zh-CN"/>
        </w:rPr>
        <w:t>（</w:t>
      </w:r>
      <w:r>
        <w:rPr>
          <w:rFonts w:hint="eastAsia" w:ascii="宋体" w:hAnsi="宋体" w:cs="Arial"/>
          <w:bCs/>
          <w:szCs w:val="21"/>
          <w:highlight w:val="none"/>
          <w:lang w:val="en-US" w:eastAsia="zh-CN"/>
        </w:rPr>
        <w:t>1</w:t>
      </w:r>
      <w:r>
        <w:rPr>
          <w:rFonts w:hint="eastAsia" w:ascii="宋体" w:hAnsi="宋体" w:cs="Arial"/>
          <w:bCs/>
          <w:szCs w:val="21"/>
          <w:highlight w:val="none"/>
          <w:lang w:eastAsia="zh-CN"/>
        </w:rPr>
        <w:t>）</w:t>
      </w:r>
      <w:r>
        <w:rPr>
          <w:rFonts w:hint="eastAsia" w:ascii="宋体" w:hAnsi="宋体" w:cs="Arial"/>
          <w:bCs/>
          <w:szCs w:val="21"/>
          <w:highlight w:val="none"/>
        </w:rPr>
        <w:t xml:space="preserve"> 本证明书要求投标人提供</w:t>
      </w:r>
      <w:r>
        <w:rPr>
          <w:rFonts w:hint="eastAsia" w:ascii="宋体" w:hAnsi="宋体" w:cs="Arial"/>
          <w:b/>
          <w:bCs/>
          <w:szCs w:val="21"/>
          <w:highlight w:val="none"/>
        </w:rPr>
        <w:t>加盖公章</w:t>
      </w:r>
      <w:r>
        <w:rPr>
          <w:rFonts w:hint="eastAsia" w:ascii="宋体" w:hAnsi="宋体" w:cs="Arial"/>
          <w:bCs/>
          <w:szCs w:val="21"/>
          <w:highlight w:val="none"/>
        </w:rPr>
        <w:t>后的原件方为有效；</w:t>
      </w:r>
    </w:p>
    <w:p>
      <w:pPr>
        <w:snapToGrid w:val="0"/>
        <w:ind w:firstLine="420" w:firstLineChars="200"/>
        <w:rPr>
          <w:rFonts w:ascii="宋体" w:hAnsi="宋体" w:cs="Arial"/>
          <w:bCs/>
          <w:szCs w:val="21"/>
          <w:highlight w:val="none"/>
        </w:rPr>
      </w:pPr>
      <w:r>
        <w:rPr>
          <w:rFonts w:hint="eastAsia" w:ascii="宋体" w:hAnsi="宋体" w:cs="Arial"/>
          <w:bCs/>
          <w:szCs w:val="21"/>
          <w:highlight w:val="none"/>
          <w:lang w:eastAsia="zh-CN"/>
        </w:rPr>
        <w:t>（</w:t>
      </w:r>
      <w:r>
        <w:rPr>
          <w:rFonts w:hint="eastAsia" w:ascii="宋体" w:hAnsi="宋体" w:cs="Arial"/>
          <w:bCs/>
          <w:szCs w:val="21"/>
          <w:highlight w:val="none"/>
          <w:lang w:val="en-US" w:eastAsia="zh-CN"/>
        </w:rPr>
        <w:t>2</w:t>
      </w:r>
      <w:r>
        <w:rPr>
          <w:rFonts w:hint="eastAsia" w:ascii="宋体" w:hAnsi="宋体" w:cs="Arial"/>
          <w:bCs/>
          <w:szCs w:val="21"/>
          <w:highlight w:val="none"/>
          <w:lang w:eastAsia="zh-CN"/>
        </w:rPr>
        <w:t>）</w:t>
      </w:r>
      <w:r>
        <w:rPr>
          <w:rFonts w:hint="eastAsia" w:ascii="宋体" w:hAnsi="宋体" w:cs="Arial"/>
          <w:bCs/>
          <w:szCs w:val="21"/>
          <w:highlight w:val="none"/>
        </w:rPr>
        <w:t>须提供法定代表人的身份证复印件（附后）。</w:t>
      </w:r>
    </w:p>
    <w:p>
      <w:pPr>
        <w:widowControl/>
        <w:spacing w:line="360" w:lineRule="auto"/>
        <w:jc w:val="left"/>
        <w:rPr>
          <w:b/>
          <w:bCs/>
          <w:sz w:val="24"/>
          <w:highlight w:val="none"/>
        </w:rPr>
      </w:pPr>
      <w:r>
        <w:rPr>
          <w:highlight w:val="none"/>
        </w:rPr>
        <w:br w:type="page"/>
      </w:r>
    </w:p>
    <w:p>
      <w:pPr>
        <w:widowControl/>
        <w:spacing w:line="360" w:lineRule="auto"/>
        <w:jc w:val="left"/>
        <w:outlineLvl w:val="2"/>
        <w:rPr>
          <w:b/>
          <w:bCs/>
          <w:sz w:val="24"/>
          <w:highlight w:val="none"/>
        </w:rPr>
      </w:pPr>
      <w:r>
        <w:rPr>
          <w:rFonts w:hint="eastAsia"/>
          <w:b/>
          <w:bCs/>
          <w:sz w:val="24"/>
          <w:highlight w:val="none"/>
        </w:rPr>
        <w:t>4</w:t>
      </w:r>
      <w:r>
        <w:rPr>
          <w:rFonts w:hint="eastAsia"/>
          <w:b/>
          <w:bCs/>
          <w:sz w:val="24"/>
          <w:highlight w:val="none"/>
          <w:lang w:val="en-US" w:eastAsia="zh-CN"/>
        </w:rPr>
        <w:t>.</w:t>
      </w:r>
      <w:r>
        <w:rPr>
          <w:rFonts w:hint="eastAsia"/>
          <w:b/>
          <w:bCs/>
          <w:sz w:val="24"/>
          <w:highlight w:val="none"/>
        </w:rPr>
        <w:t>   法人授权委托证明书原件及身份证复印件（加盖投标人公章）；</w:t>
      </w:r>
    </w:p>
    <w:p>
      <w:pPr>
        <w:spacing w:before="120" w:after="120"/>
        <w:jc w:val="center"/>
        <w:rPr>
          <w:highlight w:val="none"/>
        </w:rPr>
      </w:pPr>
    </w:p>
    <w:p>
      <w:pPr>
        <w:spacing w:before="120" w:after="120"/>
        <w:jc w:val="center"/>
        <w:rPr>
          <w:rFonts w:ascii="宋体" w:hAnsi="宋体" w:cs="Arial"/>
          <w:b/>
          <w:sz w:val="24"/>
          <w:highlight w:val="none"/>
        </w:rPr>
      </w:pPr>
      <w:r>
        <w:rPr>
          <w:rFonts w:hint="eastAsia" w:ascii="宋体" w:hAnsi="宋体" w:eastAsia="黑体" w:cs="Arial"/>
          <w:b/>
          <w:bCs/>
          <w:sz w:val="24"/>
          <w:szCs w:val="28"/>
          <w:highlight w:val="none"/>
          <w:u w:val="single"/>
        </w:rPr>
        <w:t>法定代表人授权书</w:t>
      </w:r>
    </w:p>
    <w:p>
      <w:pPr>
        <w:rPr>
          <w:rFonts w:ascii="宋体" w:cs="Arial"/>
          <w:bCs/>
          <w:sz w:val="24"/>
          <w:highlight w:val="none"/>
        </w:rPr>
      </w:pPr>
    </w:p>
    <w:p>
      <w:pPr>
        <w:rPr>
          <w:rFonts w:ascii="宋体" w:hAnsi="宋体" w:cs="Arial"/>
          <w:bCs/>
          <w:sz w:val="24"/>
          <w:highlight w:val="none"/>
        </w:rPr>
      </w:pPr>
      <w:r>
        <w:rPr>
          <w:rFonts w:hint="eastAsia" w:ascii="宋体" w:hAnsi="宋体" w:cs="Arial"/>
          <w:bCs/>
          <w:sz w:val="24"/>
          <w:highlight w:val="none"/>
        </w:rPr>
        <w:t>致（采购单位）：</w:t>
      </w:r>
    </w:p>
    <w:p>
      <w:pPr>
        <w:rPr>
          <w:rFonts w:ascii="宋体" w:hAnsi="宋体" w:cs="Arial"/>
          <w:bCs/>
          <w:sz w:val="24"/>
          <w:highlight w:val="none"/>
        </w:rPr>
      </w:pPr>
    </w:p>
    <w:p>
      <w:pPr>
        <w:ind w:firstLine="480" w:firstLineChars="200"/>
        <w:rPr>
          <w:rFonts w:ascii="宋体" w:hAnsi="宋体" w:cs="Arial"/>
          <w:bCs/>
          <w:sz w:val="24"/>
          <w:highlight w:val="none"/>
        </w:rPr>
      </w:pPr>
      <w:r>
        <w:rPr>
          <w:rFonts w:ascii="宋体" w:hAnsi="宋体" w:cs="Arial"/>
          <w:bCs/>
          <w:sz w:val="24"/>
          <w:highlight w:val="none"/>
        </w:rPr>
        <w:t xml:space="preserve">          （投标人全称）     </w:t>
      </w:r>
      <w:r>
        <w:rPr>
          <w:rFonts w:hint="eastAsia" w:ascii="宋体" w:hAnsi="宋体" w:cs="Arial"/>
          <w:bCs/>
          <w:sz w:val="24"/>
          <w:highlight w:val="none"/>
        </w:rPr>
        <w:t xml:space="preserve"> 法定代表人</w:t>
      </w:r>
      <w:r>
        <w:rPr>
          <w:rFonts w:ascii="宋体" w:hAnsi="宋体" w:cs="Arial"/>
          <w:bCs/>
          <w:sz w:val="24"/>
          <w:highlight w:val="none"/>
        </w:rPr>
        <w:t xml:space="preserve">  （姓名、职务）              </w:t>
      </w:r>
      <w:r>
        <w:rPr>
          <w:rFonts w:hint="eastAsia" w:ascii="宋体" w:hAnsi="宋体" w:cs="Arial"/>
          <w:bCs/>
          <w:sz w:val="24"/>
          <w:highlight w:val="none"/>
        </w:rPr>
        <w:t xml:space="preserve">授权 </w:t>
      </w:r>
      <w:r>
        <w:rPr>
          <w:rFonts w:ascii="宋体" w:hAnsi="宋体" w:cs="Arial"/>
          <w:bCs/>
          <w:sz w:val="24"/>
          <w:highlight w:val="none"/>
        </w:rPr>
        <w:t xml:space="preserve">  （被授权代表姓名、职务）              </w:t>
      </w:r>
      <w:r>
        <w:rPr>
          <w:rFonts w:hint="eastAsia" w:ascii="宋体" w:hAnsi="宋体" w:cs="Arial"/>
          <w:bCs/>
          <w:sz w:val="24"/>
          <w:highlight w:val="none"/>
        </w:rPr>
        <w:t>为本公司合法代理人，参加贵单位组织的</w:t>
      </w:r>
      <w:r>
        <w:rPr>
          <w:rFonts w:ascii="宋体" w:hAnsi="宋体" w:cs="Arial"/>
          <w:bCs/>
          <w:sz w:val="24"/>
          <w:highlight w:val="none"/>
        </w:rPr>
        <w:t xml:space="preserve">   (项目名称)（项目编号）                      </w:t>
      </w:r>
      <w:r>
        <w:rPr>
          <w:rFonts w:hint="eastAsia" w:ascii="宋体" w:hAnsi="宋体" w:cs="Arial"/>
          <w:bCs/>
          <w:sz w:val="24"/>
          <w:highlight w:val="none"/>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rFonts w:ascii="宋体" w:hAnsi="宋体" w:cs="Arial"/>
          <w:bCs/>
          <w:sz w:val="24"/>
          <w:highlight w:val="none"/>
        </w:rPr>
      </w:pPr>
      <w:r>
        <w:rPr>
          <w:rFonts w:hint="eastAsia" w:ascii="宋体" w:hAnsi="宋体" w:cs="Arial"/>
          <w:bCs/>
          <w:sz w:val="24"/>
          <w:highlight w:val="none"/>
        </w:rPr>
        <w:t xml:space="preserve">     本授权书于</w:t>
      </w:r>
      <w:r>
        <w:rPr>
          <w:rFonts w:hint="eastAsia" w:ascii="宋体" w:hAnsi="宋体" w:cs="Arial"/>
          <w:bCs/>
          <w:sz w:val="24"/>
          <w:highlight w:val="none"/>
          <w:u w:val="single"/>
        </w:rPr>
        <w:t xml:space="preserve">   年   月    日</w:t>
      </w:r>
      <w:r>
        <w:rPr>
          <w:rFonts w:hint="eastAsia" w:ascii="宋体" w:hAnsi="宋体" w:cs="Arial"/>
          <w:bCs/>
          <w:sz w:val="24"/>
          <w:highlight w:val="none"/>
        </w:rPr>
        <w:t>签字生效,特此声明。</w:t>
      </w:r>
    </w:p>
    <w:p>
      <w:pPr>
        <w:rPr>
          <w:rFonts w:ascii="宋体" w:hAnsi="宋体" w:cs="Arial"/>
          <w:bCs/>
          <w:sz w:val="24"/>
          <w:highlight w:val="none"/>
        </w:rPr>
      </w:pPr>
    </w:p>
    <w:p>
      <w:pPr>
        <w:ind w:firstLine="120" w:firstLineChars="50"/>
        <w:rPr>
          <w:rFonts w:ascii="宋体" w:hAnsi="宋体" w:cs="Arial"/>
          <w:bCs/>
          <w:sz w:val="24"/>
          <w:highlight w:val="none"/>
        </w:rPr>
      </w:pPr>
      <w:r>
        <w:rPr>
          <w:rFonts w:hint="eastAsia" w:ascii="宋体" w:hAnsi="宋体" w:cs="Arial"/>
          <w:bCs/>
          <w:sz w:val="24"/>
          <w:highlight w:val="none"/>
        </w:rPr>
        <w:t>被授权人：   职务：</w:t>
      </w:r>
    </w:p>
    <w:p>
      <w:pPr>
        <w:ind w:firstLine="120" w:firstLineChars="50"/>
        <w:rPr>
          <w:rFonts w:ascii="宋体" w:hAnsi="宋体" w:cs="Arial"/>
          <w:bCs/>
          <w:sz w:val="24"/>
          <w:highlight w:val="none"/>
        </w:rPr>
      </w:pPr>
      <w:r>
        <w:rPr>
          <w:rFonts w:hint="eastAsia" w:ascii="宋体" w:hAnsi="宋体" w:cs="Arial"/>
          <w:bCs/>
          <w:sz w:val="24"/>
          <w:highlight w:val="none"/>
        </w:rPr>
        <w:t>联系电话：   手机：</w:t>
      </w:r>
    </w:p>
    <w:p>
      <w:pPr>
        <w:ind w:firstLine="120" w:firstLineChars="50"/>
        <w:rPr>
          <w:rFonts w:ascii="宋体" w:hAnsi="宋体" w:cs="Arial"/>
          <w:bCs/>
          <w:sz w:val="24"/>
          <w:highlight w:val="none"/>
        </w:rPr>
      </w:pPr>
      <w:r>
        <w:rPr>
          <w:rFonts w:hint="eastAsia" w:ascii="宋体" w:hAnsi="宋体" w:cs="Arial"/>
          <w:bCs/>
          <w:sz w:val="24"/>
          <w:highlight w:val="none"/>
        </w:rPr>
        <w:t>身份证号码：</w:t>
      </w:r>
    </w:p>
    <w:p>
      <w:pPr>
        <w:ind w:firstLine="120" w:firstLineChars="50"/>
        <w:rPr>
          <w:rFonts w:ascii="宋体" w:hAnsi="宋体" w:cs="Arial"/>
          <w:bCs/>
          <w:sz w:val="24"/>
          <w:highlight w:val="none"/>
        </w:rPr>
      </w:pPr>
      <w:r>
        <w:rPr>
          <w:rFonts w:hint="eastAsia" w:ascii="宋体" w:hAnsi="宋体" w:cs="Arial"/>
          <w:bCs/>
          <w:sz w:val="24"/>
          <w:highlight w:val="none"/>
        </w:rPr>
        <w:t>投标单位（盖公章）：</w:t>
      </w:r>
    </w:p>
    <w:p>
      <w:pPr>
        <w:ind w:firstLine="120" w:firstLineChars="50"/>
        <w:rPr>
          <w:rFonts w:ascii="宋体" w:hAnsi="宋体" w:cs="Arial"/>
          <w:bCs/>
          <w:sz w:val="24"/>
          <w:highlight w:val="none"/>
        </w:rPr>
      </w:pPr>
      <w:r>
        <w:rPr>
          <w:rFonts w:hint="eastAsia" w:ascii="宋体" w:hAnsi="宋体" w:cs="Arial"/>
          <w:bCs/>
          <w:sz w:val="24"/>
          <w:highlight w:val="none"/>
        </w:rPr>
        <w:t>法定代表人（签名）：</w:t>
      </w:r>
    </w:p>
    <w:p>
      <w:pPr>
        <w:ind w:firstLine="120" w:firstLineChars="50"/>
        <w:rPr>
          <w:rFonts w:ascii="宋体" w:hAnsi="宋体" w:cs="Arial"/>
          <w:bCs/>
          <w:sz w:val="24"/>
          <w:highlight w:val="none"/>
        </w:rPr>
      </w:pPr>
      <w:r>
        <w:rPr>
          <w:rFonts w:hint="eastAsia" w:ascii="宋体" w:hAnsi="宋体" w:cs="Arial"/>
          <w:bCs/>
          <w:sz w:val="24"/>
          <w:highlight w:val="none"/>
        </w:rPr>
        <w:t>被授权人（签名）：</w:t>
      </w:r>
    </w:p>
    <w:p>
      <w:pPr>
        <w:rPr>
          <w:rFonts w:ascii="宋体" w:hAnsi="宋体" w:cs="Arial"/>
          <w:bCs/>
          <w:sz w:val="24"/>
          <w:highlight w:val="none"/>
        </w:rPr>
      </w:pPr>
    </w:p>
    <w:p>
      <w:pPr>
        <w:rPr>
          <w:rFonts w:ascii="宋体" w:hAnsi="宋体" w:cs="Arial"/>
          <w:bCs/>
          <w:sz w:val="24"/>
          <w:highlight w:val="none"/>
        </w:rPr>
      </w:pPr>
    </w:p>
    <w:p>
      <w:pPr>
        <w:rPr>
          <w:rFonts w:ascii="宋体" w:hAnsi="宋体" w:cs="Arial"/>
          <w:bCs/>
          <w:sz w:val="24"/>
          <w:highlight w:val="none"/>
        </w:rPr>
      </w:pPr>
    </w:p>
    <w:p>
      <w:pPr>
        <w:rPr>
          <w:rFonts w:ascii="宋体" w:hAnsi="宋体" w:cs="Arial"/>
          <w:bCs/>
          <w:sz w:val="24"/>
          <w:highlight w:val="none"/>
        </w:rPr>
      </w:pPr>
    </w:p>
    <w:p>
      <w:pPr>
        <w:rPr>
          <w:rFonts w:ascii="宋体" w:hAnsi="宋体" w:cs="Arial"/>
          <w:bCs/>
          <w:sz w:val="24"/>
          <w:highlight w:val="none"/>
        </w:rPr>
      </w:pPr>
    </w:p>
    <w:p>
      <w:pPr>
        <w:rPr>
          <w:rFonts w:ascii="宋体" w:hAnsi="宋体" w:cs="Arial"/>
          <w:bCs/>
          <w:sz w:val="24"/>
          <w:highlight w:val="none"/>
        </w:rPr>
      </w:pPr>
    </w:p>
    <w:p>
      <w:pPr>
        <w:rPr>
          <w:rFonts w:ascii="宋体" w:hAnsi="宋体" w:cs="Arial"/>
          <w:bCs/>
          <w:szCs w:val="21"/>
          <w:highlight w:val="none"/>
        </w:rPr>
      </w:pPr>
      <w:r>
        <w:rPr>
          <w:rFonts w:hint="eastAsia" w:ascii="宋体" w:hAnsi="宋体" w:cs="Arial"/>
          <w:bCs/>
          <w:szCs w:val="21"/>
          <w:highlight w:val="none"/>
        </w:rPr>
        <w:t>说明：</w:t>
      </w:r>
    </w:p>
    <w:p>
      <w:pPr>
        <w:ind w:firstLine="420" w:firstLineChars="200"/>
        <w:rPr>
          <w:rFonts w:ascii="宋体" w:hAnsi="宋体" w:cs="Arial"/>
          <w:bCs/>
          <w:szCs w:val="21"/>
          <w:highlight w:val="none"/>
        </w:rPr>
      </w:pPr>
      <w:r>
        <w:rPr>
          <w:rFonts w:hint="eastAsia" w:ascii="宋体" w:hAnsi="宋体" w:cs="Arial"/>
          <w:bCs/>
          <w:szCs w:val="21"/>
          <w:highlight w:val="none"/>
          <w:lang w:eastAsia="zh-CN"/>
        </w:rPr>
        <w:t>（</w:t>
      </w:r>
      <w:r>
        <w:rPr>
          <w:rFonts w:hint="eastAsia" w:ascii="宋体" w:hAnsi="宋体" w:cs="Arial"/>
          <w:bCs/>
          <w:szCs w:val="21"/>
          <w:highlight w:val="none"/>
          <w:lang w:val="en-US" w:eastAsia="zh-CN"/>
        </w:rPr>
        <w:t>1</w:t>
      </w:r>
      <w:r>
        <w:rPr>
          <w:rFonts w:hint="eastAsia" w:ascii="宋体" w:hAnsi="宋体" w:cs="Arial"/>
          <w:bCs/>
          <w:szCs w:val="21"/>
          <w:highlight w:val="none"/>
          <w:lang w:eastAsia="zh-CN"/>
        </w:rPr>
        <w:t>）</w:t>
      </w:r>
      <w:r>
        <w:rPr>
          <w:rFonts w:hint="eastAsia" w:ascii="宋体" w:hAnsi="宋体" w:cs="Arial"/>
          <w:bCs/>
          <w:szCs w:val="21"/>
          <w:highlight w:val="none"/>
        </w:rPr>
        <w:t>本授权委托书要求投标人提供有</w:t>
      </w:r>
      <w:r>
        <w:rPr>
          <w:rFonts w:hint="eastAsia" w:ascii="宋体" w:hAnsi="宋体" w:cs="Arial"/>
          <w:b/>
          <w:bCs/>
          <w:szCs w:val="21"/>
          <w:highlight w:val="none"/>
        </w:rPr>
        <w:t>被授权人签字、法定代表人的签字（或盖私章）和加盖公章</w:t>
      </w:r>
      <w:r>
        <w:rPr>
          <w:rFonts w:hint="eastAsia" w:ascii="宋体" w:hAnsi="宋体" w:cs="Arial"/>
          <w:bCs/>
          <w:szCs w:val="21"/>
          <w:highlight w:val="none"/>
        </w:rPr>
        <w:t>后的原件方为有效；</w:t>
      </w:r>
    </w:p>
    <w:p>
      <w:pPr>
        <w:ind w:firstLine="420" w:firstLineChars="200"/>
        <w:rPr>
          <w:rFonts w:ascii="宋体" w:hAnsi="宋体" w:cs="Arial"/>
          <w:bCs/>
          <w:szCs w:val="21"/>
          <w:highlight w:val="none"/>
        </w:rPr>
      </w:pPr>
      <w:r>
        <w:rPr>
          <w:rFonts w:hint="eastAsia" w:ascii="宋体" w:hAnsi="宋体" w:cs="Arial"/>
          <w:bCs/>
          <w:szCs w:val="21"/>
          <w:highlight w:val="none"/>
          <w:lang w:eastAsia="zh-CN"/>
        </w:rPr>
        <w:t>（</w:t>
      </w:r>
      <w:r>
        <w:rPr>
          <w:rFonts w:hint="eastAsia" w:ascii="宋体" w:hAnsi="宋体" w:cs="Arial"/>
          <w:bCs/>
          <w:szCs w:val="21"/>
          <w:highlight w:val="none"/>
          <w:lang w:val="en-US" w:eastAsia="zh-CN"/>
        </w:rPr>
        <w:t>2</w:t>
      </w:r>
      <w:r>
        <w:rPr>
          <w:rFonts w:hint="eastAsia" w:ascii="宋体" w:hAnsi="宋体" w:cs="Arial"/>
          <w:bCs/>
          <w:szCs w:val="21"/>
          <w:highlight w:val="none"/>
          <w:lang w:eastAsia="zh-CN"/>
        </w:rPr>
        <w:t>）</w:t>
      </w:r>
      <w:r>
        <w:rPr>
          <w:rFonts w:hint="eastAsia" w:ascii="宋体" w:hAnsi="宋体" w:cs="Arial"/>
          <w:bCs/>
          <w:szCs w:val="21"/>
          <w:highlight w:val="none"/>
        </w:rPr>
        <w:t>提供被授权人的身份证复印件（附后）。</w:t>
      </w:r>
    </w:p>
    <w:p>
      <w:pPr>
        <w:widowControl/>
        <w:jc w:val="left"/>
        <w:rPr>
          <w:b/>
          <w:bCs/>
          <w:sz w:val="30"/>
          <w:highlight w:val="none"/>
        </w:rPr>
      </w:pPr>
      <w:r>
        <w:rPr>
          <w:b/>
          <w:bCs/>
          <w:sz w:val="30"/>
          <w:highlight w:val="none"/>
        </w:rPr>
        <w:br w:type="page"/>
      </w:r>
    </w:p>
    <w:p>
      <w:pPr>
        <w:jc w:val="center"/>
        <w:outlineLvl w:val="1"/>
        <w:rPr>
          <w:b/>
          <w:bCs/>
          <w:sz w:val="30"/>
          <w:highlight w:val="none"/>
        </w:rPr>
      </w:pPr>
      <w:bookmarkStart w:id="77" w:name="_Toc24424"/>
      <w:bookmarkStart w:id="78" w:name="_Toc22702"/>
      <w:bookmarkStart w:id="79" w:name="_Toc51746104"/>
      <w:bookmarkStart w:id="80" w:name="_Toc28247"/>
      <w:bookmarkStart w:id="81" w:name="_Toc86918430"/>
      <w:bookmarkStart w:id="82" w:name="_Toc83405803"/>
      <w:r>
        <w:rPr>
          <w:rFonts w:hint="eastAsia"/>
          <w:b/>
          <w:bCs/>
          <w:sz w:val="30"/>
          <w:highlight w:val="none"/>
        </w:rPr>
        <w:t>（二）投标响应书</w:t>
      </w:r>
      <w:bookmarkEnd w:id="77"/>
      <w:bookmarkEnd w:id="78"/>
      <w:bookmarkEnd w:id="79"/>
      <w:bookmarkEnd w:id="80"/>
      <w:bookmarkEnd w:id="81"/>
      <w:bookmarkEnd w:id="82"/>
    </w:p>
    <w:p>
      <w:pPr>
        <w:rPr>
          <w:highlight w:val="none"/>
        </w:rPr>
      </w:pPr>
    </w:p>
    <w:p>
      <w:pPr>
        <w:rPr>
          <w:highlight w:val="none"/>
          <w:u w:val="single"/>
        </w:rPr>
      </w:pPr>
      <w:r>
        <w:rPr>
          <w:rFonts w:hint="eastAsia"/>
          <w:highlight w:val="none"/>
        </w:rPr>
        <w:t>致：</w:t>
      </w:r>
    </w:p>
    <w:p>
      <w:pPr>
        <w:ind w:firstLine="432" w:firstLineChars="206"/>
        <w:rPr>
          <w:highlight w:val="none"/>
        </w:rPr>
      </w:pPr>
      <w:r>
        <w:rPr>
          <w:rFonts w:hint="eastAsia"/>
          <w:highlight w:val="none"/>
        </w:rPr>
        <w:t>根据贵方为项目采购的邀请_____________（招标文件编号以及名称），签字代表（全名、职务）经正式授权并代表供应商（供应商方名称、地址）提交五份投标文件。</w:t>
      </w:r>
    </w:p>
    <w:p>
      <w:pPr>
        <w:rPr>
          <w:highlight w:val="none"/>
        </w:rPr>
      </w:pPr>
      <w:r>
        <w:rPr>
          <w:rFonts w:hint="eastAsia"/>
          <w:highlight w:val="none"/>
        </w:rPr>
        <w:t>据此函，签字代表宣布同意如下：</w:t>
      </w:r>
    </w:p>
    <w:p>
      <w:pPr>
        <w:rPr>
          <w:highlight w:val="none"/>
        </w:rPr>
      </w:pPr>
      <w:r>
        <w:rPr>
          <w:rFonts w:hint="eastAsia"/>
          <w:highlight w:val="none"/>
        </w:rPr>
        <w:t>1、供应商将按招标文件的规定履行合同责任和义务。</w:t>
      </w:r>
    </w:p>
    <w:p>
      <w:pPr>
        <w:rPr>
          <w:highlight w:val="none"/>
        </w:rPr>
      </w:pPr>
      <w:r>
        <w:rPr>
          <w:rFonts w:hint="eastAsia"/>
          <w:highlight w:val="none"/>
        </w:rPr>
        <w:t>2、供应商已详细审查全部投标文件，包括修改文件（如有的话）以及全部参考资料和有关附件。我们完全理解并同意放弃对这方面有不明及误解的权利。</w:t>
      </w:r>
    </w:p>
    <w:p>
      <w:pPr>
        <w:rPr>
          <w:highlight w:val="none"/>
        </w:rPr>
      </w:pPr>
      <w:r>
        <w:rPr>
          <w:rFonts w:hint="eastAsia"/>
          <w:highlight w:val="none"/>
        </w:rPr>
        <w:t>3、与本投标项目有关的一切正式往来通讯请寄：</w:t>
      </w:r>
    </w:p>
    <w:p>
      <w:pPr>
        <w:ind w:firstLine="432"/>
        <w:rPr>
          <w:highlight w:val="none"/>
        </w:rPr>
      </w:pPr>
    </w:p>
    <w:p>
      <w:pPr>
        <w:ind w:firstLine="432"/>
        <w:rPr>
          <w:highlight w:val="none"/>
          <w:u w:val="single"/>
        </w:rPr>
      </w:pPr>
      <w:r>
        <w:rPr>
          <w:rFonts w:hint="eastAsia"/>
          <w:highlight w:val="none"/>
        </w:rPr>
        <w:t>地址：邮编：</w:t>
      </w:r>
    </w:p>
    <w:p>
      <w:pPr>
        <w:ind w:firstLine="432"/>
        <w:rPr>
          <w:highlight w:val="none"/>
          <w:u w:val="single"/>
        </w:rPr>
      </w:pPr>
    </w:p>
    <w:p>
      <w:pPr>
        <w:ind w:firstLine="432"/>
        <w:rPr>
          <w:highlight w:val="none"/>
          <w:u w:val="single"/>
        </w:rPr>
      </w:pPr>
      <w:r>
        <w:rPr>
          <w:rFonts w:hint="eastAsia"/>
          <w:highlight w:val="none"/>
        </w:rPr>
        <w:t>电话：传真：</w:t>
      </w:r>
    </w:p>
    <w:p>
      <w:pPr>
        <w:ind w:firstLine="432"/>
        <w:rPr>
          <w:highlight w:val="none"/>
          <w:u w:val="single"/>
        </w:rPr>
      </w:pPr>
    </w:p>
    <w:p>
      <w:pPr>
        <w:ind w:firstLine="432"/>
        <w:rPr>
          <w:highlight w:val="none"/>
          <w:u w:val="single"/>
        </w:rPr>
      </w:pPr>
      <w:r>
        <w:rPr>
          <w:rFonts w:hint="eastAsia"/>
          <w:highlight w:val="none"/>
        </w:rPr>
        <w:t>供应商代表姓名、职务（印刷体）：</w:t>
      </w:r>
    </w:p>
    <w:p>
      <w:pPr>
        <w:ind w:firstLine="432"/>
        <w:rPr>
          <w:highlight w:val="none"/>
        </w:rPr>
      </w:pPr>
    </w:p>
    <w:p>
      <w:pPr>
        <w:ind w:firstLine="432"/>
        <w:rPr>
          <w:highlight w:val="none"/>
          <w:u w:val="single"/>
        </w:rPr>
      </w:pPr>
      <w:r>
        <w:rPr>
          <w:rFonts w:hint="eastAsia"/>
          <w:highlight w:val="none"/>
        </w:rPr>
        <w:t>供应商名称：</w:t>
      </w:r>
    </w:p>
    <w:p>
      <w:pPr>
        <w:ind w:firstLine="432"/>
        <w:rPr>
          <w:highlight w:val="none"/>
          <w:u w:val="single"/>
        </w:rPr>
      </w:pPr>
    </w:p>
    <w:p>
      <w:pPr>
        <w:ind w:firstLine="432"/>
        <w:rPr>
          <w:highlight w:val="none"/>
          <w:u w:val="single"/>
        </w:rPr>
      </w:pPr>
      <w:r>
        <w:rPr>
          <w:rFonts w:hint="eastAsia"/>
          <w:highlight w:val="none"/>
        </w:rPr>
        <w:t>（公章）：</w:t>
      </w:r>
    </w:p>
    <w:p>
      <w:pPr>
        <w:ind w:firstLine="432"/>
        <w:rPr>
          <w:highlight w:val="none"/>
          <w:u w:val="single"/>
        </w:rPr>
      </w:pPr>
    </w:p>
    <w:p>
      <w:pPr>
        <w:ind w:firstLine="432"/>
        <w:rPr>
          <w:highlight w:val="none"/>
        </w:rPr>
      </w:pPr>
      <w:r>
        <w:rPr>
          <w:rFonts w:hint="eastAsia"/>
          <w:highlight w:val="none"/>
        </w:rPr>
        <w:t>日期：年月日</w:t>
      </w:r>
    </w:p>
    <w:p>
      <w:pPr>
        <w:ind w:firstLine="432"/>
        <w:rPr>
          <w:highlight w:val="none"/>
        </w:rPr>
      </w:pPr>
    </w:p>
    <w:p>
      <w:pPr>
        <w:rPr>
          <w:highlight w:val="none"/>
        </w:rPr>
      </w:pPr>
    </w:p>
    <w:p>
      <w:pPr>
        <w:ind w:firstLine="432"/>
        <w:rPr>
          <w:highlight w:val="none"/>
        </w:rPr>
      </w:pPr>
    </w:p>
    <w:p>
      <w:pPr>
        <w:ind w:firstLine="432"/>
        <w:rPr>
          <w:highlight w:val="none"/>
        </w:rPr>
      </w:pPr>
    </w:p>
    <w:p>
      <w:pPr>
        <w:ind w:firstLine="3990" w:firstLineChars="1900"/>
        <w:jc w:val="right"/>
        <w:rPr>
          <w:b/>
          <w:bCs/>
          <w:sz w:val="44"/>
          <w:highlight w:val="none"/>
        </w:rPr>
      </w:pPr>
      <w:r>
        <w:rPr>
          <w:rFonts w:hint="eastAsia"/>
          <w:highlight w:val="none"/>
        </w:rPr>
        <w:t>全权代表签字：</w:t>
      </w: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widowControl/>
        <w:jc w:val="left"/>
        <w:rPr>
          <w:b/>
          <w:bCs/>
          <w:sz w:val="30"/>
          <w:highlight w:val="none"/>
        </w:rPr>
      </w:pPr>
      <w:r>
        <w:rPr>
          <w:b/>
          <w:bCs/>
          <w:sz w:val="30"/>
          <w:highlight w:val="none"/>
        </w:rPr>
        <w:br w:type="page"/>
      </w:r>
    </w:p>
    <w:p>
      <w:pPr>
        <w:jc w:val="center"/>
        <w:outlineLvl w:val="1"/>
        <w:rPr>
          <w:b/>
          <w:bCs/>
          <w:sz w:val="30"/>
          <w:highlight w:val="none"/>
        </w:rPr>
      </w:pPr>
      <w:bookmarkStart w:id="83" w:name="_Toc29192"/>
      <w:bookmarkStart w:id="84" w:name="_Toc51746105"/>
      <w:bookmarkStart w:id="85" w:name="_Toc86918431"/>
      <w:bookmarkStart w:id="86" w:name="_Toc10392"/>
      <w:bookmarkStart w:id="87" w:name="_Toc83405804"/>
      <w:bookmarkStart w:id="88" w:name="_Toc16799"/>
      <w:r>
        <w:rPr>
          <w:rFonts w:hint="eastAsia"/>
          <w:b/>
          <w:bCs/>
          <w:sz w:val="30"/>
          <w:highlight w:val="none"/>
        </w:rPr>
        <w:t>（三）报价表</w:t>
      </w:r>
      <w:bookmarkEnd w:id="83"/>
      <w:bookmarkEnd w:id="84"/>
      <w:bookmarkEnd w:id="85"/>
      <w:bookmarkEnd w:id="86"/>
      <w:bookmarkEnd w:id="87"/>
      <w:bookmarkEnd w:id="88"/>
    </w:p>
    <w:p>
      <w:pPr>
        <w:rPr>
          <w:highlight w:val="none"/>
        </w:rPr>
      </w:pPr>
    </w:p>
    <w:p>
      <w:pPr>
        <w:rPr>
          <w:rFonts w:ascii="仿宋" w:hAnsi="仿宋" w:eastAsia="仿宋"/>
          <w:sz w:val="28"/>
          <w:szCs w:val="28"/>
          <w:highlight w:val="none"/>
        </w:rPr>
      </w:pPr>
      <w:r>
        <w:rPr>
          <w:rFonts w:hint="eastAsia" w:cs="Arial"/>
          <w:highlight w:val="none"/>
        </w:rPr>
        <w:t>投标方名称：（公章）</w:t>
      </w:r>
    </w:p>
    <w:p>
      <w:pPr>
        <w:rPr>
          <w:sz w:val="28"/>
          <w:highlight w:val="none"/>
          <w:u w:val="single"/>
        </w:rPr>
      </w:pPr>
      <w:r>
        <w:rPr>
          <w:rFonts w:hint="eastAsia" w:cs="Arial"/>
          <w:highlight w:val="none"/>
        </w:rPr>
        <w:t>招标编号</w:t>
      </w:r>
      <w:r>
        <w:rPr>
          <w:rFonts w:hint="eastAsia" w:ascii="仿宋" w:hAnsi="仿宋" w:eastAsia="仿宋"/>
          <w:sz w:val="28"/>
          <w:szCs w:val="28"/>
          <w:highlight w:val="none"/>
        </w:rPr>
        <w:t>：</w:t>
      </w:r>
    </w:p>
    <w:p>
      <w:pPr>
        <w:rPr>
          <w:highlight w:val="none"/>
          <w:u w:val="single"/>
        </w:rPr>
      </w:pPr>
    </w:p>
    <w:tbl>
      <w:tblPr>
        <w:tblStyle w:val="23"/>
        <w:tblW w:w="5000" w:type="pct"/>
        <w:jc w:val="center"/>
        <w:tblLayout w:type="autofit"/>
        <w:tblCellMar>
          <w:top w:w="0" w:type="dxa"/>
          <w:left w:w="108" w:type="dxa"/>
          <w:bottom w:w="0" w:type="dxa"/>
          <w:right w:w="108" w:type="dxa"/>
        </w:tblCellMar>
      </w:tblPr>
      <w:tblGrid>
        <w:gridCol w:w="1043"/>
        <w:gridCol w:w="5386"/>
        <w:gridCol w:w="2093"/>
      </w:tblGrid>
      <w:tr>
        <w:trPr>
          <w:trHeight w:val="742" w:hRule="atLeast"/>
          <w:tblHeader/>
          <w:jc w:val="center"/>
        </w:trPr>
        <w:tc>
          <w:tcPr>
            <w:tcW w:w="61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316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服务内容</w:t>
            </w:r>
          </w:p>
        </w:tc>
        <w:tc>
          <w:tcPr>
            <w:tcW w:w="1228"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服务报价（元）</w:t>
            </w:r>
          </w:p>
        </w:tc>
      </w:tr>
      <w:tr>
        <w:trPr>
          <w:trHeight w:val="454" w:hRule="atLeast"/>
          <w:jc w:val="center"/>
        </w:trPr>
        <w:tc>
          <w:tcPr>
            <w:tcW w:w="61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31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highlight w:val="none"/>
              </w:rPr>
            </w:pPr>
          </w:p>
        </w:tc>
        <w:tc>
          <w:tcPr>
            <w:tcW w:w="122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Cs w:val="21"/>
                <w:highlight w:val="none"/>
              </w:rPr>
            </w:pPr>
          </w:p>
        </w:tc>
      </w:tr>
      <w:tr>
        <w:trPr>
          <w:trHeight w:val="454" w:hRule="atLeast"/>
          <w:jc w:val="center"/>
        </w:trPr>
        <w:tc>
          <w:tcPr>
            <w:tcW w:w="61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31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highlight w:val="none"/>
              </w:rPr>
            </w:pPr>
          </w:p>
        </w:tc>
        <w:tc>
          <w:tcPr>
            <w:tcW w:w="122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Cs w:val="21"/>
                <w:highlight w:val="none"/>
              </w:rPr>
            </w:pPr>
          </w:p>
        </w:tc>
      </w:tr>
      <w:tr>
        <w:trPr>
          <w:trHeight w:val="454" w:hRule="atLeast"/>
          <w:jc w:val="center"/>
        </w:trPr>
        <w:tc>
          <w:tcPr>
            <w:tcW w:w="61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highlight w:val="none"/>
              </w:rPr>
            </w:pPr>
          </w:p>
        </w:tc>
        <w:tc>
          <w:tcPr>
            <w:tcW w:w="31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合 计</w:t>
            </w:r>
          </w:p>
        </w:tc>
        <w:tc>
          <w:tcPr>
            <w:tcW w:w="12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highlight w:val="none"/>
              </w:rPr>
            </w:pPr>
          </w:p>
        </w:tc>
      </w:tr>
    </w:tbl>
    <w:p>
      <w:pPr>
        <w:rPr>
          <w:highlight w:val="none"/>
          <w:u w:val="single"/>
        </w:rPr>
      </w:pPr>
    </w:p>
    <w:p>
      <w:pPr>
        <w:rPr>
          <w:highlight w:val="none"/>
          <w:u w:val="single"/>
        </w:rPr>
      </w:pPr>
    </w:p>
    <w:p>
      <w:pPr>
        <w:rPr>
          <w:highlight w:val="none"/>
        </w:rPr>
      </w:pPr>
    </w:p>
    <w:p>
      <w:pPr>
        <w:spacing w:after="60"/>
        <w:rPr>
          <w:rFonts w:cs="Arial"/>
          <w:highlight w:val="none"/>
        </w:rPr>
      </w:pPr>
    </w:p>
    <w:p>
      <w:pPr>
        <w:spacing w:after="60"/>
        <w:rPr>
          <w:rFonts w:cs="Arial"/>
          <w:highlight w:val="none"/>
        </w:rPr>
      </w:pPr>
      <w:r>
        <w:rPr>
          <w:rFonts w:hint="eastAsia" w:cs="Arial"/>
          <w:highlight w:val="none"/>
        </w:rPr>
        <w:t>投标人代表签字________________________</w:t>
      </w:r>
    </w:p>
    <w:p>
      <w:pPr>
        <w:spacing w:after="60"/>
        <w:rPr>
          <w:rFonts w:cs="Arial"/>
          <w:highlight w:val="none"/>
        </w:rPr>
      </w:pPr>
    </w:p>
    <w:p>
      <w:pPr>
        <w:spacing w:after="60"/>
        <w:rPr>
          <w:rFonts w:cs="Arial"/>
          <w:highlight w:val="none"/>
        </w:rPr>
      </w:pPr>
    </w:p>
    <w:p>
      <w:pPr>
        <w:spacing w:after="60"/>
        <w:rPr>
          <w:rFonts w:cs="Arial"/>
          <w:highlight w:val="none"/>
        </w:rPr>
      </w:pPr>
      <w:r>
        <w:rPr>
          <w:rFonts w:hint="eastAsia" w:cs="Arial"/>
          <w:highlight w:val="none"/>
        </w:rPr>
        <w:t>投标单位盖章：________________________</w:t>
      </w:r>
    </w:p>
    <w:p>
      <w:pPr>
        <w:rPr>
          <w:rFonts w:cs="Arial"/>
          <w:highlight w:val="none"/>
        </w:rPr>
      </w:pPr>
    </w:p>
    <w:p>
      <w:pPr>
        <w:rPr>
          <w:sz w:val="28"/>
          <w:highlight w:val="none"/>
          <w:u w:val="single"/>
        </w:rPr>
      </w:pPr>
      <w:r>
        <w:rPr>
          <w:rFonts w:hint="eastAsia" w:cs="Arial"/>
          <w:highlight w:val="none"/>
        </w:rPr>
        <w:t>日期</w:t>
      </w:r>
      <w:r>
        <w:rPr>
          <w:rFonts w:hint="eastAsia" w:ascii="仿宋" w:hAnsi="仿宋" w:eastAsia="仿宋"/>
          <w:sz w:val="28"/>
          <w:szCs w:val="28"/>
          <w:highlight w:val="none"/>
        </w:rPr>
        <w:t>：</w:t>
      </w:r>
    </w:p>
    <w:p>
      <w:pPr>
        <w:rPr>
          <w:b/>
          <w:bCs/>
          <w:sz w:val="44"/>
          <w:highlight w:val="none"/>
        </w:rPr>
      </w:pPr>
    </w:p>
    <w:p>
      <w:pPr>
        <w:rPr>
          <w:sz w:val="24"/>
          <w:highlight w:val="none"/>
        </w:rPr>
      </w:pPr>
    </w:p>
    <w:p>
      <w:pPr>
        <w:rPr>
          <w:sz w:val="24"/>
          <w:highlight w:val="none"/>
        </w:rPr>
      </w:pPr>
    </w:p>
    <w:p>
      <w:pPr>
        <w:rPr>
          <w:sz w:val="24"/>
          <w:highlight w:val="none"/>
        </w:rPr>
      </w:pPr>
    </w:p>
    <w:p>
      <w:pPr>
        <w:rPr>
          <w:sz w:val="24"/>
          <w:highlight w:val="none"/>
        </w:rPr>
      </w:pPr>
    </w:p>
    <w:p>
      <w:pPr>
        <w:widowControl/>
        <w:jc w:val="left"/>
        <w:rPr>
          <w:b/>
          <w:bCs/>
          <w:sz w:val="30"/>
          <w:highlight w:val="none"/>
        </w:rPr>
      </w:pPr>
      <w:r>
        <w:rPr>
          <w:sz w:val="24"/>
          <w:highlight w:val="none"/>
        </w:rPr>
        <w:br w:type="page"/>
      </w:r>
    </w:p>
    <w:p>
      <w:pPr>
        <w:jc w:val="center"/>
        <w:outlineLvl w:val="1"/>
        <w:rPr>
          <w:rFonts w:ascii="宋体" w:hAnsi="宋体" w:cs="宋体"/>
          <w:b/>
          <w:bCs/>
          <w:sz w:val="30"/>
          <w:szCs w:val="30"/>
          <w:highlight w:val="none"/>
        </w:rPr>
      </w:pPr>
      <w:bookmarkStart w:id="89" w:name="_Toc51746108"/>
      <w:bookmarkStart w:id="90" w:name="_Toc86918432"/>
      <w:bookmarkStart w:id="91" w:name="_Toc21571"/>
      <w:bookmarkStart w:id="92" w:name="_Toc29030"/>
      <w:bookmarkStart w:id="93" w:name="_Toc10191"/>
      <w:bookmarkStart w:id="94" w:name="_Toc83405805"/>
      <w:r>
        <w:rPr>
          <w:rFonts w:hint="eastAsia" w:ascii="宋体" w:hAnsi="宋体" w:cs="宋体"/>
          <w:b/>
          <w:bCs/>
          <w:sz w:val="30"/>
          <w:szCs w:val="30"/>
          <w:highlight w:val="none"/>
        </w:rPr>
        <w:t>（</w:t>
      </w:r>
      <w:r>
        <w:rPr>
          <w:rFonts w:hint="eastAsia" w:ascii="宋体" w:hAnsi="宋体" w:cs="宋体"/>
          <w:b/>
          <w:bCs/>
          <w:sz w:val="30"/>
          <w:szCs w:val="30"/>
          <w:highlight w:val="none"/>
          <w:lang w:val="en-US" w:eastAsia="zh-CN"/>
        </w:rPr>
        <w:t>四</w:t>
      </w:r>
      <w:r>
        <w:rPr>
          <w:rFonts w:hint="eastAsia" w:ascii="宋体" w:hAnsi="宋体" w:cs="宋体"/>
          <w:b/>
          <w:bCs/>
          <w:sz w:val="30"/>
          <w:szCs w:val="30"/>
          <w:highlight w:val="none"/>
        </w:rPr>
        <w:t>）投标人诚信承诺函</w:t>
      </w:r>
    </w:p>
    <w:p>
      <w:pPr>
        <w:spacing w:line="360" w:lineRule="auto"/>
        <w:jc w:val="left"/>
        <w:rPr>
          <w:rFonts w:ascii="宋体" w:hAnsi="宋体"/>
          <w:szCs w:val="21"/>
          <w:highlight w:val="none"/>
        </w:rPr>
      </w:pPr>
      <w:r>
        <w:rPr>
          <w:rFonts w:hint="eastAsia" w:ascii="宋体" w:hAnsi="宋体"/>
          <w:szCs w:val="21"/>
          <w:highlight w:val="none"/>
        </w:rPr>
        <w:t>致</w:t>
      </w:r>
      <w:r>
        <w:rPr>
          <w:rFonts w:hint="eastAsia" w:ascii="宋体" w:hAnsi="宋体"/>
          <w:kern w:val="0"/>
          <w:szCs w:val="21"/>
          <w:highlight w:val="none"/>
        </w:rPr>
        <w:t>深圳市前海深港现代服务业合作区管理局：</w:t>
      </w:r>
    </w:p>
    <w:p>
      <w:pPr>
        <w:spacing w:line="360" w:lineRule="auto"/>
        <w:ind w:firstLine="420" w:firstLineChars="200"/>
        <w:jc w:val="left"/>
        <w:rPr>
          <w:rFonts w:ascii="宋体" w:hAnsi="宋体"/>
          <w:szCs w:val="21"/>
          <w:highlight w:val="none"/>
        </w:rPr>
      </w:pPr>
      <w:r>
        <w:rPr>
          <w:rFonts w:hint="eastAsia" w:ascii="宋体" w:hAnsi="宋体"/>
          <w:szCs w:val="21"/>
          <w:highlight w:val="none"/>
        </w:rPr>
        <w:t>我单位承诺近三年在采购招标投标活动中，不存在以下情形：</w:t>
      </w:r>
    </w:p>
    <w:p>
      <w:pPr>
        <w:pStyle w:val="49"/>
        <w:tabs>
          <w:tab w:val="left" w:pos="567"/>
        </w:tabs>
        <w:spacing w:line="360" w:lineRule="auto"/>
        <w:ind w:left="420"/>
        <w:rPr>
          <w:b w:val="0"/>
          <w:sz w:val="21"/>
          <w:szCs w:val="21"/>
          <w:highlight w:val="none"/>
        </w:rPr>
      </w:pPr>
      <w:r>
        <w:rPr>
          <w:rFonts w:hint="eastAsia"/>
          <w:b w:val="0"/>
          <w:sz w:val="21"/>
          <w:szCs w:val="21"/>
          <w:highlight w:val="none"/>
        </w:rPr>
        <w:t>（一）被纪检监察部门立案调查，违法违规事实成立的；</w:t>
      </w:r>
    </w:p>
    <w:p>
      <w:pPr>
        <w:pStyle w:val="49"/>
        <w:tabs>
          <w:tab w:val="left" w:pos="567"/>
        </w:tabs>
        <w:spacing w:line="360" w:lineRule="auto"/>
        <w:ind w:left="420"/>
        <w:rPr>
          <w:b w:val="0"/>
          <w:sz w:val="21"/>
          <w:szCs w:val="21"/>
          <w:highlight w:val="none"/>
        </w:rPr>
      </w:pPr>
      <w:r>
        <w:rPr>
          <w:rFonts w:hint="eastAsia"/>
          <w:b w:val="0"/>
          <w:sz w:val="21"/>
          <w:szCs w:val="21"/>
          <w:highlight w:val="none"/>
        </w:rPr>
        <w:t>（二）未按本条例规定签订、履行采购合同，造成严重后果的；</w:t>
      </w:r>
    </w:p>
    <w:p>
      <w:pPr>
        <w:pStyle w:val="49"/>
        <w:tabs>
          <w:tab w:val="left" w:pos="567"/>
        </w:tabs>
        <w:spacing w:line="360" w:lineRule="auto"/>
        <w:ind w:left="420"/>
        <w:rPr>
          <w:b w:val="0"/>
          <w:sz w:val="21"/>
          <w:szCs w:val="21"/>
          <w:highlight w:val="none"/>
        </w:rPr>
      </w:pPr>
      <w:r>
        <w:rPr>
          <w:rFonts w:hint="eastAsia"/>
          <w:b w:val="0"/>
          <w:sz w:val="21"/>
          <w:szCs w:val="21"/>
          <w:highlight w:val="none"/>
        </w:rPr>
        <w:t>（三）隐瞒真实情况，提供虚假资料的；</w:t>
      </w:r>
    </w:p>
    <w:p>
      <w:pPr>
        <w:pStyle w:val="49"/>
        <w:tabs>
          <w:tab w:val="left" w:pos="567"/>
        </w:tabs>
        <w:spacing w:line="360" w:lineRule="auto"/>
        <w:ind w:left="420"/>
        <w:rPr>
          <w:b w:val="0"/>
          <w:sz w:val="21"/>
          <w:szCs w:val="21"/>
          <w:highlight w:val="none"/>
        </w:rPr>
      </w:pPr>
      <w:r>
        <w:rPr>
          <w:rFonts w:hint="eastAsia"/>
          <w:b w:val="0"/>
          <w:sz w:val="21"/>
          <w:szCs w:val="21"/>
          <w:highlight w:val="none"/>
        </w:rPr>
        <w:t>（四）以非法手段排斥其他供应商参与竞争的；</w:t>
      </w:r>
    </w:p>
    <w:p>
      <w:pPr>
        <w:pStyle w:val="49"/>
        <w:tabs>
          <w:tab w:val="left" w:pos="567"/>
        </w:tabs>
        <w:spacing w:line="360" w:lineRule="auto"/>
        <w:ind w:left="420"/>
        <w:rPr>
          <w:b w:val="0"/>
          <w:sz w:val="21"/>
          <w:szCs w:val="21"/>
          <w:highlight w:val="none"/>
        </w:rPr>
      </w:pPr>
      <w:r>
        <w:rPr>
          <w:rFonts w:hint="eastAsia"/>
          <w:b w:val="0"/>
          <w:sz w:val="21"/>
          <w:szCs w:val="21"/>
          <w:highlight w:val="none"/>
        </w:rPr>
        <w:t>（五）与其他采购参加人串通投标的；</w:t>
      </w:r>
    </w:p>
    <w:p>
      <w:pPr>
        <w:pStyle w:val="49"/>
        <w:tabs>
          <w:tab w:val="left" w:pos="567"/>
        </w:tabs>
        <w:spacing w:line="360" w:lineRule="auto"/>
        <w:ind w:left="420"/>
        <w:rPr>
          <w:b w:val="0"/>
          <w:sz w:val="21"/>
          <w:szCs w:val="21"/>
          <w:highlight w:val="none"/>
        </w:rPr>
      </w:pPr>
      <w:r>
        <w:rPr>
          <w:rFonts w:hint="eastAsia"/>
          <w:b w:val="0"/>
          <w:sz w:val="21"/>
          <w:szCs w:val="21"/>
          <w:highlight w:val="none"/>
        </w:rPr>
        <w:t xml:space="preserve">（六）在采购活动中应当回避而未回避的； </w:t>
      </w:r>
    </w:p>
    <w:p>
      <w:pPr>
        <w:pStyle w:val="49"/>
        <w:tabs>
          <w:tab w:val="left" w:pos="567"/>
        </w:tabs>
        <w:spacing w:line="360" w:lineRule="auto"/>
        <w:ind w:left="420"/>
        <w:rPr>
          <w:b w:val="0"/>
          <w:sz w:val="21"/>
          <w:szCs w:val="21"/>
          <w:highlight w:val="none"/>
        </w:rPr>
      </w:pPr>
      <w:r>
        <w:rPr>
          <w:rFonts w:hint="eastAsia"/>
          <w:b w:val="0"/>
          <w:sz w:val="21"/>
          <w:szCs w:val="21"/>
          <w:highlight w:val="none"/>
        </w:rPr>
        <w:t xml:space="preserve">（七）恶意投诉的； </w:t>
      </w:r>
    </w:p>
    <w:p>
      <w:pPr>
        <w:pStyle w:val="49"/>
        <w:tabs>
          <w:tab w:val="left" w:pos="567"/>
        </w:tabs>
        <w:spacing w:line="360" w:lineRule="auto"/>
        <w:ind w:left="420"/>
        <w:rPr>
          <w:b w:val="0"/>
          <w:sz w:val="21"/>
          <w:szCs w:val="21"/>
          <w:highlight w:val="none"/>
        </w:rPr>
      </w:pPr>
      <w:r>
        <w:rPr>
          <w:rFonts w:hint="eastAsia"/>
          <w:b w:val="0"/>
          <w:sz w:val="21"/>
          <w:szCs w:val="21"/>
          <w:highlight w:val="none"/>
        </w:rPr>
        <w:t xml:space="preserve">（八）向采购项目相关人行贿或者提供其他不当利益的； </w:t>
      </w:r>
    </w:p>
    <w:p>
      <w:pPr>
        <w:pStyle w:val="49"/>
        <w:tabs>
          <w:tab w:val="left" w:pos="567"/>
        </w:tabs>
        <w:spacing w:line="360" w:lineRule="auto"/>
        <w:ind w:left="420"/>
        <w:rPr>
          <w:b w:val="0"/>
          <w:sz w:val="21"/>
          <w:szCs w:val="21"/>
          <w:highlight w:val="none"/>
        </w:rPr>
      </w:pPr>
      <w:r>
        <w:rPr>
          <w:rFonts w:hint="eastAsia"/>
          <w:b w:val="0"/>
          <w:sz w:val="21"/>
          <w:szCs w:val="21"/>
          <w:highlight w:val="none"/>
        </w:rPr>
        <w:t>（九）阻碍、抗拒主管部门监督检查的；</w:t>
      </w:r>
    </w:p>
    <w:p>
      <w:pPr>
        <w:pStyle w:val="49"/>
        <w:tabs>
          <w:tab w:val="left" w:pos="567"/>
        </w:tabs>
        <w:spacing w:line="360" w:lineRule="auto"/>
        <w:ind w:left="420"/>
        <w:rPr>
          <w:b w:val="0"/>
          <w:sz w:val="21"/>
          <w:szCs w:val="21"/>
          <w:highlight w:val="none"/>
        </w:rPr>
      </w:pPr>
      <w:r>
        <w:rPr>
          <w:rFonts w:hint="eastAsia"/>
          <w:b w:val="0"/>
          <w:sz w:val="21"/>
          <w:szCs w:val="21"/>
          <w:highlight w:val="none"/>
        </w:rPr>
        <w:t>（十）履约检查不合格或者评价为差的；</w:t>
      </w:r>
    </w:p>
    <w:p>
      <w:pPr>
        <w:spacing w:line="360" w:lineRule="auto"/>
        <w:ind w:firstLine="420" w:firstLineChars="200"/>
        <w:jc w:val="left"/>
        <w:rPr>
          <w:rFonts w:ascii="宋体" w:hAnsi="宋体"/>
          <w:szCs w:val="21"/>
          <w:highlight w:val="none"/>
        </w:rPr>
      </w:pPr>
      <w:r>
        <w:rPr>
          <w:rFonts w:hint="eastAsia" w:ascii="宋体" w:hAnsi="宋体"/>
          <w:szCs w:val="21"/>
          <w:highlight w:val="none"/>
        </w:rPr>
        <w:t>（十一）主管部门认定的其他情形。</w:t>
      </w:r>
    </w:p>
    <w:p>
      <w:pPr>
        <w:spacing w:line="360" w:lineRule="auto"/>
        <w:ind w:firstLine="420" w:firstLineChars="200"/>
        <w:jc w:val="left"/>
        <w:rPr>
          <w:rFonts w:ascii="宋体" w:hAnsi="宋体"/>
          <w:szCs w:val="21"/>
          <w:highlight w:val="none"/>
        </w:rPr>
      </w:pPr>
      <w:r>
        <w:rPr>
          <w:rFonts w:hint="eastAsia" w:ascii="宋体" w:hAnsi="宋体"/>
          <w:szCs w:val="21"/>
          <w:highlight w:val="none"/>
        </w:rPr>
        <w:t>如我司存在以上情形，被有关主管部门按照《深圳经济特区政府采购条例》第57条处罚</w:t>
      </w:r>
      <w:del w:id="0" w:author="tangtangtang" w:date="2023-02-27T14:17:48Z">
        <w:bookmarkStart w:id="136" w:name="_GoBack"/>
        <w:r>
          <w:rPr>
            <w:rFonts w:hint="eastAsia" w:ascii="宋体" w:hAnsi="宋体"/>
            <w:szCs w:val="21"/>
            <w:highlight w:val="none"/>
          </w:rPr>
          <w:delText>、或者</w:delText>
        </w:r>
        <w:bookmarkEnd w:id="136"/>
      </w:del>
      <w:ins w:id="1" w:author="tangtangtang" w:date="2023-02-27T14:17:48Z">
        <w:r>
          <w:rPr>
            <w:rFonts w:hint="default" w:ascii="宋体" w:hAnsi="宋体"/>
            <w:szCs w:val="21"/>
            <w:highlight w:val="none"/>
          </w:rPr>
          <w:t>，或者</w:t>
        </w:r>
      </w:ins>
      <w:r>
        <w:rPr>
          <w:rFonts w:hint="eastAsia" w:ascii="宋体" w:hAnsi="宋体"/>
          <w:szCs w:val="21"/>
          <w:highlight w:val="none"/>
        </w:rPr>
        <w:t>上述行为超出法定追诉时效未被追诉</w:t>
      </w:r>
      <w:del w:id="2" w:author="tangtangtang" w:date="2023-02-27T14:17:48Z">
        <w:r>
          <w:rPr>
            <w:rFonts w:hint="eastAsia" w:ascii="宋体" w:hAnsi="宋体"/>
            <w:szCs w:val="21"/>
            <w:highlight w:val="none"/>
          </w:rPr>
          <w:delText>、或者</w:delText>
        </w:r>
      </w:del>
      <w:ins w:id="3" w:author="tangtangtang" w:date="2023-02-27T14:17:48Z">
        <w:r>
          <w:rPr>
            <w:rFonts w:hint="default" w:ascii="宋体" w:hAnsi="宋体"/>
            <w:szCs w:val="21"/>
            <w:highlight w:val="none"/>
          </w:rPr>
          <w:t>，或者</w:t>
        </w:r>
      </w:ins>
      <w:r>
        <w:rPr>
          <w:rFonts w:hint="eastAsia" w:ascii="宋体" w:hAnsi="宋体"/>
          <w:szCs w:val="21"/>
          <w:highlight w:val="none"/>
        </w:rPr>
        <w:t>上述情节轻微未给予禁止参加政府采购的行政处罚，我司自愿承担虚假应标以及其他一切不利的法律后果。</w:t>
      </w:r>
    </w:p>
    <w:p>
      <w:pPr>
        <w:spacing w:line="360" w:lineRule="auto"/>
        <w:ind w:firstLine="420" w:firstLineChars="200"/>
        <w:jc w:val="left"/>
        <w:rPr>
          <w:rFonts w:ascii="宋体" w:hAnsi="宋体"/>
          <w:szCs w:val="21"/>
          <w:highlight w:val="none"/>
        </w:rPr>
      </w:pPr>
      <w:r>
        <w:rPr>
          <w:rFonts w:hint="eastAsia" w:ascii="宋体" w:hAnsi="宋体"/>
          <w:szCs w:val="21"/>
          <w:highlight w:val="none"/>
        </w:rPr>
        <w:t>特此承诺。</w:t>
      </w:r>
    </w:p>
    <w:p>
      <w:pPr>
        <w:spacing w:line="360" w:lineRule="auto"/>
        <w:jc w:val="right"/>
        <w:rPr>
          <w:rFonts w:ascii="宋体" w:hAnsi="宋体"/>
          <w:szCs w:val="21"/>
          <w:highlight w:val="none"/>
        </w:rPr>
      </w:pPr>
    </w:p>
    <w:p>
      <w:pPr>
        <w:spacing w:line="360" w:lineRule="auto"/>
        <w:jc w:val="right"/>
        <w:rPr>
          <w:rFonts w:ascii="宋体" w:hAnsi="宋体"/>
          <w:szCs w:val="21"/>
          <w:highlight w:val="none"/>
        </w:rPr>
      </w:pPr>
    </w:p>
    <w:p>
      <w:pPr>
        <w:ind w:firstLine="3150" w:firstLineChars="1500"/>
        <w:jc w:val="left"/>
        <w:rPr>
          <w:szCs w:val="21"/>
          <w:highlight w:val="none"/>
        </w:rPr>
      </w:pPr>
      <w:r>
        <w:rPr>
          <w:rFonts w:hint="eastAsia"/>
          <w:szCs w:val="21"/>
          <w:highlight w:val="none"/>
        </w:rPr>
        <w:t>法定代表人或其授权委托人（</w:t>
      </w:r>
      <w:r>
        <w:rPr>
          <w:rFonts w:hint="eastAsia"/>
          <w:b/>
          <w:szCs w:val="21"/>
          <w:highlight w:val="none"/>
        </w:rPr>
        <w:t>签名</w:t>
      </w:r>
      <w:r>
        <w:rPr>
          <w:rFonts w:hint="eastAsia"/>
          <w:szCs w:val="21"/>
          <w:highlight w:val="none"/>
        </w:rPr>
        <w:t>）：</w:t>
      </w:r>
    </w:p>
    <w:p>
      <w:pPr>
        <w:jc w:val="left"/>
        <w:rPr>
          <w:szCs w:val="21"/>
          <w:highlight w:val="none"/>
        </w:rPr>
      </w:pPr>
    </w:p>
    <w:p>
      <w:pPr>
        <w:ind w:firstLine="3150" w:firstLineChars="1500"/>
        <w:jc w:val="left"/>
        <w:rPr>
          <w:szCs w:val="21"/>
          <w:highlight w:val="none"/>
        </w:rPr>
      </w:pPr>
      <w:r>
        <w:rPr>
          <w:rFonts w:hint="eastAsia"/>
          <w:szCs w:val="21"/>
          <w:highlight w:val="none"/>
        </w:rPr>
        <w:t>投标单位（</w:t>
      </w:r>
      <w:r>
        <w:rPr>
          <w:rFonts w:hint="eastAsia"/>
          <w:b/>
          <w:szCs w:val="21"/>
          <w:highlight w:val="none"/>
        </w:rPr>
        <w:t>盖公章</w:t>
      </w:r>
      <w:r>
        <w:rPr>
          <w:rFonts w:hint="eastAsia"/>
          <w:szCs w:val="21"/>
          <w:highlight w:val="none"/>
        </w:rPr>
        <w:t>）：</w:t>
      </w:r>
    </w:p>
    <w:p>
      <w:pPr>
        <w:jc w:val="left"/>
        <w:rPr>
          <w:szCs w:val="21"/>
          <w:highlight w:val="none"/>
        </w:rPr>
      </w:pPr>
    </w:p>
    <w:p>
      <w:pPr>
        <w:jc w:val="right"/>
        <w:rPr>
          <w:szCs w:val="21"/>
          <w:highlight w:val="none"/>
        </w:rPr>
      </w:pPr>
      <w:r>
        <w:rPr>
          <w:rFonts w:hint="eastAsia"/>
          <w:szCs w:val="21"/>
          <w:highlight w:val="none"/>
        </w:rPr>
        <w:t>日期：年月日</w:t>
      </w:r>
    </w:p>
    <w:p>
      <w:pPr>
        <w:rPr>
          <w:szCs w:val="21"/>
          <w:highlight w:val="none"/>
        </w:rPr>
      </w:pPr>
      <w:r>
        <w:rPr>
          <w:rFonts w:hint="eastAsia"/>
          <w:szCs w:val="21"/>
          <w:highlight w:val="none"/>
        </w:rPr>
        <w:br w:type="page"/>
      </w:r>
    </w:p>
    <w:p>
      <w:pPr>
        <w:jc w:val="right"/>
        <w:rPr>
          <w:szCs w:val="21"/>
          <w:highlight w:val="none"/>
        </w:rPr>
      </w:pPr>
    </w:p>
    <w:p/>
    <w:p>
      <w:pPr>
        <w:jc w:val="center"/>
        <w:outlineLvl w:val="1"/>
        <w:rPr>
          <w:rFonts w:ascii="宋体" w:hAnsi="宋体" w:cs="宋体"/>
          <w:b/>
          <w:bCs/>
          <w:sz w:val="30"/>
          <w:szCs w:val="30"/>
          <w:highlight w:val="none"/>
        </w:rPr>
      </w:pPr>
      <w:r>
        <w:rPr>
          <w:rFonts w:hint="eastAsia" w:ascii="宋体" w:hAnsi="宋体" w:cs="宋体"/>
          <w:b/>
          <w:bCs/>
          <w:sz w:val="30"/>
          <w:szCs w:val="30"/>
          <w:highlight w:val="none"/>
        </w:rPr>
        <w:t>（</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）用户需求响应表</w:t>
      </w:r>
    </w:p>
    <w:p>
      <w:pPr>
        <w:rPr>
          <w:highlight w:val="none"/>
        </w:rPr>
      </w:pPr>
      <w:r>
        <w:rPr>
          <w:rFonts w:hint="eastAsia"/>
          <w:highlight w:val="none"/>
        </w:rPr>
        <w:t>投标人应按照招标文件要求，根据“用户需求书”内容作出全面响应（按第五章货物或服务要求和商务条件逐条响应，包括技术和商务的所有内容）。对必须满足的内容，必须完全满足。对响应有差异的，则说明差异的内容。</w:t>
      </w:r>
    </w:p>
    <w:p>
      <w:pPr>
        <w:rPr>
          <w:highlight w:val="none"/>
        </w:rPr>
      </w:pPr>
    </w:p>
    <w:p>
      <w:pPr>
        <w:pStyle w:val="45"/>
        <w:rPr>
          <w:rFonts w:hAnsi="宋体" w:cs="宋体"/>
          <w:highlight w:val="none"/>
        </w:rPr>
      </w:pPr>
      <w:r>
        <w:rPr>
          <w:rFonts w:hint="eastAsia" w:hAnsi="宋体" w:cs="宋体"/>
          <w:highlight w:val="none"/>
        </w:rPr>
        <w:t>用户需求响应表</w:t>
      </w:r>
    </w:p>
    <w:p>
      <w:pPr>
        <w:rPr>
          <w:rFonts w:ascii="宋体" w:hAnsi="宋体" w:cs="宋体"/>
          <w:highlight w:val="none"/>
        </w:rPr>
      </w:pPr>
      <w:r>
        <w:rPr>
          <w:rFonts w:hint="eastAsia" w:ascii="宋体" w:hAnsi="宋体" w:cs="宋体"/>
          <w:bCs/>
          <w:highlight w:val="none"/>
        </w:rPr>
        <w:t>招标编号：</w:t>
      </w:r>
    </w:p>
    <w:p>
      <w:pPr>
        <w:spacing w:line="360" w:lineRule="auto"/>
        <w:ind w:left="618" w:hanging="618"/>
        <w:rPr>
          <w:rFonts w:ascii="宋体" w:hAnsi="宋体" w:cs="宋体"/>
          <w:bCs/>
          <w:highlight w:val="none"/>
        </w:rPr>
      </w:pPr>
      <w:r>
        <w:rPr>
          <w:rFonts w:hint="eastAsia" w:ascii="宋体" w:hAnsi="宋体" w:cs="宋体"/>
          <w:highlight w:val="none"/>
        </w:rPr>
        <w:t>[说明]投标人应对照招标文件要求与投标的实际情况对招标文件中“用户需求书”的条款内容作全面响应</w:t>
      </w:r>
      <w:r>
        <w:rPr>
          <w:rFonts w:hint="eastAsia" w:ascii="宋体" w:hAnsi="宋体" w:cs="宋体"/>
          <w:b/>
          <w:bCs/>
          <w:highlight w:val="none"/>
        </w:rPr>
        <w:t>（按第五章技术要求和商务要求逐条响应，包括技术和商务的所有内容）</w:t>
      </w:r>
      <w:r>
        <w:rPr>
          <w:rFonts w:hint="eastAsia" w:ascii="宋体" w:hAnsi="宋体" w:cs="宋体"/>
          <w:highlight w:val="none"/>
        </w:rPr>
        <w:t>。</w:t>
      </w:r>
    </w:p>
    <w:tbl>
      <w:tblPr>
        <w:tblStyle w:val="23"/>
        <w:tblW w:w="9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2"/>
        <w:gridCol w:w="5563"/>
        <w:gridCol w:w="1581"/>
        <w:gridCol w:w="12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29" w:hRule="atLeast"/>
          <w:jc w:val="center"/>
        </w:trPr>
        <w:tc>
          <w:tcPr>
            <w:tcW w:w="582" w:type="dxa"/>
            <w:shd w:val="clear" w:color="auto" w:fill="EEECE1"/>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5563" w:type="dxa"/>
            <w:shd w:val="clear" w:color="auto" w:fill="EEECE1"/>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招标文件条款描述</w:t>
            </w:r>
          </w:p>
        </w:tc>
        <w:tc>
          <w:tcPr>
            <w:tcW w:w="1581" w:type="dxa"/>
            <w:shd w:val="clear" w:color="auto" w:fill="EEECE1"/>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投标人响应描述</w:t>
            </w:r>
          </w:p>
        </w:tc>
        <w:tc>
          <w:tcPr>
            <w:tcW w:w="1289" w:type="dxa"/>
            <w:shd w:val="clear" w:color="auto" w:fill="EEECE1"/>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偏离情况说明</w:t>
            </w:r>
          </w:p>
          <w:p>
            <w:pP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10" w:hRule="atLeast"/>
          <w:jc w:val="center"/>
        </w:trPr>
        <w:tc>
          <w:tcPr>
            <w:tcW w:w="582" w:type="dxa"/>
            <w:vAlign w:val="center"/>
          </w:tcPr>
          <w:p>
            <w:pPr>
              <w:numPr>
                <w:ilvl w:val="0"/>
                <w:numId w:val="2"/>
              </w:numPr>
              <w:ind w:left="0" w:firstLine="0"/>
              <w:rPr>
                <w:rFonts w:ascii="宋体" w:hAnsi="宋体" w:cs="宋体"/>
                <w:color w:val="000000" w:themeColor="text1"/>
                <w:szCs w:val="21"/>
                <w:highlight w:val="none"/>
                <w14:textFill>
                  <w14:solidFill>
                    <w14:schemeClr w14:val="tx1"/>
                  </w14:solidFill>
                </w14:textFill>
              </w:rPr>
            </w:pPr>
          </w:p>
        </w:tc>
        <w:tc>
          <w:tcPr>
            <w:tcW w:w="5563" w:type="dxa"/>
            <w:vAlign w:val="center"/>
          </w:tcPr>
          <w:p>
            <w:pPr>
              <w:adjustRightInd w:val="0"/>
              <w:snapToGrid w:val="0"/>
              <w:spacing w:line="360" w:lineRule="auto"/>
              <w:ind w:firstLine="422" w:firstLineChars="200"/>
              <w:outlineLvl w:val="1"/>
              <w:rPr>
                <w:rFonts w:hint="eastAsia" w:ascii="宋体" w:hAnsi="宋体" w:eastAsia="宋体" w:cs="宋体"/>
                <w:b/>
                <w:kern w:val="0"/>
                <w:szCs w:val="21"/>
                <w:highlight w:val="none"/>
                <w:lang w:val="en-US" w:eastAsia="zh-CN"/>
              </w:rPr>
            </w:pPr>
            <w:r>
              <w:rPr>
                <w:rFonts w:hint="eastAsia" w:ascii="宋体" w:hAnsi="宋体" w:cs="宋体"/>
                <w:b/>
                <w:kern w:val="0"/>
                <w:szCs w:val="21"/>
                <w:highlight w:val="none"/>
              </w:rPr>
              <w:t>一、项目</w:t>
            </w:r>
            <w:r>
              <w:rPr>
                <w:rFonts w:hint="eastAsia" w:ascii="宋体" w:hAnsi="宋体" w:cs="宋体"/>
                <w:b/>
                <w:kern w:val="0"/>
                <w:szCs w:val="21"/>
                <w:highlight w:val="none"/>
                <w:lang w:val="en-US" w:eastAsia="zh-CN"/>
              </w:rPr>
              <w:t>背景</w:t>
            </w:r>
          </w:p>
          <w:p>
            <w:pPr>
              <w:widowControl/>
              <w:spacing w:line="360" w:lineRule="auto"/>
              <w:ind w:firstLine="420" w:firstLineChars="200"/>
              <w:rPr>
                <w:rFonts w:ascii="宋体" w:hAnsi="宋体" w:cs="宋体"/>
                <w:color w:val="0000FF"/>
                <w:szCs w:val="21"/>
                <w:highlight w:val="none"/>
              </w:rPr>
            </w:pPr>
            <w:r>
              <w:rPr>
                <w:rFonts w:hint="eastAsia" w:ascii="宋体" w:hAnsi="宋体" w:cs="宋体"/>
                <w:szCs w:val="21"/>
                <w:highlight w:val="none"/>
              </w:rPr>
              <w:t>根据《深圳前海深港现代服务业合作区促进企业回归办公用房租金补贴办法》（深前海规〔2019〕8号）和《深圳前海深港现代服务业合作区促进产业集聚办公用房资金补贴办法》（深前海规〔2021〕5号）规定，前海管理局需委托第三方专业机构评估项目市场评估价格。为掌握前海租金政策的实施效果，前海管理局拟委托第三方机构开展租金政策评估。</w:t>
            </w:r>
          </w:p>
          <w:p>
            <w:pPr>
              <w:adjustRightInd w:val="0"/>
              <w:snapToGrid w:val="0"/>
              <w:spacing w:line="360" w:lineRule="auto"/>
              <w:ind w:firstLine="422" w:firstLineChars="200"/>
              <w:outlineLvl w:val="1"/>
              <w:rPr>
                <w:rFonts w:ascii="宋体" w:hAnsi="宋体" w:cs="宋体"/>
                <w:b/>
                <w:kern w:val="0"/>
                <w:szCs w:val="21"/>
                <w:highlight w:val="none"/>
              </w:rPr>
            </w:pPr>
            <w:r>
              <w:rPr>
                <w:rFonts w:hint="eastAsia" w:ascii="宋体" w:hAnsi="宋体" w:cs="宋体"/>
                <w:b/>
                <w:kern w:val="0"/>
                <w:szCs w:val="21"/>
                <w:highlight w:val="none"/>
              </w:rPr>
              <w:t>二、技术要求</w:t>
            </w:r>
          </w:p>
          <w:p>
            <w:pPr>
              <w:shd w:val="clear" w:color="auto" w:fill="auto"/>
              <w:spacing w:line="360" w:lineRule="auto"/>
              <w:ind w:firstLine="420"/>
              <w:rPr>
                <w:rFonts w:hint="eastAsia" w:ascii="Calibri" w:hAnsi="Calibri" w:cs="Times New Roman"/>
                <w:b/>
                <w:bCs w:val="0"/>
                <w:szCs w:val="21"/>
                <w:highlight w:val="none"/>
                <w:lang w:val="en-US" w:eastAsia="zh-CN"/>
              </w:rPr>
            </w:pPr>
            <w:r>
              <w:rPr>
                <w:rFonts w:hint="eastAsia"/>
                <w:b/>
                <w:bCs w:val="0"/>
                <w:szCs w:val="21"/>
                <w:highlight w:val="none"/>
              </w:rPr>
              <w:t>（</w:t>
            </w:r>
            <w:r>
              <w:rPr>
                <w:rFonts w:hint="eastAsia" w:ascii="Calibri" w:hAnsi="Calibri" w:eastAsia="宋体" w:cs="Times New Roman"/>
                <w:b/>
                <w:bCs w:val="0"/>
                <w:szCs w:val="21"/>
                <w:highlight w:val="none"/>
              </w:rPr>
              <w:t>一）</w:t>
            </w:r>
            <w:r>
              <w:rPr>
                <w:rFonts w:hint="eastAsia" w:ascii="Calibri" w:hAnsi="Calibri" w:cs="Times New Roman"/>
                <w:b/>
                <w:bCs w:val="0"/>
                <w:szCs w:val="21"/>
                <w:highlight w:val="none"/>
                <w:lang w:val="en-US" w:eastAsia="zh-CN"/>
              </w:rPr>
              <w:t>项目目标</w:t>
            </w:r>
          </w:p>
          <w:p>
            <w:pPr>
              <w:pStyle w:val="2"/>
              <w:ind w:firstLine="420" w:firstLineChars="200"/>
              <w:rPr>
                <w:rFonts w:hint="eastAsia" w:ascii="Calibri" w:hAnsi="Calibri" w:eastAsia="宋体" w:cs="Times New Roman"/>
                <w:kern w:val="2"/>
                <w:sz w:val="21"/>
                <w:szCs w:val="21"/>
                <w:highlight w:val="none"/>
                <w:lang w:val="en-US" w:eastAsia="zh-CN" w:bidi="ar-SA"/>
              </w:rPr>
            </w:pPr>
            <w:r>
              <w:rPr>
                <w:rFonts w:hint="default" w:ascii="Calibri" w:hAnsi="Calibri" w:eastAsia="宋体" w:cs="Times New Roman"/>
                <w:kern w:val="2"/>
                <w:sz w:val="21"/>
                <w:szCs w:val="21"/>
                <w:highlight w:val="none"/>
                <w:lang w:val="en-US" w:eastAsia="zh-CN" w:bidi="ar-SA"/>
              </w:rPr>
              <w:t>对前海合作区内的办公用房项目进行2021年度租金价格评估，并负责解释、答疑。对前海租金政策实施和出台的效果进行评估，分析政策的出台和实施对前海办公用房空置率、租金价格等方面的影响</w:t>
            </w:r>
            <w:r>
              <w:rPr>
                <w:rFonts w:hint="eastAsia" w:ascii="Calibri" w:hAnsi="Calibri" w:cs="Times New Roman"/>
                <w:kern w:val="2"/>
                <w:sz w:val="21"/>
                <w:szCs w:val="21"/>
                <w:highlight w:val="none"/>
                <w:lang w:val="en-US" w:eastAsia="zh-CN" w:bidi="ar-SA"/>
              </w:rPr>
              <w:t>。</w:t>
            </w:r>
          </w:p>
          <w:p>
            <w:pPr>
              <w:shd w:val="clear" w:color="auto" w:fill="auto"/>
              <w:spacing w:line="360" w:lineRule="auto"/>
              <w:ind w:firstLine="420"/>
              <w:rPr>
                <w:rFonts w:hint="eastAsia" w:ascii="Calibri" w:hAnsi="Calibri" w:eastAsia="宋体" w:cs="Times New Roman"/>
                <w:b/>
                <w:bCs w:val="0"/>
                <w:szCs w:val="21"/>
                <w:highlight w:val="none"/>
              </w:rPr>
            </w:pPr>
            <w:r>
              <w:rPr>
                <w:rFonts w:hint="eastAsia" w:ascii="Calibri" w:hAnsi="Calibri" w:cs="Times New Roman"/>
                <w:b/>
                <w:bCs w:val="0"/>
                <w:szCs w:val="21"/>
                <w:highlight w:val="none"/>
                <w:lang w:val="en-US" w:eastAsia="zh-CN"/>
              </w:rPr>
              <w:t>（二）</w:t>
            </w:r>
            <w:r>
              <w:rPr>
                <w:rFonts w:hint="eastAsia" w:ascii="Calibri" w:hAnsi="Calibri" w:eastAsia="宋体" w:cs="Times New Roman"/>
                <w:b/>
                <w:bCs w:val="0"/>
                <w:szCs w:val="21"/>
                <w:highlight w:val="none"/>
              </w:rPr>
              <w:t>办公用房租金评估</w:t>
            </w:r>
          </w:p>
          <w:p>
            <w:pPr>
              <w:shd w:val="clear" w:color="auto" w:fill="auto"/>
              <w:spacing w:line="360" w:lineRule="auto"/>
              <w:ind w:firstLine="420"/>
              <w:rPr>
                <w:rFonts w:hint="default" w:ascii="Calibri" w:hAnsi="Calibri" w:eastAsia="宋体" w:cs="Times New Roman"/>
                <w:szCs w:val="21"/>
                <w:highlight w:val="none"/>
              </w:rPr>
            </w:pPr>
            <w:r>
              <w:rPr>
                <w:rFonts w:hint="default" w:ascii="Calibri" w:hAnsi="Calibri" w:eastAsia="宋体" w:cs="Times New Roman"/>
                <w:szCs w:val="21"/>
                <w:highlight w:val="none"/>
              </w:rPr>
              <w:t>对前海合作区内需评估的办公用房项目进行物业查勘、市场调研，并科学合理建立评估模型；以项目为单位，根据项目实际情况，评估项目市场租金，并出具市场评估租金报告。公开发布相关项目市场评估租金，并根据需要进行解释、答疑。</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拟对2021年前海合作区原区域（15平方公里）内办公用房租金价格进行评估，主要涉及前海卓越金融中心、基金小镇、华润金融中心、景兴海上广场、景兴海上大厦、弘毅大厦、前海大厦、企业公馆、创新中心、嘉里中心、世茂金融中心、信利康大厦、香江金融大厦、香缤大厦、自贸大厦、招商海运中心、顺丰总部大厦、文创小镇一期、招商前海经贸中心、深国际前海颐都大厦等楼宇。</w:t>
            </w:r>
          </w:p>
          <w:p>
            <w:pPr>
              <w:shd w:val="clear" w:color="auto" w:fill="auto"/>
              <w:spacing w:line="360" w:lineRule="auto"/>
              <w:ind w:firstLine="420"/>
              <w:rPr>
                <w:rFonts w:hint="eastAsia" w:ascii="Calibri" w:hAnsi="Calibri" w:eastAsia="宋体" w:cs="Times New Roman"/>
                <w:b/>
                <w:bCs/>
                <w:szCs w:val="21"/>
                <w:highlight w:val="none"/>
              </w:rPr>
            </w:pPr>
            <w:r>
              <w:rPr>
                <w:rFonts w:hint="eastAsia" w:ascii="Calibri" w:hAnsi="Calibri" w:eastAsia="宋体" w:cs="Times New Roman"/>
                <w:b/>
                <w:bCs/>
                <w:szCs w:val="21"/>
                <w:highlight w:val="none"/>
              </w:rPr>
              <w:t>（</w:t>
            </w:r>
            <w:r>
              <w:rPr>
                <w:rFonts w:hint="eastAsia" w:ascii="Calibri" w:hAnsi="Calibri" w:cs="Times New Roman"/>
                <w:b/>
                <w:bCs/>
                <w:szCs w:val="21"/>
                <w:highlight w:val="none"/>
                <w:lang w:val="en-US" w:eastAsia="zh-CN"/>
              </w:rPr>
              <w:t>三</w:t>
            </w:r>
            <w:r>
              <w:rPr>
                <w:rFonts w:hint="eastAsia" w:ascii="Calibri" w:hAnsi="Calibri" w:eastAsia="宋体" w:cs="Times New Roman"/>
                <w:b/>
                <w:bCs/>
                <w:szCs w:val="21"/>
                <w:highlight w:val="none"/>
              </w:rPr>
              <w:t>）政策评估</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对前海租金政策评估内容包括但不限于：</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1.通过横向、纵向对比，分析租金政策出台前后，对租赁市场供需情况影响，对写字楼空置率的影响；分析前海近三年来办公用房租金水平的变动情况；</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2.通过模拟分析，如果没有租金补贴政策，前海需通过多长时间达到目前的入驻率，通过数据分析租金补贴政策出台后的效果；</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3.通过对企业、行业协会、中介等进行调研访谈，分析前海办公用房政策的兑现程度、效益产出等有效性评估，并收集各方有效反馈意见；</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4.梳理国内租金补贴政策，选取与前海区域位置、发展定位等相似案例，进行比较分析，客观地得出前海办公用房租金政策的效应；</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5.通过实地调研，新政策对前海办公用房租金的影响，了解社会公众对新旧政策的意见，归类总结提出相关政策建议。</w:t>
            </w:r>
          </w:p>
          <w:p>
            <w:pPr>
              <w:ind w:firstLine="422" w:firstLineChars="200"/>
              <w:rPr>
                <w:rFonts w:hint="eastAsia"/>
                <w:b/>
                <w:szCs w:val="21"/>
                <w:highlight w:val="none"/>
              </w:rPr>
            </w:pPr>
            <w:r>
              <w:rPr>
                <w:rFonts w:hint="eastAsia"/>
                <w:b/>
                <w:szCs w:val="21"/>
                <w:highlight w:val="none"/>
                <w:lang w:eastAsia="zh-CN"/>
              </w:rPr>
              <w:t>（</w:t>
            </w:r>
            <w:r>
              <w:rPr>
                <w:rFonts w:hint="eastAsia"/>
                <w:b/>
                <w:szCs w:val="21"/>
                <w:highlight w:val="none"/>
                <w:lang w:val="en-US" w:eastAsia="zh-CN"/>
              </w:rPr>
              <w:t>四</w:t>
            </w:r>
            <w:r>
              <w:rPr>
                <w:rFonts w:hint="eastAsia"/>
                <w:b/>
                <w:szCs w:val="21"/>
                <w:highlight w:val="none"/>
                <w:lang w:eastAsia="zh-CN"/>
              </w:rPr>
              <w:t>）</w:t>
            </w:r>
            <w:r>
              <w:rPr>
                <w:rFonts w:hint="eastAsia"/>
                <w:b/>
                <w:szCs w:val="21"/>
                <w:highlight w:val="none"/>
              </w:rPr>
              <w:t>项目人员要求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1.人员配备要求：供应商应指派</w:t>
            </w:r>
            <w:r>
              <w:rPr>
                <w:rFonts w:hint="default" w:ascii="Calibri" w:hAnsi="Calibri" w:eastAsia="宋体" w:cs="Times New Roman"/>
                <w:szCs w:val="21"/>
                <w:highlight w:val="none"/>
                <w:lang w:eastAsia="zh-CN"/>
              </w:rPr>
              <w:t>5</w:t>
            </w:r>
            <w:r>
              <w:rPr>
                <w:rFonts w:hint="eastAsia" w:ascii="Calibri" w:hAnsi="Calibri" w:eastAsia="宋体" w:cs="Times New Roman"/>
                <w:szCs w:val="21"/>
                <w:highlight w:val="none"/>
                <w:lang w:val="en-US" w:eastAsia="zh-CN"/>
              </w:rPr>
              <w:t>名团队</w:t>
            </w:r>
            <w:r>
              <w:rPr>
                <w:rFonts w:hint="eastAsia" w:ascii="Calibri" w:hAnsi="Calibri" w:eastAsia="宋体" w:cs="Times New Roman"/>
                <w:szCs w:val="21"/>
                <w:highlight w:val="none"/>
              </w:rPr>
              <w:t>人员，配合采购方开展项目全过程管理。</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2.人员资质要求：身体健康，沟通能力强，有责任心，有较高的职业素养和敬业精神。</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3.在服务期限内，项目人员应相对稳定，中标方不得随意更换项目负责人和项目组成员，及减少项目团队人数，或降低项目团队标准。若团队成员更换，须经采购方书面同意后方可更换。</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4.中标方应在合同签订后5个工作日内按采购方要求安排人员到岗开展服务工作，否则，每超期1天处以5000元/人次</w:t>
            </w:r>
            <w:r>
              <w:rPr>
                <w:rFonts w:hint="eastAsia" w:ascii="Calibri" w:hAnsi="Calibri" w:eastAsia="宋体" w:cs="Times New Roman"/>
                <w:szCs w:val="21"/>
                <w:highlight w:val="none"/>
                <w:lang w:val="en-US" w:eastAsia="zh-CN"/>
              </w:rPr>
              <w:t>/</w:t>
            </w:r>
            <w:r>
              <w:rPr>
                <w:rFonts w:hint="eastAsia" w:ascii="Calibri" w:hAnsi="Calibri" w:eastAsia="宋体" w:cs="Times New Roman"/>
                <w:szCs w:val="21"/>
                <w:highlight w:val="none"/>
              </w:rPr>
              <w:t>日的违约金；若超期5天仍未按招标方要求安排人员到岗开展服务工作，采购方有权解除合同。若采购方根据工作需求提出更换团队服务人员的，中标方在10个工作日内未更换或拒不更换人员，采购方有权解除合同。</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5.本项目服务团队人员不得有下列情形之一：</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5.1受过刑事处罚或者涉嫌违法犯罪尚未查清的。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5.2曾被行政拘留或者有吸毒史的。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5.3因违规违纪被机关、事业单位开除、辞退的。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5.4有个人不良信用记录的。</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5.5曾参加过非法组织、邪教组织或危害国家安全活动的。</w:t>
            </w:r>
          </w:p>
          <w:p>
            <w:pPr>
              <w:ind w:firstLine="211" w:firstLineChars="100"/>
              <w:rPr>
                <w:rFonts w:hint="eastAsia" w:ascii="宋体" w:hAnsi="宋体"/>
                <w:b/>
                <w:szCs w:val="21"/>
                <w:highlight w:val="none"/>
              </w:rPr>
            </w:pPr>
            <w:r>
              <w:rPr>
                <w:rFonts w:hint="eastAsia" w:ascii="宋体" w:hAnsi="宋体"/>
                <w:b/>
                <w:szCs w:val="21"/>
                <w:highlight w:val="none"/>
                <w:lang w:eastAsia="zh-CN"/>
              </w:rPr>
              <w:t>（</w:t>
            </w:r>
            <w:r>
              <w:rPr>
                <w:rFonts w:hint="eastAsia" w:ascii="宋体" w:hAnsi="宋体"/>
                <w:b/>
                <w:szCs w:val="21"/>
                <w:highlight w:val="none"/>
                <w:lang w:val="en-US" w:eastAsia="zh-CN"/>
              </w:rPr>
              <w:t>五</w:t>
            </w:r>
            <w:r>
              <w:rPr>
                <w:rFonts w:hint="eastAsia" w:ascii="宋体" w:hAnsi="宋体"/>
                <w:b/>
                <w:szCs w:val="21"/>
                <w:highlight w:val="none"/>
                <w:lang w:eastAsia="zh-CN"/>
              </w:rPr>
              <w:t>）</w:t>
            </w:r>
            <w:r>
              <w:rPr>
                <w:rFonts w:hint="eastAsia" w:ascii="宋体" w:hAnsi="宋体"/>
                <w:b/>
                <w:szCs w:val="21"/>
                <w:highlight w:val="none"/>
              </w:rPr>
              <w:t>项目管理要求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1.中标方应指定一名团队负责人与采购方做好工作业务沟通对接、人员管理工作。</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2.投入项目的团队成员工作时间应与采购方上班时间保持一致，不得无故缺勤，不得违反采购方单位工作纪律。</w:t>
            </w:r>
          </w:p>
          <w:p>
            <w:pPr>
              <w:pStyle w:val="2"/>
              <w:ind w:firstLine="420" w:firstLineChars="200"/>
              <w:rPr>
                <w:rFonts w:hint="eastAsia"/>
                <w:highlight w:val="none"/>
              </w:rPr>
            </w:pPr>
            <w:r>
              <w:rPr>
                <w:rFonts w:hint="eastAsia" w:ascii="Calibri" w:hAnsi="Calibri" w:eastAsia="宋体" w:cs="Times New Roman"/>
                <w:szCs w:val="21"/>
                <w:highlight w:val="none"/>
              </w:rPr>
              <w:t>3.采购方应为派驻人员提供必要的工作条件及设施。</w:t>
            </w:r>
          </w:p>
          <w:p>
            <w:pPr>
              <w:rPr>
                <w:rFonts w:hint="default"/>
                <w:highlight w:val="none"/>
                <w:lang w:val="en-US" w:eastAsia="zh-CN"/>
              </w:rPr>
            </w:pPr>
          </w:p>
          <w:p>
            <w:pPr>
              <w:pStyle w:val="18"/>
              <w:spacing w:before="0" w:beforeAutospacing="0" w:after="0" w:afterAutospacing="0" w:line="360" w:lineRule="auto"/>
              <w:ind w:firstLine="422" w:firstLineChars="200"/>
              <w:jc w:val="both"/>
              <w:outlineLvl w:val="1"/>
              <w:rPr>
                <w:rFonts w:hint="eastAsia"/>
                <w:b/>
                <w:sz w:val="21"/>
                <w:szCs w:val="21"/>
                <w:highlight w:val="none"/>
              </w:rPr>
            </w:pPr>
            <w:r>
              <w:rPr>
                <w:rFonts w:hint="eastAsia"/>
                <w:b/>
                <w:sz w:val="21"/>
                <w:szCs w:val="21"/>
                <w:highlight w:val="none"/>
              </w:rPr>
              <w:t>三、商务要求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（一）服务期限及要求：</w:t>
            </w:r>
          </w:p>
          <w:p>
            <w:pPr>
              <w:shd w:val="clear" w:color="auto" w:fill="auto"/>
              <w:spacing w:line="360" w:lineRule="auto"/>
              <w:ind w:firstLine="420"/>
              <w:rPr>
                <w:rFonts w:hint="eastAsia" w:ascii="Calibri" w:hAnsi="Calibri" w:eastAsia="宋体" w:cs="Times New Roman"/>
                <w:szCs w:val="21"/>
                <w:highlight w:val="none"/>
                <w:lang w:val="en-US" w:eastAsia="zh-CN"/>
              </w:rPr>
            </w:pPr>
            <w:r>
              <w:rPr>
                <w:rFonts w:hint="eastAsia" w:ascii="Calibri" w:hAnsi="Calibri" w:eastAsia="宋体" w:cs="Times New Roman"/>
                <w:szCs w:val="21"/>
                <w:highlight w:val="none"/>
                <w:lang w:val="en-US" w:eastAsia="zh-CN"/>
              </w:rPr>
              <w:t>服务范围为前海合作区内。</w:t>
            </w:r>
          </w:p>
          <w:p>
            <w:pPr>
              <w:shd w:val="clear" w:color="auto" w:fill="auto"/>
              <w:spacing w:line="360" w:lineRule="auto"/>
              <w:ind w:firstLine="420"/>
              <w:rPr>
                <w:rFonts w:hint="default" w:ascii="Calibri" w:hAnsi="Calibri" w:eastAsia="宋体" w:cs="Times New Roman"/>
                <w:szCs w:val="21"/>
                <w:highlight w:val="none"/>
                <w:lang w:val="en-US" w:eastAsia="zh-CN"/>
              </w:rPr>
            </w:pPr>
            <w:r>
              <w:rPr>
                <w:rFonts w:hint="eastAsia" w:ascii="Calibri" w:hAnsi="Calibri" w:eastAsia="宋体" w:cs="Times New Roman"/>
                <w:szCs w:val="21"/>
                <w:highlight w:val="none"/>
                <w:lang w:val="en-US" w:eastAsia="zh-CN"/>
              </w:rPr>
              <w:t>服务期限为：自合同签订之日起一年内。</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（二）项目预算</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本项目招标总价控制为</w:t>
            </w:r>
            <w:r>
              <w:rPr>
                <w:rFonts w:hint="eastAsia" w:ascii="Calibri" w:hAnsi="Calibri" w:eastAsia="宋体" w:cs="Times New Roman"/>
                <w:szCs w:val="21"/>
                <w:highlight w:val="none"/>
                <w:lang w:val="en-US" w:eastAsia="zh-CN"/>
              </w:rPr>
              <w:t>30</w:t>
            </w:r>
            <w:r>
              <w:rPr>
                <w:rFonts w:hint="eastAsia" w:ascii="Calibri" w:hAnsi="Calibri" w:eastAsia="宋体" w:cs="Times New Roman"/>
                <w:szCs w:val="21"/>
                <w:highlight w:val="none"/>
              </w:rPr>
              <w:t>万元，财政性资金100%。</w:t>
            </w:r>
          </w:p>
          <w:p>
            <w:pPr>
              <w:shd w:val="clear" w:color="auto" w:fill="auto"/>
              <w:spacing w:line="360" w:lineRule="auto"/>
              <w:ind w:firstLine="420"/>
              <w:rPr>
                <w:rFonts w:ascii="宋体" w:hAnsi="宋体" w:cs="宋体"/>
                <w:highlight w:val="none"/>
              </w:rPr>
            </w:pPr>
            <w:r>
              <w:rPr>
                <w:rFonts w:hint="eastAsia" w:ascii="Calibri" w:hAnsi="Calibri" w:eastAsia="宋体" w:cs="Times New Roman"/>
                <w:szCs w:val="21"/>
                <w:highlight w:val="none"/>
              </w:rPr>
              <w:t>本次投标为总价包干，投标报价包括了投标人完成本招标项目而发生的全部费用，包括调研费、交通费、中标服务费、各种资料费</w:t>
            </w:r>
            <w:r>
              <w:rPr>
                <w:rFonts w:hint="eastAsia" w:ascii="宋体" w:hAnsi="宋体" w:cs="宋体"/>
                <w:highlight w:val="none"/>
              </w:rPr>
              <w:t>、保险、税金、会议评审、广告宣传、公开展示、公众咨询等所有费用，并提供合同要求的成果文件，以及其它相关服务的全部费用。</w:t>
            </w:r>
          </w:p>
          <w:p>
            <w:pPr>
              <w:pStyle w:val="7"/>
              <w:tabs>
                <w:tab w:val="left" w:pos="4680"/>
              </w:tabs>
              <w:spacing w:line="360" w:lineRule="auto"/>
              <w:rPr>
                <w:rFonts w:ascii="宋体" w:hAnsi="宋体" w:cs="宋体"/>
                <w:highlight w:val="none"/>
              </w:rPr>
            </w:pPr>
            <w:r>
              <w:rPr>
                <w:rFonts w:hint="eastAsia" w:ascii="宋体" w:hAnsi="宋体" w:cs="宋体"/>
                <w:highlight w:val="none"/>
              </w:rPr>
              <w:t>（三）付款方式</w:t>
            </w:r>
          </w:p>
          <w:p>
            <w:pPr>
              <w:pStyle w:val="7"/>
              <w:tabs>
                <w:tab w:val="left" w:pos="4680"/>
              </w:tabs>
              <w:spacing w:line="360" w:lineRule="auto"/>
              <w:rPr>
                <w:rFonts w:ascii="宋体" w:hAnsi="宋体" w:cs="宋体"/>
                <w:highlight w:val="none"/>
              </w:rPr>
            </w:pPr>
            <w:r>
              <w:rPr>
                <w:rFonts w:hint="eastAsia" w:ascii="宋体" w:hAnsi="宋体" w:cs="宋体"/>
                <w:highlight w:val="none"/>
              </w:rPr>
              <w:t>合同价款由采购人分3期付至中标单位指定银行账户，支付比例为30%（签订合同之日起15个工作日内）、50%（乙方完成送审成果，并通过专家评审会评审）、20%（乙方完成最终成果，并完成报批程序）。</w:t>
            </w:r>
          </w:p>
          <w:p>
            <w:pPr>
              <w:ind w:firstLine="422" w:firstLineChars="200"/>
              <w:rPr>
                <w:rFonts w:hint="eastAsia"/>
                <w:b/>
                <w:szCs w:val="21"/>
                <w:highlight w:val="none"/>
              </w:rPr>
            </w:pPr>
            <w:r>
              <w:rPr>
                <w:rFonts w:hint="eastAsia"/>
                <w:b/>
                <w:szCs w:val="21"/>
                <w:highlight w:val="none"/>
                <w:lang w:eastAsia="zh-CN"/>
              </w:rPr>
              <w:t>（</w:t>
            </w:r>
            <w:r>
              <w:rPr>
                <w:rFonts w:hint="eastAsia"/>
                <w:b/>
                <w:szCs w:val="21"/>
                <w:highlight w:val="none"/>
                <w:lang w:val="en-US" w:eastAsia="zh-CN"/>
              </w:rPr>
              <w:t>四</w:t>
            </w:r>
            <w:r>
              <w:rPr>
                <w:rFonts w:hint="eastAsia"/>
                <w:b/>
                <w:szCs w:val="21"/>
                <w:highlight w:val="none"/>
                <w:lang w:eastAsia="zh-CN"/>
              </w:rPr>
              <w:t>）</w:t>
            </w:r>
            <w:r>
              <w:rPr>
                <w:rFonts w:hint="eastAsia"/>
                <w:b/>
                <w:szCs w:val="21"/>
                <w:highlight w:val="none"/>
              </w:rPr>
              <w:t>投标报价要求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1.本项目服务费采用包干制，其报价应包括项目投入成本及其他费用。由企业根据招标文件所提供的资料自行测算投标报价；一经中标，投标报价总价作为中标单位与采购单位签定的合同金额，合同期限内不做调整；</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投标人的报价明显低于其他通过符合性审查投标人的报价，评标委员会认为有可能影响服务质量或者不能诚信履约的，投标人需提供报价合理性说明。投标人补充的书面说明或提供的证明材料仍不能证明其报价合理性的，评标委员会应当做出投标无效认定，不得以扣减得分等方式保留投标人的投标资格。</w:t>
            </w:r>
          </w:p>
          <w:p>
            <w:pPr>
              <w:ind w:firstLine="422" w:firstLineChars="200"/>
              <w:rPr>
                <w:rFonts w:hint="eastAsia"/>
                <w:b/>
                <w:szCs w:val="21"/>
                <w:highlight w:val="none"/>
              </w:rPr>
            </w:pPr>
            <w:r>
              <w:rPr>
                <w:rFonts w:hint="eastAsia"/>
                <w:b/>
                <w:szCs w:val="21"/>
                <w:highlight w:val="none"/>
                <w:lang w:val="en-US" w:eastAsia="zh-CN"/>
              </w:rPr>
              <w:t>（五）</w:t>
            </w:r>
            <w:r>
              <w:rPr>
                <w:rFonts w:hint="eastAsia"/>
                <w:b/>
                <w:szCs w:val="21"/>
                <w:highlight w:val="none"/>
              </w:rPr>
              <w:t>项目管理及进度要求</w:t>
            </w:r>
          </w:p>
          <w:p>
            <w:pPr>
              <w:shd w:val="clear" w:color="auto" w:fill="auto"/>
              <w:spacing w:line="360" w:lineRule="auto"/>
              <w:ind w:firstLine="420"/>
              <w:rPr>
                <w:rFonts w:hint="eastAsia" w:ascii="Calibri" w:hAnsi="Calibri" w:eastAsia="宋体" w:cs="Times New Roman"/>
                <w:szCs w:val="21"/>
                <w:highlight w:val="none"/>
              </w:rPr>
            </w:pPr>
            <w:r>
              <w:rPr>
                <w:rFonts w:hint="eastAsia"/>
                <w:szCs w:val="21"/>
                <w:highlight w:val="none"/>
              </w:rPr>
              <w:t>1</w:t>
            </w:r>
            <w:r>
              <w:rPr>
                <w:rFonts w:hint="eastAsia" w:ascii="Calibri" w:hAnsi="Calibri" w:eastAsia="宋体" w:cs="Times New Roman"/>
                <w:szCs w:val="21"/>
                <w:highlight w:val="none"/>
              </w:rPr>
              <w:t>.组织实施要求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为确保本次项目投标工作管理规范、实施有力，投标方应成立项目组，按采购人要求完成各项工作。</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2.项目服务期限要求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本项目合同服务期限为</w:t>
            </w:r>
            <w:r>
              <w:rPr>
                <w:rFonts w:hint="eastAsia" w:ascii="Calibri" w:hAnsi="Calibri" w:eastAsia="宋体" w:cs="Times New Roman"/>
                <w:szCs w:val="21"/>
                <w:highlight w:val="none"/>
                <w:lang w:val="en-US" w:eastAsia="zh-CN"/>
              </w:rPr>
              <w:t>自签订合同之日起一年，以合同签订时间为准</w:t>
            </w:r>
            <w:r>
              <w:rPr>
                <w:rFonts w:hint="eastAsia" w:ascii="Calibri" w:hAnsi="Calibri" w:eastAsia="宋体" w:cs="Times New Roman"/>
                <w:szCs w:val="21"/>
                <w:highlight w:val="none"/>
              </w:rPr>
              <w:t>。</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工作时间：工作日上午9:00-12:00，下午2:00-6:00。若有紧急工作需安排加班，由中标方负责安排协调，不另计费用。</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3.项目人员安排要求</w:t>
            </w:r>
          </w:p>
          <w:p>
            <w:pPr>
              <w:shd w:val="clear" w:color="auto" w:fill="auto"/>
              <w:spacing w:line="360" w:lineRule="auto"/>
              <w:ind w:firstLine="420"/>
              <w:rPr>
                <w:rFonts w:hint="eastAsia" w:ascii="Calibri" w:hAnsi="Calibri" w:eastAsia="宋体" w:cs="Times New Roman"/>
                <w:szCs w:val="21"/>
                <w:highlight w:val="none"/>
              </w:rPr>
            </w:pPr>
            <w:r>
              <w:rPr>
                <w:rFonts w:hint="eastAsia" w:ascii="Calibri" w:hAnsi="Calibri" w:eastAsia="宋体" w:cs="Times New Roman"/>
                <w:szCs w:val="21"/>
                <w:highlight w:val="none"/>
              </w:rPr>
              <w:t>中标方不得随意更换项目负责人和项目组成员，如不经采购单位同意擅自更换，则采购单位有权解除合同或根据情节对其处以5000元/次的罚款。</w:t>
            </w:r>
          </w:p>
          <w:p>
            <w:pPr>
              <w:numPr>
                <w:ilvl w:val="0"/>
                <w:numId w:val="0"/>
              </w:numPr>
              <w:ind w:firstLine="422" w:firstLineChars="200"/>
              <w:rPr>
                <w:rFonts w:hint="eastAsia"/>
                <w:b/>
                <w:szCs w:val="21"/>
                <w:highlight w:val="none"/>
              </w:rPr>
            </w:pPr>
            <w:r>
              <w:rPr>
                <w:rFonts w:hint="eastAsia"/>
                <w:b/>
                <w:szCs w:val="21"/>
                <w:highlight w:val="none"/>
                <w:lang w:val="en-US" w:eastAsia="zh-CN"/>
              </w:rPr>
              <w:t>（六）</w:t>
            </w:r>
            <w:r>
              <w:rPr>
                <w:rFonts w:hint="eastAsia"/>
                <w:b/>
                <w:szCs w:val="21"/>
                <w:highlight w:val="none"/>
              </w:rPr>
              <w:t>项目</w:t>
            </w:r>
            <w:r>
              <w:rPr>
                <w:rFonts w:hint="eastAsia"/>
                <w:b/>
                <w:szCs w:val="21"/>
                <w:highlight w:val="none"/>
                <w:lang w:val="en-US" w:eastAsia="zh-CN"/>
              </w:rPr>
              <w:t>成果要求及</w:t>
            </w:r>
            <w:r>
              <w:rPr>
                <w:rFonts w:hint="eastAsia"/>
                <w:b/>
                <w:szCs w:val="21"/>
                <w:highlight w:val="none"/>
              </w:rPr>
              <w:t>验收</w:t>
            </w:r>
          </w:p>
          <w:p>
            <w:pPr>
              <w:pStyle w:val="22"/>
              <w:rPr>
                <w:rFonts w:hint="eastAsia"/>
                <w:b/>
                <w:szCs w:val="21"/>
                <w:highlight w:val="none"/>
                <w:lang w:val="en-US" w:eastAsia="zh-CN"/>
              </w:rPr>
            </w:pPr>
            <w:r>
              <w:rPr>
                <w:rFonts w:hint="eastAsia"/>
                <w:b/>
                <w:szCs w:val="21"/>
                <w:highlight w:val="none"/>
                <w:lang w:val="en-US" w:eastAsia="zh-CN"/>
              </w:rPr>
              <w:t>1.成果要求：形成《</w:t>
            </w:r>
            <w:r>
              <w:rPr>
                <w:rFonts w:hint="eastAsia"/>
                <w:szCs w:val="21"/>
                <w:highlight w:val="none"/>
              </w:rPr>
              <w:t>前海办公用房租金评估及</w:t>
            </w:r>
            <w:r>
              <w:rPr>
                <w:rFonts w:hint="default"/>
                <w:szCs w:val="21"/>
                <w:highlight w:val="none"/>
              </w:rPr>
              <w:t>租金</w:t>
            </w:r>
            <w:r>
              <w:rPr>
                <w:rFonts w:hint="eastAsia"/>
                <w:szCs w:val="21"/>
                <w:highlight w:val="none"/>
              </w:rPr>
              <w:t>政策评估</w:t>
            </w:r>
            <w:r>
              <w:rPr>
                <w:rFonts w:hint="eastAsia"/>
                <w:szCs w:val="21"/>
                <w:highlight w:val="none"/>
                <w:lang w:val="en-US" w:eastAsia="zh-CN"/>
              </w:rPr>
              <w:t>评估报告</w:t>
            </w:r>
            <w:r>
              <w:rPr>
                <w:rFonts w:hint="eastAsia"/>
                <w:b/>
                <w:szCs w:val="21"/>
                <w:highlight w:val="none"/>
                <w:lang w:val="en-US" w:eastAsia="zh-CN"/>
              </w:rPr>
              <w:t>》；</w:t>
            </w:r>
          </w:p>
          <w:p>
            <w:pPr>
              <w:pStyle w:val="22"/>
              <w:rPr>
                <w:highlight w:val="none"/>
              </w:rPr>
            </w:pPr>
            <w:r>
              <w:rPr>
                <w:rFonts w:hint="eastAsia"/>
                <w:b/>
                <w:szCs w:val="21"/>
                <w:highlight w:val="none"/>
                <w:lang w:val="en-US" w:eastAsia="zh-CN"/>
              </w:rPr>
              <w:t>2.验收要求：形成评估报告，通过专家评审会并经过采购方审议后进行验收。</w:t>
            </w:r>
          </w:p>
          <w:p>
            <w:pPr>
              <w:rPr>
                <w:highlight w:val="none"/>
              </w:rPr>
            </w:pPr>
          </w:p>
          <w:p>
            <w:pPr>
              <w:pStyle w:val="18"/>
              <w:spacing w:before="0" w:beforeAutospacing="0" w:after="0" w:afterAutospacing="0" w:line="360" w:lineRule="auto"/>
              <w:ind w:firstLine="422" w:firstLineChars="200"/>
              <w:jc w:val="both"/>
              <w:outlineLvl w:val="1"/>
              <w:rPr>
                <w:rFonts w:hint="eastAsia"/>
                <w:b/>
                <w:sz w:val="21"/>
                <w:szCs w:val="21"/>
                <w:highlight w:val="none"/>
              </w:rPr>
            </w:pPr>
            <w:r>
              <w:rPr>
                <w:rFonts w:hint="eastAsia"/>
                <w:b/>
                <w:sz w:val="21"/>
                <w:szCs w:val="21"/>
                <w:highlight w:val="none"/>
                <w:lang w:val="en-US" w:eastAsia="zh-CN"/>
              </w:rPr>
              <w:t>四</w:t>
            </w:r>
            <w:r>
              <w:rPr>
                <w:rFonts w:hint="eastAsia"/>
                <w:b/>
                <w:sz w:val="21"/>
                <w:szCs w:val="21"/>
                <w:highlight w:val="none"/>
              </w:rPr>
              <w:t>、★成果归属</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（一）本项目全部阶段性成果和最终成果的所有权、知识产权以及与之相关的所有权利归采购人所有；本合同签署前双方已经拥有的知识产权权利，仍归各自所有。</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（二）双方确定，采购人有权对中标人按照本合同约定提供的成果进行后续改进。由此产生的具有实质性或创造性技术进步特征的新的技术成果及其权利全部由采购人享有。</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三）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四）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（五）中标人完成本项目的研究人员享有在有关技术成果文件上署名的权利和与采购人共同获得有关荣誉证书、奖励的权利。</w:t>
            </w:r>
          </w:p>
          <w:p>
            <w:pPr>
              <w:pStyle w:val="18"/>
              <w:spacing w:before="0" w:beforeAutospacing="0" w:after="0" w:afterAutospacing="0" w:line="360" w:lineRule="auto"/>
              <w:ind w:firstLine="422" w:firstLineChars="200"/>
              <w:jc w:val="both"/>
              <w:outlineLvl w:val="1"/>
              <w:rPr>
                <w:rFonts w:hint="eastAsia"/>
                <w:b/>
                <w:sz w:val="21"/>
                <w:szCs w:val="21"/>
                <w:highlight w:val="none"/>
              </w:rPr>
            </w:pPr>
            <w:r>
              <w:rPr>
                <w:rFonts w:hint="eastAsia"/>
                <w:b/>
                <w:sz w:val="21"/>
                <w:szCs w:val="21"/>
                <w:highlight w:val="none"/>
                <w:lang w:val="en-US" w:eastAsia="zh-CN"/>
              </w:rPr>
              <w:t>五</w:t>
            </w:r>
            <w:r>
              <w:rPr>
                <w:rFonts w:hint="eastAsia"/>
                <w:b/>
                <w:sz w:val="21"/>
                <w:szCs w:val="21"/>
                <w:highlight w:val="none"/>
              </w:rPr>
              <w:t>、★保密条款</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二）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（三）中标人实施项目的程序应符合国家安全、保密的有关规定和标准。</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（四）上述保密义务不适用以下情况：</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1.获取的信息已被合法公开；</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2.获得信息拥有方书面许可并在该许可范围内披露；</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3.国家法律、法规规定的情形。</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五）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（六）无论本合同或本合同其他条款是否有效，本保密条款始终约束双方。国家秘密的保密期限由国家有关部门确定，工作秘密的保密期限由采购人确定。</w:t>
            </w:r>
          </w:p>
          <w:p>
            <w:pPr>
              <w:pStyle w:val="18"/>
              <w:spacing w:before="0" w:beforeAutospacing="0" w:after="0" w:afterAutospacing="0" w:line="360" w:lineRule="auto"/>
              <w:ind w:firstLine="422" w:firstLineChars="200"/>
              <w:jc w:val="both"/>
              <w:outlineLvl w:val="1"/>
              <w:rPr>
                <w:rFonts w:hint="eastAsia"/>
                <w:b/>
                <w:sz w:val="21"/>
                <w:szCs w:val="21"/>
                <w:highlight w:val="none"/>
              </w:rPr>
            </w:pPr>
            <w:r>
              <w:rPr>
                <w:rFonts w:hint="eastAsia"/>
                <w:b/>
                <w:sz w:val="21"/>
                <w:szCs w:val="21"/>
                <w:highlight w:val="none"/>
                <w:lang w:val="en-US" w:eastAsia="zh-CN"/>
              </w:rPr>
              <w:t>六</w:t>
            </w:r>
            <w:r>
              <w:rPr>
                <w:rFonts w:hint="eastAsia"/>
                <w:b/>
                <w:sz w:val="21"/>
                <w:szCs w:val="21"/>
                <w:highlight w:val="none"/>
              </w:rPr>
              <w:t>、★违约责任</w:t>
            </w:r>
          </w:p>
          <w:p>
            <w:pPr>
              <w:shd w:val="clear" w:color="auto" w:fill="FFFFFF"/>
              <w:adjustRightInd w:val="0"/>
              <w:snapToGrid w:val="0"/>
              <w:spacing w:line="440" w:lineRule="exact"/>
              <w:ind w:firstLine="420" w:firstLineChars="200"/>
              <w:rPr>
                <w:szCs w:val="21"/>
                <w:highlight w:val="none"/>
              </w:rPr>
            </w:pPr>
            <w:r>
              <w:rPr>
                <w:rFonts w:hint="eastAsia"/>
                <w:szCs w:val="21"/>
                <w:highlight w:val="none"/>
              </w:rPr>
              <w:t>（一）如中标人未按照本合同约定的时间完成本项目各阶段工作，且未经采购人书面同意延长服务成果完成期限的，每迟延一日，采购人有权要求中标人支付本合同服务费总金额的1‰的逾期违约金。</w:t>
            </w:r>
          </w:p>
          <w:p>
            <w:pPr>
              <w:widowControl/>
              <w:spacing w:line="360" w:lineRule="auto"/>
              <w:ind w:firstLine="420" w:firstLineChars="200"/>
              <w:rPr>
                <w:rFonts w:ascii="宋体" w:hAnsi="宋体"/>
                <w:szCs w:val="21"/>
                <w:highlight w:val="none"/>
              </w:rPr>
            </w:pPr>
            <w:r>
              <w:rPr>
                <w:rFonts w:hint="eastAsia"/>
                <w:szCs w:val="21"/>
                <w:highlight w:val="none"/>
              </w:rPr>
              <w:t>（二）</w:t>
            </w:r>
            <w:r>
              <w:rPr>
                <w:rFonts w:ascii="宋体" w:hAnsi="宋体"/>
                <w:szCs w:val="21"/>
                <w:highlight w:val="none"/>
              </w:rPr>
              <w:t>本合同履行期</w:t>
            </w:r>
            <w:r>
              <w:rPr>
                <w:rFonts w:hint="eastAsia" w:ascii="宋体" w:hAnsi="宋体"/>
                <w:szCs w:val="21"/>
                <w:highlight w:val="none"/>
              </w:rPr>
              <w:t>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中标人</w:t>
            </w:r>
            <w:r>
              <w:rPr>
                <w:rFonts w:ascii="宋体" w:hAnsi="宋体"/>
                <w:szCs w:val="21"/>
                <w:highlight w:val="none"/>
              </w:rPr>
              <w:t>未能按合同约定的日期(含协商延缓的日期)提交</w:t>
            </w:r>
            <w:r>
              <w:rPr>
                <w:rFonts w:hint="eastAsia" w:ascii="宋体" w:hAnsi="宋体"/>
                <w:szCs w:val="21"/>
                <w:highlight w:val="none"/>
              </w:rPr>
              <w:t>各阶段成果或最终</w:t>
            </w:r>
            <w:r>
              <w:rPr>
                <w:rFonts w:ascii="宋体" w:hAnsi="宋体"/>
                <w:szCs w:val="21"/>
                <w:highlight w:val="none"/>
              </w:rPr>
              <w:t>成果，延误时间超过</w:t>
            </w:r>
            <w:r>
              <w:rPr>
                <w:rFonts w:hint="eastAsia" w:ascii="宋体" w:hAnsi="宋体"/>
                <w:szCs w:val="21"/>
                <w:highlight w:val="none"/>
              </w:rPr>
              <w:t>15个工作日；</w:t>
            </w:r>
          </w:p>
          <w:p>
            <w:pPr>
              <w:widowControl/>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因</w:t>
            </w:r>
            <w:r>
              <w:rPr>
                <w:rFonts w:hint="eastAsia" w:ascii="宋体" w:hAnsi="宋体"/>
                <w:szCs w:val="21"/>
                <w:highlight w:val="none"/>
              </w:rPr>
              <w:t>中标人</w:t>
            </w:r>
            <w:r>
              <w:rPr>
                <w:rFonts w:ascii="宋体" w:hAnsi="宋体"/>
                <w:szCs w:val="21"/>
                <w:highlight w:val="none"/>
              </w:rPr>
              <w:t>工作的错误或遗漏造成成果质量损失，</w:t>
            </w:r>
            <w:r>
              <w:rPr>
                <w:rFonts w:hint="eastAsia" w:ascii="宋体" w:hAnsi="宋体"/>
                <w:szCs w:val="21"/>
                <w:highlight w:val="none"/>
                <w:lang w:val="zh-CN"/>
              </w:rPr>
              <w:t>工作成果质量低劣，不能满足采购人工作需要和要求</w:t>
            </w:r>
            <w:r>
              <w:rPr>
                <w:rFonts w:ascii="宋体" w:hAnsi="宋体"/>
                <w:szCs w:val="21"/>
                <w:highlight w:val="none"/>
              </w:rPr>
              <w:t>；</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中标人虽如期提交最终成果，但连续二次未能通过采购人验收的；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4）未经</w:t>
            </w:r>
            <w:r>
              <w:rPr>
                <w:rFonts w:hint="eastAsia" w:ascii="宋体" w:hAnsi="宋体"/>
                <w:szCs w:val="21"/>
                <w:highlight w:val="none"/>
              </w:rPr>
              <w:t>采购人书面在先</w:t>
            </w:r>
            <w:r>
              <w:rPr>
                <w:rFonts w:ascii="宋体" w:hAnsi="宋体"/>
                <w:szCs w:val="21"/>
                <w:highlight w:val="none"/>
              </w:rPr>
              <w:t>同意，</w:t>
            </w:r>
            <w:r>
              <w:rPr>
                <w:rFonts w:hint="eastAsia" w:ascii="宋体" w:hAnsi="宋体"/>
                <w:szCs w:val="21"/>
                <w:highlight w:val="none"/>
              </w:rPr>
              <w:t>中标人</w:t>
            </w:r>
            <w:r>
              <w:rPr>
                <w:rFonts w:ascii="宋体" w:hAnsi="宋体"/>
                <w:szCs w:val="21"/>
                <w:highlight w:val="none"/>
              </w:rPr>
              <w:t>擅自</w:t>
            </w:r>
            <w:r>
              <w:rPr>
                <w:rFonts w:hint="eastAsia" w:ascii="宋体" w:hAnsi="宋体"/>
                <w:szCs w:val="21"/>
                <w:highlight w:val="none"/>
              </w:rPr>
              <w:t>将本合同项目与任何第三方合作，或将本合同标的全部或部分擅自转包或分包给任何第三方，且未按采购人的要求终止与第三方的合同的；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（5）项目负责人未承担本合同项目实质性工作，或未经采购人书面在先同意，中标人擅自更换项目负责人的；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7）</w:t>
            </w:r>
            <w:r>
              <w:rPr>
                <w:rFonts w:hint="eastAsia" w:ascii="宋体" w:hAnsi="宋体"/>
                <w:szCs w:val="21"/>
                <w:highlight w:val="none"/>
              </w:rPr>
              <w:t>中标人</w:t>
            </w:r>
            <w:r>
              <w:rPr>
                <w:rFonts w:ascii="宋体" w:hAnsi="宋体"/>
                <w:szCs w:val="21"/>
                <w:highlight w:val="none"/>
              </w:rPr>
              <w:t>明确表示或者以自己的行为表明不履行</w:t>
            </w:r>
            <w:r>
              <w:rPr>
                <w:rFonts w:hint="eastAsia" w:ascii="宋体" w:hAnsi="宋体"/>
                <w:szCs w:val="21"/>
                <w:highlight w:val="none"/>
              </w:rPr>
              <w:t>本合同的。</w:t>
            </w:r>
          </w:p>
          <w:p>
            <w:pPr>
              <w:widowControl/>
              <w:spacing w:line="360" w:lineRule="auto"/>
              <w:ind w:firstLine="420" w:firstLineChars="200"/>
              <w:rPr>
                <w:szCs w:val="21"/>
                <w:highlight w:val="none"/>
              </w:rPr>
            </w:pPr>
            <w:r>
              <w:rPr>
                <w:rFonts w:hint="eastAsia" w:ascii="宋体" w:hAnsi="宋体"/>
                <w:szCs w:val="21"/>
                <w:highlight w:val="none"/>
              </w:rPr>
              <w:t>（三） 除因</w:t>
            </w:r>
            <w:r>
              <w:rPr>
                <w:rFonts w:hint="eastAsia" w:ascii="宋体" w:hAnsi="宋体"/>
                <w:kern w:val="0"/>
                <w:szCs w:val="21"/>
                <w:highlight w:val="none"/>
              </w:rPr>
              <w:t>采购人付款审批影响支付进度的情况外，</w:t>
            </w:r>
            <w:r>
              <w:rPr>
                <w:rFonts w:hint="eastAsia" w:ascii="宋体" w:hAnsi="宋体"/>
                <w:szCs w:val="21"/>
                <w:highlight w:val="none"/>
              </w:rPr>
              <w:t>如采购人未按照本合同约定的时间支付服务费，中标人书面催告采购人并给予不少于30个工作日的履行期限后采购人仍未支付的，中标人有权自该期限届满之日起要求采购人支付该阶段应付而未付合同价款每日</w:t>
            </w:r>
            <w:r>
              <w:rPr>
                <w:rFonts w:ascii="宋体" w:hAnsi="宋体"/>
                <w:szCs w:val="21"/>
                <w:highlight w:val="none"/>
              </w:rPr>
              <w:t>1</w:t>
            </w:r>
            <w:r>
              <w:rPr>
                <w:rFonts w:hint="eastAsia" w:ascii="宋体" w:hAnsi="宋体"/>
                <w:szCs w:val="21"/>
                <w:highlight w:val="none"/>
              </w:rPr>
              <w:t>‰的逾期违约金。采购人无正当理由拒绝接受服务，到期明确表示拒付服务款项的，采购人向中标人偿付本合同总价5%的违约金。</w:t>
            </w:r>
          </w:p>
          <w:p>
            <w:pPr>
              <w:shd w:val="clear" w:color="auto" w:fill="FFFFFF"/>
              <w:adjustRightInd w:val="0"/>
              <w:snapToGrid w:val="0"/>
              <w:spacing w:line="440" w:lineRule="exact"/>
              <w:ind w:firstLine="420" w:firstLineChars="200"/>
              <w:rPr>
                <w:bCs/>
                <w:color w:val="000000" w:themeColor="text1"/>
                <w:szCs w:val="21"/>
                <w:highlight w:val="none"/>
                <w14:textFill>
                  <w14:solidFill>
                    <w14:schemeClr w14:val="tx1"/>
                  </w14:solidFill>
                </w14:textFill>
              </w:rPr>
            </w:pPr>
            <w:r>
              <w:rPr>
                <w:rFonts w:hint="eastAsia"/>
                <w:szCs w:val="21"/>
                <w:highlight w:val="none"/>
              </w:rPr>
              <w:t>（四）上述违约责任各自独立且可累加。如本合同所约定的违约金无法弥补因违约行为所造成的损失，违约方应补偿上述不足部分的损失。</w:t>
            </w:r>
          </w:p>
        </w:tc>
        <w:tc>
          <w:tcPr>
            <w:tcW w:w="1581" w:type="dxa"/>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Arial"/>
                <w:b/>
                <w:color w:val="000000" w:themeColor="text1"/>
                <w:sz w:val="18"/>
                <w:szCs w:val="18"/>
                <w:highlight w:val="none"/>
                <w14:textFill>
                  <w14:solidFill>
                    <w14:schemeClr w14:val="tx1"/>
                  </w14:solidFill>
                </w14:textFill>
              </w:rPr>
              <w:t>（投标人根据自身实际情况逐条进行响应，并填写响应的具体内容）</w:t>
            </w:r>
          </w:p>
        </w:tc>
        <w:tc>
          <w:tcPr>
            <w:tcW w:w="1289" w:type="dxa"/>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（正偏离/完全响应/负偏离）</w:t>
            </w:r>
          </w:p>
        </w:tc>
      </w:tr>
    </w:tbl>
    <w:p>
      <w:pPr>
        <w:ind w:left="840" w:hanging="840" w:hangingChars="400"/>
        <w:rPr>
          <w:rFonts w:ascii="宋体" w:hAnsi="宋体" w:cs="宋体"/>
          <w:highlight w:val="none"/>
        </w:rPr>
      </w:pPr>
    </w:p>
    <w:p>
      <w:pPr>
        <w:rPr>
          <w:highlight w:val="none"/>
        </w:rPr>
      </w:pPr>
    </w:p>
    <w:p>
      <w:pPr>
        <w:widowControl/>
        <w:jc w:val="left"/>
        <w:rPr>
          <w:highlight w:val="none"/>
        </w:rPr>
      </w:pPr>
      <w:r>
        <w:rPr>
          <w:highlight w:val="none"/>
        </w:rPr>
        <w:br w:type="page"/>
      </w:r>
    </w:p>
    <w:p>
      <w:pPr>
        <w:rPr>
          <w:highlight w:val="none"/>
        </w:rPr>
      </w:pPr>
    </w:p>
    <w:p>
      <w:pPr>
        <w:rPr>
          <w:highlight w:val="none"/>
        </w:rPr>
      </w:pPr>
      <w:r>
        <w:rPr>
          <w:highlight w:val="none"/>
        </w:rPr>
        <w:fldChar w:fldCharType="begin"/>
      </w:r>
      <w:r>
        <w:rPr>
          <w:highlight w:val="none"/>
        </w:rPr>
        <w:instrText xml:space="preserve">ADDIN CNKISM.UserStyle</w:instrText>
      </w:r>
      <w:r>
        <w:rPr>
          <w:highlight w:val="none"/>
        </w:rPr>
        <w:fldChar w:fldCharType="end"/>
      </w:r>
    </w:p>
    <w:p>
      <w:pPr>
        <w:jc w:val="center"/>
        <w:outlineLvl w:val="1"/>
        <w:rPr>
          <w:b/>
          <w:bCs/>
          <w:sz w:val="30"/>
          <w:highlight w:val="none"/>
        </w:rPr>
      </w:pPr>
      <w:r>
        <w:rPr>
          <w:rFonts w:hint="eastAsia"/>
          <w:b/>
          <w:bCs/>
          <w:sz w:val="30"/>
          <w:highlight w:val="none"/>
        </w:rPr>
        <w:t>（</w:t>
      </w:r>
      <w:r>
        <w:rPr>
          <w:rFonts w:hint="eastAsia"/>
          <w:b/>
          <w:bCs/>
          <w:sz w:val="30"/>
          <w:highlight w:val="none"/>
          <w:lang w:val="en-US" w:eastAsia="zh-CN"/>
        </w:rPr>
        <w:t>六</w:t>
      </w:r>
      <w:r>
        <w:rPr>
          <w:rFonts w:hint="eastAsia"/>
          <w:b/>
          <w:bCs/>
          <w:sz w:val="30"/>
          <w:highlight w:val="none"/>
        </w:rPr>
        <w:t>）</w:t>
      </w:r>
      <w:bookmarkEnd w:id="89"/>
      <w:r>
        <w:rPr>
          <w:rFonts w:hint="eastAsia"/>
          <w:b/>
          <w:bCs/>
          <w:sz w:val="30"/>
          <w:highlight w:val="none"/>
        </w:rPr>
        <w:t>公司主营业务介绍</w:t>
      </w:r>
      <w:bookmarkEnd w:id="90"/>
      <w:bookmarkEnd w:id="91"/>
      <w:bookmarkEnd w:id="92"/>
      <w:bookmarkEnd w:id="93"/>
      <w:bookmarkEnd w:id="94"/>
    </w:p>
    <w:p>
      <w:pPr>
        <w:spacing w:after="60"/>
        <w:rPr>
          <w:rFonts w:cs="Arial"/>
          <w:highlight w:val="none"/>
        </w:rPr>
      </w:pPr>
    </w:p>
    <w:p>
      <w:pPr>
        <w:numPr>
          <w:ilvl w:val="0"/>
          <w:numId w:val="3"/>
        </w:numPr>
        <w:spacing w:after="78" w:afterLines="25" w:line="300" w:lineRule="auto"/>
        <w:rPr>
          <w:rFonts w:cs="Arial"/>
          <w:highlight w:val="none"/>
        </w:rPr>
      </w:pPr>
      <w:r>
        <w:rPr>
          <w:rFonts w:hint="eastAsia" w:cs="Arial"/>
          <w:highlight w:val="none"/>
        </w:rPr>
        <w:t>公司简介：</w:t>
      </w:r>
    </w:p>
    <w:p>
      <w:pPr>
        <w:spacing w:after="60"/>
        <w:rPr>
          <w:rFonts w:cs="Arial"/>
          <w:highlight w:val="none"/>
        </w:rPr>
      </w:pPr>
    </w:p>
    <w:p>
      <w:pPr>
        <w:spacing w:after="60"/>
        <w:rPr>
          <w:rFonts w:cs="Arial"/>
          <w:highlight w:val="none"/>
        </w:rPr>
      </w:pPr>
    </w:p>
    <w:p>
      <w:pPr>
        <w:spacing w:after="60"/>
        <w:rPr>
          <w:rFonts w:cs="Arial"/>
          <w:highlight w:val="none"/>
        </w:rPr>
      </w:pPr>
    </w:p>
    <w:p>
      <w:pPr>
        <w:spacing w:after="60"/>
        <w:rPr>
          <w:rFonts w:cs="Arial"/>
          <w:highlight w:val="none"/>
        </w:rPr>
      </w:pPr>
    </w:p>
    <w:p>
      <w:pPr>
        <w:spacing w:after="60"/>
        <w:rPr>
          <w:rFonts w:cs="Arial"/>
          <w:highlight w:val="none"/>
        </w:rPr>
      </w:pPr>
    </w:p>
    <w:p>
      <w:pPr>
        <w:spacing w:after="60"/>
        <w:rPr>
          <w:rFonts w:cs="Arial"/>
          <w:highlight w:val="none"/>
        </w:rPr>
      </w:pPr>
    </w:p>
    <w:p>
      <w:pPr>
        <w:spacing w:after="60"/>
        <w:rPr>
          <w:rFonts w:cs="Arial"/>
          <w:highlight w:val="none"/>
        </w:rPr>
      </w:pPr>
    </w:p>
    <w:p>
      <w:pPr>
        <w:spacing w:after="60"/>
        <w:rPr>
          <w:rFonts w:cs="Arial"/>
          <w:highlight w:val="none"/>
        </w:rPr>
      </w:pPr>
    </w:p>
    <w:p>
      <w:pPr>
        <w:spacing w:after="60"/>
        <w:rPr>
          <w:rFonts w:cs="Arial"/>
          <w:highlight w:val="none"/>
        </w:rPr>
      </w:pPr>
      <w:r>
        <w:rPr>
          <w:rFonts w:hint="eastAsia" w:cs="Arial"/>
          <w:highlight w:val="none"/>
        </w:rPr>
        <w:t>投标人代表签字________________________</w:t>
      </w:r>
    </w:p>
    <w:p>
      <w:pPr>
        <w:spacing w:after="60"/>
        <w:rPr>
          <w:rFonts w:cs="Arial"/>
          <w:highlight w:val="none"/>
        </w:rPr>
      </w:pPr>
    </w:p>
    <w:p>
      <w:pPr>
        <w:spacing w:after="60"/>
        <w:rPr>
          <w:rFonts w:cs="Arial"/>
          <w:highlight w:val="none"/>
        </w:rPr>
      </w:pPr>
    </w:p>
    <w:p>
      <w:pPr>
        <w:rPr>
          <w:sz w:val="32"/>
          <w:highlight w:val="none"/>
        </w:rPr>
      </w:pPr>
      <w:r>
        <w:rPr>
          <w:rFonts w:hint="eastAsia" w:cs="Arial"/>
          <w:highlight w:val="none"/>
        </w:rPr>
        <w:t>投标单位盖章：________________________</w:t>
      </w:r>
    </w:p>
    <w:p>
      <w:pPr>
        <w:rPr>
          <w:highlight w:val="none"/>
        </w:rPr>
      </w:pPr>
    </w:p>
    <w:p>
      <w:pPr>
        <w:ind w:left="2940"/>
        <w:rPr>
          <w:highlight w:val="none"/>
        </w:rPr>
      </w:pPr>
    </w:p>
    <w:p>
      <w:pPr>
        <w:ind w:left="2940"/>
        <w:rPr>
          <w:highlight w:val="none"/>
        </w:rPr>
      </w:pPr>
    </w:p>
    <w:p>
      <w:pPr>
        <w:ind w:left="2940"/>
        <w:rPr>
          <w:highlight w:val="none"/>
        </w:rPr>
      </w:pPr>
    </w:p>
    <w:p>
      <w:pPr>
        <w:ind w:left="2940"/>
        <w:rPr>
          <w:highlight w:val="none"/>
        </w:rPr>
      </w:pPr>
    </w:p>
    <w:p>
      <w:pPr>
        <w:ind w:left="2940"/>
        <w:rPr>
          <w:highlight w:val="none"/>
        </w:rPr>
      </w:pPr>
    </w:p>
    <w:p>
      <w:pPr>
        <w:ind w:left="2940"/>
        <w:rPr>
          <w:highlight w:val="none"/>
        </w:rPr>
      </w:pPr>
    </w:p>
    <w:p>
      <w:pPr>
        <w:ind w:left="2940"/>
        <w:rPr>
          <w:highlight w:val="none"/>
        </w:rPr>
      </w:pPr>
    </w:p>
    <w:p>
      <w:pPr>
        <w:ind w:left="2940"/>
        <w:rPr>
          <w:highlight w:val="none"/>
        </w:rPr>
      </w:pPr>
    </w:p>
    <w:p>
      <w:pPr>
        <w:ind w:left="2940"/>
        <w:rPr>
          <w:highlight w:val="none"/>
        </w:rPr>
      </w:pPr>
    </w:p>
    <w:p>
      <w:pPr>
        <w:ind w:left="2940"/>
        <w:rPr>
          <w:highlight w:val="none"/>
        </w:rPr>
      </w:pPr>
    </w:p>
    <w:p>
      <w:pPr>
        <w:rPr>
          <w:highlight w:val="none"/>
        </w:rPr>
      </w:pPr>
      <w:r>
        <w:rPr>
          <w:highlight w:val="none"/>
        </w:rPr>
        <w:br w:type="page"/>
      </w:r>
    </w:p>
    <w:p>
      <w:pPr>
        <w:spacing w:line="377" w:lineRule="auto"/>
        <w:jc w:val="center"/>
        <w:outlineLvl w:val="1"/>
        <w:rPr>
          <w:rFonts w:ascii="宋体" w:hAnsi="宋体" w:cs="宋体"/>
          <w:b/>
          <w:bCs/>
          <w:sz w:val="30"/>
          <w:szCs w:val="30"/>
          <w:highlight w:val="none"/>
        </w:rPr>
      </w:pPr>
      <w:bookmarkStart w:id="95" w:name="_Toc22526"/>
      <w:bookmarkStart w:id="96" w:name="_Toc24473"/>
      <w:bookmarkStart w:id="97" w:name="_Toc83405806"/>
      <w:bookmarkStart w:id="98" w:name="_Toc18227"/>
      <w:bookmarkStart w:id="99" w:name="_Toc51746109"/>
      <w:bookmarkStart w:id="100" w:name="_Toc86918433"/>
      <w:r>
        <w:rPr>
          <w:rFonts w:hint="eastAsia" w:ascii="宋体" w:hAnsi="宋体" w:cs="宋体"/>
          <w:b/>
          <w:bCs/>
          <w:sz w:val="30"/>
          <w:szCs w:val="30"/>
          <w:highlight w:val="none"/>
        </w:rPr>
        <w:t>（七）实施方案</w:t>
      </w:r>
    </w:p>
    <w:p>
      <w:pPr>
        <w:spacing w:after="60"/>
        <w:rPr>
          <w:rFonts w:ascii="宋体" w:hAnsi="宋体" w:cs="Arial"/>
          <w:szCs w:val="21"/>
          <w:highlight w:val="none"/>
        </w:rPr>
      </w:pPr>
      <w:r>
        <w:rPr>
          <w:rFonts w:hint="eastAsia" w:ascii="宋体" w:hAnsi="宋体" w:cs="Arial"/>
          <w:szCs w:val="21"/>
          <w:highlight w:val="none"/>
        </w:rPr>
        <w:t>投标人名称__________________</w:t>
      </w:r>
    </w:p>
    <w:p>
      <w:pPr>
        <w:spacing w:after="60"/>
        <w:rPr>
          <w:rFonts w:ascii="宋体" w:hAnsi="宋体" w:cs="Arial"/>
          <w:szCs w:val="21"/>
          <w:highlight w:val="none"/>
        </w:rPr>
      </w:pPr>
      <w:r>
        <w:rPr>
          <w:rFonts w:hint="eastAsia" w:ascii="宋体" w:hAnsi="宋体" w:cs="Arial"/>
          <w:szCs w:val="21"/>
          <w:highlight w:val="none"/>
        </w:rPr>
        <w:t>招标编号____________________</w:t>
      </w:r>
    </w:p>
    <w:p>
      <w:pPr>
        <w:rPr>
          <w:highlight w:val="none"/>
        </w:rPr>
      </w:pPr>
    </w:p>
    <w:p>
      <w:pPr>
        <w:rPr>
          <w:highlight w:val="none"/>
        </w:rPr>
      </w:pPr>
      <w:r>
        <w:rPr>
          <w:rFonts w:hint="eastAsia"/>
          <w:highlight w:val="none"/>
        </w:rPr>
        <w:t>根据评分项要求格式自拟：</w:t>
      </w:r>
    </w:p>
    <w:p>
      <w:pPr>
        <w:rPr>
          <w:highlight w:val="none"/>
        </w:rPr>
      </w:pPr>
    </w:p>
    <w:p/>
    <w:p>
      <w:pPr>
        <w:jc w:val="center"/>
        <w:outlineLvl w:val="1"/>
        <w:rPr>
          <w:rFonts w:hint="eastAsia"/>
          <w:b/>
          <w:bCs/>
          <w:sz w:val="30"/>
          <w:highlight w:val="none"/>
        </w:rPr>
      </w:pPr>
      <w:r>
        <w:rPr>
          <w:rFonts w:hint="eastAsia"/>
          <w:b/>
          <w:bCs/>
          <w:sz w:val="30"/>
          <w:highlight w:val="none"/>
          <w:lang w:eastAsia="zh-CN"/>
        </w:rPr>
        <w:t>（</w:t>
      </w:r>
      <w:r>
        <w:rPr>
          <w:rFonts w:hint="eastAsia"/>
          <w:b/>
          <w:bCs/>
          <w:sz w:val="30"/>
          <w:highlight w:val="none"/>
          <w:lang w:val="en-US" w:eastAsia="zh-CN"/>
        </w:rPr>
        <w:t>八</w:t>
      </w:r>
      <w:r>
        <w:rPr>
          <w:rFonts w:hint="eastAsia"/>
          <w:b/>
          <w:bCs/>
          <w:sz w:val="30"/>
          <w:highlight w:val="none"/>
          <w:lang w:eastAsia="zh-CN"/>
        </w:rPr>
        <w:t>）</w:t>
      </w:r>
      <w:r>
        <w:rPr>
          <w:rFonts w:hint="eastAsia"/>
          <w:b/>
          <w:bCs/>
          <w:sz w:val="30"/>
          <w:highlight w:val="none"/>
        </w:rPr>
        <w:t>项目重点难点分析、应对措施及相关的合理化建议</w:t>
      </w:r>
    </w:p>
    <w:p>
      <w:pPr>
        <w:spacing w:after="60"/>
        <w:rPr>
          <w:rFonts w:ascii="宋体" w:hAnsi="宋体" w:cs="Arial"/>
          <w:szCs w:val="21"/>
          <w:highlight w:val="none"/>
        </w:rPr>
      </w:pPr>
      <w:r>
        <w:rPr>
          <w:rFonts w:hint="eastAsia" w:ascii="宋体" w:hAnsi="宋体" w:cs="Arial"/>
          <w:szCs w:val="21"/>
          <w:highlight w:val="none"/>
        </w:rPr>
        <w:t>投标人名称__________________</w:t>
      </w:r>
    </w:p>
    <w:p>
      <w:pPr>
        <w:spacing w:after="60"/>
        <w:rPr>
          <w:rFonts w:ascii="宋体" w:hAnsi="宋体" w:cs="Arial"/>
          <w:szCs w:val="21"/>
          <w:highlight w:val="none"/>
        </w:rPr>
      </w:pPr>
      <w:r>
        <w:rPr>
          <w:rFonts w:hint="eastAsia" w:ascii="宋体" w:hAnsi="宋体" w:cs="Arial"/>
          <w:szCs w:val="21"/>
          <w:highlight w:val="none"/>
        </w:rPr>
        <w:t>招标编号____________________</w:t>
      </w:r>
    </w:p>
    <w:p>
      <w:pPr>
        <w:rPr>
          <w:highlight w:val="none"/>
        </w:rPr>
      </w:pPr>
    </w:p>
    <w:p>
      <w:pPr>
        <w:rPr>
          <w:highlight w:val="none"/>
        </w:rPr>
      </w:pPr>
      <w:r>
        <w:rPr>
          <w:rFonts w:hint="eastAsia"/>
          <w:highlight w:val="none"/>
        </w:rPr>
        <w:t>根据评分项要求格式自拟：</w:t>
      </w:r>
    </w:p>
    <w:p>
      <w:pPr>
        <w:pStyle w:val="2"/>
        <w:rPr>
          <w:rFonts w:hint="eastAsia"/>
        </w:rPr>
      </w:pPr>
    </w:p>
    <w:p>
      <w:pPr>
        <w:jc w:val="center"/>
        <w:outlineLvl w:val="1"/>
        <w:rPr>
          <w:rFonts w:hint="eastAsia"/>
          <w:b/>
          <w:bCs/>
          <w:sz w:val="30"/>
          <w:highlight w:val="none"/>
        </w:rPr>
      </w:pPr>
      <w:r>
        <w:rPr>
          <w:rFonts w:hint="eastAsia"/>
          <w:b/>
          <w:bCs/>
          <w:sz w:val="30"/>
          <w:highlight w:val="none"/>
          <w:lang w:eastAsia="zh-CN"/>
        </w:rPr>
        <w:t>（</w:t>
      </w:r>
      <w:r>
        <w:rPr>
          <w:rFonts w:hint="eastAsia"/>
          <w:b/>
          <w:bCs/>
          <w:sz w:val="30"/>
          <w:highlight w:val="none"/>
          <w:lang w:val="en-US" w:eastAsia="zh-CN"/>
        </w:rPr>
        <w:t>九</w:t>
      </w:r>
      <w:r>
        <w:rPr>
          <w:rFonts w:hint="eastAsia"/>
          <w:b/>
          <w:bCs/>
          <w:sz w:val="30"/>
          <w:highlight w:val="none"/>
          <w:lang w:eastAsia="zh-CN"/>
        </w:rPr>
        <w:t>）</w:t>
      </w:r>
      <w:r>
        <w:rPr>
          <w:rFonts w:hint="eastAsia"/>
          <w:b/>
          <w:bCs/>
          <w:sz w:val="30"/>
          <w:highlight w:val="none"/>
        </w:rPr>
        <w:t>数据和报告质量保障措施及方案</w:t>
      </w:r>
    </w:p>
    <w:p>
      <w:pPr>
        <w:spacing w:after="60"/>
        <w:rPr>
          <w:rFonts w:ascii="宋体" w:hAnsi="宋体" w:cs="Arial"/>
          <w:szCs w:val="21"/>
          <w:highlight w:val="none"/>
        </w:rPr>
      </w:pPr>
      <w:r>
        <w:rPr>
          <w:rFonts w:hint="eastAsia" w:ascii="宋体" w:hAnsi="宋体" w:cs="Arial"/>
          <w:szCs w:val="21"/>
          <w:highlight w:val="none"/>
        </w:rPr>
        <w:t>投标人名称__________________</w:t>
      </w:r>
    </w:p>
    <w:p>
      <w:pPr>
        <w:spacing w:after="60"/>
        <w:rPr>
          <w:rFonts w:ascii="宋体" w:hAnsi="宋体" w:cs="Arial"/>
          <w:szCs w:val="21"/>
          <w:highlight w:val="none"/>
        </w:rPr>
      </w:pPr>
      <w:r>
        <w:rPr>
          <w:rFonts w:hint="eastAsia" w:ascii="宋体" w:hAnsi="宋体" w:cs="Arial"/>
          <w:szCs w:val="21"/>
          <w:highlight w:val="none"/>
        </w:rPr>
        <w:t>招标编号____________________</w:t>
      </w:r>
    </w:p>
    <w:p>
      <w:pPr>
        <w:rPr>
          <w:highlight w:val="none"/>
        </w:rPr>
      </w:pPr>
    </w:p>
    <w:p>
      <w:pPr>
        <w:rPr>
          <w:highlight w:val="none"/>
        </w:rPr>
      </w:pPr>
      <w:r>
        <w:rPr>
          <w:rFonts w:hint="eastAsia"/>
          <w:highlight w:val="none"/>
        </w:rPr>
        <w:t>根据评分项要求格式自拟：</w:t>
      </w:r>
    </w:p>
    <w:p>
      <w:pPr>
        <w:pStyle w:val="2"/>
        <w:rPr>
          <w:rFonts w:hint="eastAsia"/>
        </w:rPr>
      </w:pPr>
    </w:p>
    <w:p>
      <w:pPr>
        <w:jc w:val="center"/>
        <w:outlineLvl w:val="1"/>
        <w:rPr>
          <w:rFonts w:hint="eastAsia"/>
          <w:b/>
          <w:bCs/>
          <w:sz w:val="30"/>
          <w:highlight w:val="none"/>
        </w:rPr>
      </w:pPr>
      <w:r>
        <w:rPr>
          <w:rFonts w:hint="eastAsia"/>
          <w:b/>
          <w:bCs/>
          <w:sz w:val="30"/>
          <w:highlight w:val="none"/>
          <w:lang w:eastAsia="zh-CN"/>
        </w:rPr>
        <w:t>（</w:t>
      </w:r>
      <w:r>
        <w:rPr>
          <w:rFonts w:hint="eastAsia"/>
          <w:b/>
          <w:bCs/>
          <w:sz w:val="30"/>
          <w:highlight w:val="none"/>
          <w:lang w:val="en-US" w:eastAsia="zh-CN"/>
        </w:rPr>
        <w:t>十</w:t>
      </w:r>
      <w:r>
        <w:rPr>
          <w:rFonts w:hint="eastAsia"/>
          <w:b/>
          <w:bCs/>
          <w:sz w:val="30"/>
          <w:highlight w:val="none"/>
          <w:lang w:eastAsia="zh-CN"/>
        </w:rPr>
        <w:t>）</w:t>
      </w:r>
      <w:r>
        <w:rPr>
          <w:rFonts w:hint="eastAsia"/>
          <w:b/>
          <w:bCs/>
          <w:sz w:val="30"/>
          <w:highlight w:val="none"/>
        </w:rPr>
        <w:t>投标人同类项目业绩情况</w:t>
      </w:r>
    </w:p>
    <w:p>
      <w:pPr>
        <w:spacing w:after="60"/>
        <w:rPr>
          <w:rFonts w:ascii="宋体" w:hAnsi="宋体" w:cs="Arial"/>
          <w:szCs w:val="21"/>
          <w:highlight w:val="none"/>
        </w:rPr>
      </w:pPr>
      <w:r>
        <w:rPr>
          <w:rFonts w:hint="eastAsia" w:ascii="宋体" w:hAnsi="宋体" w:cs="Arial"/>
          <w:szCs w:val="21"/>
          <w:highlight w:val="none"/>
        </w:rPr>
        <w:t>投标人名称__________________</w:t>
      </w:r>
    </w:p>
    <w:p>
      <w:pPr>
        <w:spacing w:after="60"/>
        <w:rPr>
          <w:rFonts w:ascii="宋体" w:hAnsi="宋体" w:cs="Arial"/>
          <w:szCs w:val="21"/>
          <w:highlight w:val="none"/>
        </w:rPr>
      </w:pPr>
      <w:r>
        <w:rPr>
          <w:rFonts w:hint="eastAsia" w:ascii="宋体" w:hAnsi="宋体" w:cs="Arial"/>
          <w:szCs w:val="21"/>
          <w:highlight w:val="none"/>
        </w:rPr>
        <w:t>招标编号____________________</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347"/>
        <w:gridCol w:w="1197"/>
        <w:gridCol w:w="1134"/>
        <w:gridCol w:w="1701"/>
        <w:gridCol w:w="1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98" w:type="dxa"/>
            <w:vAlign w:val="center"/>
          </w:tcPr>
          <w:p>
            <w:pPr>
              <w:spacing w:after="60"/>
              <w:jc w:val="center"/>
              <w:rPr>
                <w:rFonts w:ascii="宋体" w:hAnsi="宋体"/>
                <w:szCs w:val="21"/>
                <w:highlight w:val="none"/>
              </w:rPr>
            </w:pPr>
            <w:r>
              <w:rPr>
                <w:rFonts w:hint="eastAsia" w:ascii="宋体" w:hAnsi="宋体"/>
                <w:szCs w:val="21"/>
                <w:highlight w:val="none"/>
              </w:rPr>
              <w:t>序号</w:t>
            </w:r>
          </w:p>
        </w:tc>
        <w:tc>
          <w:tcPr>
            <w:tcW w:w="2347" w:type="dxa"/>
            <w:vAlign w:val="center"/>
          </w:tcPr>
          <w:p>
            <w:pPr>
              <w:spacing w:after="60"/>
              <w:jc w:val="center"/>
              <w:rPr>
                <w:rFonts w:ascii="宋体" w:hAnsi="宋体"/>
                <w:szCs w:val="21"/>
                <w:highlight w:val="none"/>
              </w:rPr>
            </w:pPr>
            <w:r>
              <w:rPr>
                <w:rFonts w:hint="eastAsia" w:ascii="宋体" w:hAnsi="宋体"/>
                <w:szCs w:val="21"/>
                <w:highlight w:val="none"/>
              </w:rPr>
              <w:t>项目名称</w:t>
            </w:r>
          </w:p>
        </w:tc>
        <w:tc>
          <w:tcPr>
            <w:tcW w:w="1197" w:type="dxa"/>
            <w:vAlign w:val="center"/>
          </w:tcPr>
          <w:p>
            <w:pPr>
              <w:spacing w:after="60"/>
              <w:jc w:val="center"/>
              <w:rPr>
                <w:rFonts w:ascii="宋体" w:hAnsi="宋体"/>
                <w:szCs w:val="21"/>
                <w:highlight w:val="none"/>
              </w:rPr>
            </w:pPr>
            <w:r>
              <w:rPr>
                <w:rFonts w:hint="eastAsia" w:ascii="宋体" w:hAnsi="宋体"/>
                <w:szCs w:val="21"/>
                <w:highlight w:val="none"/>
              </w:rPr>
              <w:t>项目单位</w:t>
            </w:r>
          </w:p>
        </w:tc>
        <w:tc>
          <w:tcPr>
            <w:tcW w:w="1134" w:type="dxa"/>
            <w:vAlign w:val="center"/>
          </w:tcPr>
          <w:p>
            <w:pPr>
              <w:spacing w:after="60"/>
              <w:jc w:val="center"/>
              <w:rPr>
                <w:rFonts w:ascii="宋体" w:hAnsi="宋体"/>
                <w:szCs w:val="21"/>
                <w:highlight w:val="none"/>
              </w:rPr>
            </w:pPr>
            <w:r>
              <w:rPr>
                <w:rFonts w:hint="eastAsia" w:ascii="宋体" w:hAnsi="宋体"/>
                <w:szCs w:val="21"/>
                <w:highlight w:val="none"/>
              </w:rPr>
              <w:t>实施时间</w:t>
            </w:r>
          </w:p>
        </w:tc>
        <w:tc>
          <w:tcPr>
            <w:tcW w:w="1701" w:type="dxa"/>
            <w:vAlign w:val="center"/>
          </w:tcPr>
          <w:p>
            <w:pPr>
              <w:spacing w:after="60"/>
              <w:jc w:val="center"/>
              <w:rPr>
                <w:rFonts w:ascii="宋体" w:hAnsi="宋体"/>
                <w:szCs w:val="21"/>
                <w:highlight w:val="none"/>
              </w:rPr>
            </w:pPr>
            <w:r>
              <w:rPr>
                <w:rFonts w:hint="eastAsia" w:ascii="宋体" w:hAnsi="宋体"/>
                <w:szCs w:val="21"/>
                <w:highlight w:val="none"/>
              </w:rPr>
              <w:t>规模（金额）</w:t>
            </w:r>
          </w:p>
        </w:tc>
        <w:tc>
          <w:tcPr>
            <w:tcW w:w="1206" w:type="dxa"/>
            <w:vAlign w:val="center"/>
          </w:tcPr>
          <w:p>
            <w:pPr>
              <w:spacing w:after="60"/>
              <w:jc w:val="center"/>
              <w:rPr>
                <w:rFonts w:ascii="宋体" w:hAnsi="宋体"/>
                <w:szCs w:val="21"/>
                <w:highlight w:val="none"/>
              </w:rPr>
            </w:pPr>
            <w:r>
              <w:rPr>
                <w:rFonts w:hint="eastAsia" w:ascii="宋体" w:hAnsi="宋体"/>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spacing w:after="60"/>
              <w:rPr>
                <w:rFonts w:ascii="宋体" w:hAnsi="宋体"/>
                <w:szCs w:val="21"/>
                <w:highlight w:val="none"/>
              </w:rPr>
            </w:pPr>
          </w:p>
        </w:tc>
        <w:tc>
          <w:tcPr>
            <w:tcW w:w="2347" w:type="dxa"/>
          </w:tcPr>
          <w:p>
            <w:pPr>
              <w:spacing w:after="60"/>
              <w:rPr>
                <w:rFonts w:ascii="宋体" w:hAnsi="宋体"/>
                <w:szCs w:val="21"/>
                <w:highlight w:val="none"/>
              </w:rPr>
            </w:pPr>
          </w:p>
        </w:tc>
        <w:tc>
          <w:tcPr>
            <w:tcW w:w="1197" w:type="dxa"/>
          </w:tcPr>
          <w:p>
            <w:pPr>
              <w:spacing w:after="60"/>
              <w:rPr>
                <w:rFonts w:ascii="宋体" w:hAnsi="宋体"/>
                <w:szCs w:val="21"/>
                <w:highlight w:val="none"/>
              </w:rPr>
            </w:pPr>
          </w:p>
        </w:tc>
        <w:tc>
          <w:tcPr>
            <w:tcW w:w="1134" w:type="dxa"/>
          </w:tcPr>
          <w:p>
            <w:pPr>
              <w:spacing w:after="60"/>
              <w:rPr>
                <w:rFonts w:ascii="宋体" w:hAnsi="宋体"/>
                <w:szCs w:val="21"/>
                <w:highlight w:val="none"/>
              </w:rPr>
            </w:pPr>
          </w:p>
        </w:tc>
        <w:tc>
          <w:tcPr>
            <w:tcW w:w="1701" w:type="dxa"/>
          </w:tcPr>
          <w:p>
            <w:pPr>
              <w:spacing w:after="60"/>
              <w:rPr>
                <w:rFonts w:ascii="宋体" w:hAnsi="宋体"/>
                <w:szCs w:val="21"/>
                <w:highlight w:val="none"/>
              </w:rPr>
            </w:pPr>
          </w:p>
        </w:tc>
        <w:tc>
          <w:tcPr>
            <w:tcW w:w="120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spacing w:after="60"/>
              <w:rPr>
                <w:rFonts w:ascii="宋体" w:hAnsi="宋体"/>
                <w:szCs w:val="21"/>
                <w:highlight w:val="none"/>
              </w:rPr>
            </w:pPr>
          </w:p>
        </w:tc>
        <w:tc>
          <w:tcPr>
            <w:tcW w:w="2347" w:type="dxa"/>
          </w:tcPr>
          <w:p>
            <w:pPr>
              <w:spacing w:after="60"/>
              <w:rPr>
                <w:rFonts w:ascii="宋体" w:hAnsi="宋体"/>
                <w:szCs w:val="21"/>
                <w:highlight w:val="none"/>
              </w:rPr>
            </w:pPr>
          </w:p>
        </w:tc>
        <w:tc>
          <w:tcPr>
            <w:tcW w:w="1197" w:type="dxa"/>
          </w:tcPr>
          <w:p>
            <w:pPr>
              <w:spacing w:after="60"/>
              <w:rPr>
                <w:rFonts w:ascii="宋体" w:hAnsi="宋体"/>
                <w:szCs w:val="21"/>
                <w:highlight w:val="none"/>
              </w:rPr>
            </w:pPr>
          </w:p>
        </w:tc>
        <w:tc>
          <w:tcPr>
            <w:tcW w:w="1134" w:type="dxa"/>
          </w:tcPr>
          <w:p>
            <w:pPr>
              <w:spacing w:after="60"/>
              <w:rPr>
                <w:rFonts w:ascii="宋体" w:hAnsi="宋体"/>
                <w:szCs w:val="21"/>
                <w:highlight w:val="none"/>
              </w:rPr>
            </w:pPr>
          </w:p>
        </w:tc>
        <w:tc>
          <w:tcPr>
            <w:tcW w:w="1701" w:type="dxa"/>
          </w:tcPr>
          <w:p>
            <w:pPr>
              <w:spacing w:after="60"/>
              <w:rPr>
                <w:rFonts w:ascii="宋体" w:hAnsi="宋体"/>
                <w:szCs w:val="21"/>
                <w:highlight w:val="none"/>
              </w:rPr>
            </w:pPr>
          </w:p>
        </w:tc>
        <w:tc>
          <w:tcPr>
            <w:tcW w:w="120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spacing w:after="60"/>
              <w:rPr>
                <w:rFonts w:ascii="宋体" w:hAnsi="宋体"/>
                <w:szCs w:val="21"/>
                <w:highlight w:val="none"/>
              </w:rPr>
            </w:pPr>
          </w:p>
        </w:tc>
        <w:tc>
          <w:tcPr>
            <w:tcW w:w="2347" w:type="dxa"/>
          </w:tcPr>
          <w:p>
            <w:pPr>
              <w:spacing w:after="60"/>
              <w:rPr>
                <w:rFonts w:ascii="宋体" w:hAnsi="宋体"/>
                <w:szCs w:val="21"/>
                <w:highlight w:val="none"/>
              </w:rPr>
            </w:pPr>
          </w:p>
        </w:tc>
        <w:tc>
          <w:tcPr>
            <w:tcW w:w="1197" w:type="dxa"/>
          </w:tcPr>
          <w:p>
            <w:pPr>
              <w:spacing w:after="60"/>
              <w:rPr>
                <w:rFonts w:ascii="宋体" w:hAnsi="宋体"/>
                <w:szCs w:val="21"/>
                <w:highlight w:val="none"/>
              </w:rPr>
            </w:pPr>
          </w:p>
        </w:tc>
        <w:tc>
          <w:tcPr>
            <w:tcW w:w="1134" w:type="dxa"/>
          </w:tcPr>
          <w:p>
            <w:pPr>
              <w:spacing w:after="60"/>
              <w:rPr>
                <w:rFonts w:ascii="宋体" w:hAnsi="宋体"/>
                <w:szCs w:val="21"/>
                <w:highlight w:val="none"/>
              </w:rPr>
            </w:pPr>
          </w:p>
        </w:tc>
        <w:tc>
          <w:tcPr>
            <w:tcW w:w="1701" w:type="dxa"/>
          </w:tcPr>
          <w:p>
            <w:pPr>
              <w:spacing w:after="60"/>
              <w:rPr>
                <w:rFonts w:ascii="宋体" w:hAnsi="宋体"/>
                <w:szCs w:val="21"/>
                <w:highlight w:val="none"/>
              </w:rPr>
            </w:pPr>
          </w:p>
        </w:tc>
        <w:tc>
          <w:tcPr>
            <w:tcW w:w="120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spacing w:after="60"/>
              <w:rPr>
                <w:rFonts w:ascii="宋体" w:hAnsi="宋体"/>
                <w:szCs w:val="21"/>
                <w:highlight w:val="none"/>
              </w:rPr>
            </w:pPr>
          </w:p>
        </w:tc>
        <w:tc>
          <w:tcPr>
            <w:tcW w:w="2347" w:type="dxa"/>
          </w:tcPr>
          <w:p>
            <w:pPr>
              <w:spacing w:after="60"/>
              <w:rPr>
                <w:rFonts w:ascii="宋体" w:hAnsi="宋体"/>
                <w:szCs w:val="21"/>
                <w:highlight w:val="none"/>
              </w:rPr>
            </w:pPr>
          </w:p>
        </w:tc>
        <w:tc>
          <w:tcPr>
            <w:tcW w:w="1197" w:type="dxa"/>
          </w:tcPr>
          <w:p>
            <w:pPr>
              <w:spacing w:after="60"/>
              <w:rPr>
                <w:rFonts w:ascii="宋体" w:hAnsi="宋体"/>
                <w:szCs w:val="21"/>
                <w:highlight w:val="none"/>
              </w:rPr>
            </w:pPr>
          </w:p>
        </w:tc>
        <w:tc>
          <w:tcPr>
            <w:tcW w:w="1134" w:type="dxa"/>
          </w:tcPr>
          <w:p>
            <w:pPr>
              <w:spacing w:after="60"/>
              <w:rPr>
                <w:rFonts w:ascii="宋体" w:hAnsi="宋体"/>
                <w:szCs w:val="21"/>
                <w:highlight w:val="none"/>
              </w:rPr>
            </w:pPr>
          </w:p>
        </w:tc>
        <w:tc>
          <w:tcPr>
            <w:tcW w:w="1701" w:type="dxa"/>
          </w:tcPr>
          <w:p>
            <w:pPr>
              <w:spacing w:after="60"/>
              <w:rPr>
                <w:rFonts w:ascii="宋体" w:hAnsi="宋体"/>
                <w:szCs w:val="21"/>
                <w:highlight w:val="none"/>
              </w:rPr>
            </w:pPr>
          </w:p>
        </w:tc>
        <w:tc>
          <w:tcPr>
            <w:tcW w:w="120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spacing w:after="60"/>
              <w:rPr>
                <w:rFonts w:ascii="宋体" w:hAnsi="宋体"/>
                <w:szCs w:val="21"/>
                <w:highlight w:val="none"/>
              </w:rPr>
            </w:pPr>
          </w:p>
        </w:tc>
        <w:tc>
          <w:tcPr>
            <w:tcW w:w="2347" w:type="dxa"/>
          </w:tcPr>
          <w:p>
            <w:pPr>
              <w:spacing w:after="60"/>
              <w:rPr>
                <w:rFonts w:ascii="宋体" w:hAnsi="宋体"/>
                <w:szCs w:val="21"/>
                <w:highlight w:val="none"/>
              </w:rPr>
            </w:pPr>
          </w:p>
        </w:tc>
        <w:tc>
          <w:tcPr>
            <w:tcW w:w="1197" w:type="dxa"/>
          </w:tcPr>
          <w:p>
            <w:pPr>
              <w:spacing w:after="60"/>
              <w:rPr>
                <w:rFonts w:ascii="宋体" w:hAnsi="宋体"/>
                <w:szCs w:val="21"/>
                <w:highlight w:val="none"/>
              </w:rPr>
            </w:pPr>
          </w:p>
        </w:tc>
        <w:tc>
          <w:tcPr>
            <w:tcW w:w="1134" w:type="dxa"/>
          </w:tcPr>
          <w:p>
            <w:pPr>
              <w:spacing w:after="60"/>
              <w:rPr>
                <w:rFonts w:ascii="宋体" w:hAnsi="宋体"/>
                <w:szCs w:val="21"/>
                <w:highlight w:val="none"/>
              </w:rPr>
            </w:pPr>
          </w:p>
        </w:tc>
        <w:tc>
          <w:tcPr>
            <w:tcW w:w="1701" w:type="dxa"/>
          </w:tcPr>
          <w:p>
            <w:pPr>
              <w:spacing w:after="60"/>
              <w:rPr>
                <w:rFonts w:ascii="宋体" w:hAnsi="宋体"/>
                <w:szCs w:val="21"/>
                <w:highlight w:val="none"/>
              </w:rPr>
            </w:pPr>
          </w:p>
        </w:tc>
        <w:tc>
          <w:tcPr>
            <w:tcW w:w="120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spacing w:after="60"/>
              <w:rPr>
                <w:rFonts w:ascii="宋体" w:hAnsi="宋体"/>
                <w:szCs w:val="21"/>
                <w:highlight w:val="none"/>
              </w:rPr>
            </w:pPr>
          </w:p>
        </w:tc>
        <w:tc>
          <w:tcPr>
            <w:tcW w:w="2347" w:type="dxa"/>
          </w:tcPr>
          <w:p>
            <w:pPr>
              <w:spacing w:after="60"/>
              <w:rPr>
                <w:rFonts w:ascii="宋体" w:hAnsi="宋体"/>
                <w:szCs w:val="21"/>
                <w:highlight w:val="none"/>
              </w:rPr>
            </w:pPr>
          </w:p>
        </w:tc>
        <w:tc>
          <w:tcPr>
            <w:tcW w:w="1197" w:type="dxa"/>
          </w:tcPr>
          <w:p>
            <w:pPr>
              <w:spacing w:after="60"/>
              <w:rPr>
                <w:rFonts w:ascii="宋体" w:hAnsi="宋体"/>
                <w:szCs w:val="21"/>
                <w:highlight w:val="none"/>
              </w:rPr>
            </w:pPr>
          </w:p>
        </w:tc>
        <w:tc>
          <w:tcPr>
            <w:tcW w:w="1134" w:type="dxa"/>
          </w:tcPr>
          <w:p>
            <w:pPr>
              <w:spacing w:after="60"/>
              <w:rPr>
                <w:rFonts w:ascii="宋体" w:hAnsi="宋体"/>
                <w:szCs w:val="21"/>
                <w:highlight w:val="none"/>
              </w:rPr>
            </w:pPr>
          </w:p>
        </w:tc>
        <w:tc>
          <w:tcPr>
            <w:tcW w:w="1701" w:type="dxa"/>
          </w:tcPr>
          <w:p>
            <w:pPr>
              <w:spacing w:after="60"/>
              <w:rPr>
                <w:rFonts w:ascii="宋体" w:hAnsi="宋体"/>
                <w:szCs w:val="21"/>
                <w:highlight w:val="none"/>
              </w:rPr>
            </w:pPr>
          </w:p>
        </w:tc>
        <w:tc>
          <w:tcPr>
            <w:tcW w:w="120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spacing w:after="60"/>
              <w:rPr>
                <w:rFonts w:ascii="宋体" w:hAnsi="宋体"/>
                <w:szCs w:val="21"/>
                <w:highlight w:val="none"/>
              </w:rPr>
            </w:pPr>
          </w:p>
        </w:tc>
        <w:tc>
          <w:tcPr>
            <w:tcW w:w="2347" w:type="dxa"/>
          </w:tcPr>
          <w:p>
            <w:pPr>
              <w:spacing w:after="60"/>
              <w:rPr>
                <w:rFonts w:ascii="宋体" w:hAnsi="宋体"/>
                <w:szCs w:val="21"/>
                <w:highlight w:val="none"/>
              </w:rPr>
            </w:pPr>
          </w:p>
        </w:tc>
        <w:tc>
          <w:tcPr>
            <w:tcW w:w="1197" w:type="dxa"/>
          </w:tcPr>
          <w:p>
            <w:pPr>
              <w:spacing w:after="60"/>
              <w:rPr>
                <w:rFonts w:ascii="宋体" w:hAnsi="宋体"/>
                <w:szCs w:val="21"/>
                <w:highlight w:val="none"/>
              </w:rPr>
            </w:pPr>
          </w:p>
        </w:tc>
        <w:tc>
          <w:tcPr>
            <w:tcW w:w="1134" w:type="dxa"/>
          </w:tcPr>
          <w:p>
            <w:pPr>
              <w:spacing w:after="60"/>
              <w:rPr>
                <w:rFonts w:ascii="宋体" w:hAnsi="宋体"/>
                <w:szCs w:val="21"/>
                <w:highlight w:val="none"/>
              </w:rPr>
            </w:pPr>
          </w:p>
        </w:tc>
        <w:tc>
          <w:tcPr>
            <w:tcW w:w="1701" w:type="dxa"/>
          </w:tcPr>
          <w:p>
            <w:pPr>
              <w:spacing w:after="60"/>
              <w:rPr>
                <w:rFonts w:ascii="宋体" w:hAnsi="宋体"/>
                <w:szCs w:val="21"/>
                <w:highlight w:val="none"/>
              </w:rPr>
            </w:pPr>
          </w:p>
        </w:tc>
        <w:tc>
          <w:tcPr>
            <w:tcW w:w="120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spacing w:after="60"/>
              <w:rPr>
                <w:rFonts w:ascii="宋体" w:hAnsi="宋体"/>
                <w:szCs w:val="21"/>
                <w:highlight w:val="none"/>
              </w:rPr>
            </w:pPr>
          </w:p>
        </w:tc>
        <w:tc>
          <w:tcPr>
            <w:tcW w:w="2347" w:type="dxa"/>
          </w:tcPr>
          <w:p>
            <w:pPr>
              <w:spacing w:after="60"/>
              <w:rPr>
                <w:rFonts w:ascii="宋体" w:hAnsi="宋体"/>
                <w:szCs w:val="21"/>
                <w:highlight w:val="none"/>
              </w:rPr>
            </w:pPr>
          </w:p>
        </w:tc>
        <w:tc>
          <w:tcPr>
            <w:tcW w:w="1197" w:type="dxa"/>
          </w:tcPr>
          <w:p>
            <w:pPr>
              <w:spacing w:after="60"/>
              <w:rPr>
                <w:rFonts w:ascii="宋体" w:hAnsi="宋体"/>
                <w:szCs w:val="21"/>
                <w:highlight w:val="none"/>
              </w:rPr>
            </w:pPr>
          </w:p>
        </w:tc>
        <w:tc>
          <w:tcPr>
            <w:tcW w:w="1134" w:type="dxa"/>
          </w:tcPr>
          <w:p>
            <w:pPr>
              <w:spacing w:after="60"/>
              <w:rPr>
                <w:rFonts w:ascii="宋体" w:hAnsi="宋体"/>
                <w:szCs w:val="21"/>
                <w:highlight w:val="none"/>
              </w:rPr>
            </w:pPr>
          </w:p>
        </w:tc>
        <w:tc>
          <w:tcPr>
            <w:tcW w:w="1701" w:type="dxa"/>
          </w:tcPr>
          <w:p>
            <w:pPr>
              <w:spacing w:after="60"/>
              <w:rPr>
                <w:rFonts w:ascii="宋体" w:hAnsi="宋体"/>
                <w:szCs w:val="21"/>
                <w:highlight w:val="none"/>
              </w:rPr>
            </w:pPr>
          </w:p>
        </w:tc>
        <w:tc>
          <w:tcPr>
            <w:tcW w:w="120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spacing w:after="60"/>
              <w:rPr>
                <w:rFonts w:ascii="宋体" w:hAnsi="宋体"/>
                <w:szCs w:val="21"/>
                <w:highlight w:val="none"/>
              </w:rPr>
            </w:pPr>
          </w:p>
        </w:tc>
        <w:tc>
          <w:tcPr>
            <w:tcW w:w="2347" w:type="dxa"/>
          </w:tcPr>
          <w:p>
            <w:pPr>
              <w:spacing w:after="60"/>
              <w:rPr>
                <w:rFonts w:ascii="宋体" w:hAnsi="宋体"/>
                <w:szCs w:val="21"/>
                <w:highlight w:val="none"/>
              </w:rPr>
            </w:pPr>
          </w:p>
        </w:tc>
        <w:tc>
          <w:tcPr>
            <w:tcW w:w="1197" w:type="dxa"/>
          </w:tcPr>
          <w:p>
            <w:pPr>
              <w:spacing w:after="60"/>
              <w:rPr>
                <w:rFonts w:ascii="宋体" w:hAnsi="宋体"/>
                <w:szCs w:val="21"/>
                <w:highlight w:val="none"/>
              </w:rPr>
            </w:pPr>
          </w:p>
        </w:tc>
        <w:tc>
          <w:tcPr>
            <w:tcW w:w="1134" w:type="dxa"/>
          </w:tcPr>
          <w:p>
            <w:pPr>
              <w:spacing w:after="60"/>
              <w:rPr>
                <w:rFonts w:ascii="宋体" w:hAnsi="宋体"/>
                <w:szCs w:val="21"/>
                <w:highlight w:val="none"/>
              </w:rPr>
            </w:pPr>
          </w:p>
        </w:tc>
        <w:tc>
          <w:tcPr>
            <w:tcW w:w="1701" w:type="dxa"/>
          </w:tcPr>
          <w:p>
            <w:pPr>
              <w:spacing w:after="60"/>
              <w:rPr>
                <w:rFonts w:ascii="宋体" w:hAnsi="宋体"/>
                <w:szCs w:val="21"/>
                <w:highlight w:val="none"/>
              </w:rPr>
            </w:pPr>
          </w:p>
        </w:tc>
        <w:tc>
          <w:tcPr>
            <w:tcW w:w="120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spacing w:after="60"/>
              <w:rPr>
                <w:rFonts w:ascii="宋体" w:hAnsi="宋体"/>
                <w:szCs w:val="21"/>
                <w:highlight w:val="none"/>
              </w:rPr>
            </w:pPr>
          </w:p>
        </w:tc>
        <w:tc>
          <w:tcPr>
            <w:tcW w:w="2347" w:type="dxa"/>
          </w:tcPr>
          <w:p>
            <w:pPr>
              <w:spacing w:after="60"/>
              <w:rPr>
                <w:rFonts w:ascii="宋体" w:hAnsi="宋体"/>
                <w:szCs w:val="21"/>
                <w:highlight w:val="none"/>
              </w:rPr>
            </w:pPr>
          </w:p>
        </w:tc>
        <w:tc>
          <w:tcPr>
            <w:tcW w:w="1197" w:type="dxa"/>
          </w:tcPr>
          <w:p>
            <w:pPr>
              <w:spacing w:after="60"/>
              <w:rPr>
                <w:rFonts w:ascii="宋体" w:hAnsi="宋体"/>
                <w:szCs w:val="21"/>
                <w:highlight w:val="none"/>
              </w:rPr>
            </w:pPr>
          </w:p>
        </w:tc>
        <w:tc>
          <w:tcPr>
            <w:tcW w:w="1134" w:type="dxa"/>
          </w:tcPr>
          <w:p>
            <w:pPr>
              <w:spacing w:after="60"/>
              <w:rPr>
                <w:rFonts w:ascii="宋体" w:hAnsi="宋体"/>
                <w:szCs w:val="21"/>
                <w:highlight w:val="none"/>
              </w:rPr>
            </w:pPr>
          </w:p>
        </w:tc>
        <w:tc>
          <w:tcPr>
            <w:tcW w:w="1701" w:type="dxa"/>
          </w:tcPr>
          <w:p>
            <w:pPr>
              <w:spacing w:after="60"/>
              <w:rPr>
                <w:rFonts w:ascii="宋体" w:hAnsi="宋体"/>
                <w:szCs w:val="21"/>
                <w:highlight w:val="none"/>
              </w:rPr>
            </w:pPr>
          </w:p>
        </w:tc>
        <w:tc>
          <w:tcPr>
            <w:tcW w:w="1206" w:type="dxa"/>
          </w:tcPr>
          <w:p>
            <w:pPr>
              <w:spacing w:after="60"/>
              <w:rPr>
                <w:rFonts w:ascii="宋体" w:hAnsi="宋体"/>
                <w:szCs w:val="21"/>
                <w:highlight w:val="none"/>
              </w:rPr>
            </w:pPr>
          </w:p>
        </w:tc>
      </w:tr>
    </w:tbl>
    <w:p>
      <w:pPr>
        <w:spacing w:before="156" w:after="156"/>
        <w:jc w:val="left"/>
        <w:rPr>
          <w:highlight w:val="none"/>
        </w:rPr>
      </w:pPr>
      <w:r>
        <w:rPr>
          <w:rFonts w:hint="eastAsia"/>
          <w:highlight w:val="none"/>
        </w:rPr>
        <w:t>注：</w:t>
      </w:r>
      <w:r>
        <w:rPr>
          <w:rFonts w:hint="eastAsia"/>
          <w:highlight w:val="none"/>
          <w:lang w:val="en-US" w:eastAsia="zh-CN"/>
        </w:rPr>
        <w:t>本格式仅供参考，请投标人根据招标文件要求提供证明文件复印件</w:t>
      </w:r>
      <w:r>
        <w:rPr>
          <w:rFonts w:hint="eastAsia"/>
          <w:highlight w:val="none"/>
        </w:rPr>
        <w:t>，加盖投标人公章，原件备查。</w:t>
      </w:r>
    </w:p>
    <w:p>
      <w:pPr>
        <w:spacing w:after="60"/>
        <w:rPr>
          <w:highlight w:val="none"/>
        </w:rPr>
      </w:pPr>
    </w:p>
    <w:p>
      <w:pPr>
        <w:spacing w:after="60"/>
        <w:rPr>
          <w:rFonts w:cs="Arial"/>
          <w:highlight w:val="none"/>
        </w:rPr>
      </w:pPr>
      <w:r>
        <w:rPr>
          <w:rFonts w:hint="eastAsia" w:cs="Arial"/>
          <w:highlight w:val="none"/>
        </w:rPr>
        <w:t>投标人代表签字________________________</w:t>
      </w:r>
    </w:p>
    <w:p>
      <w:pPr>
        <w:spacing w:after="60"/>
        <w:rPr>
          <w:rFonts w:cs="Arial"/>
          <w:highlight w:val="none"/>
        </w:rPr>
      </w:pPr>
    </w:p>
    <w:p>
      <w:pPr>
        <w:spacing w:after="60"/>
        <w:rPr>
          <w:rFonts w:cs="Arial"/>
          <w:highlight w:val="none"/>
        </w:rPr>
      </w:pPr>
    </w:p>
    <w:p>
      <w:pPr>
        <w:spacing w:after="60"/>
        <w:rPr>
          <w:highlight w:val="none"/>
        </w:rPr>
      </w:pPr>
      <w:r>
        <w:rPr>
          <w:rFonts w:hint="eastAsia" w:cs="Arial"/>
          <w:highlight w:val="none"/>
        </w:rPr>
        <w:t>投标单位盖章：________________________</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left"/>
        <w:rPr>
          <w:sz w:val="24"/>
          <w:highlight w:val="none"/>
        </w:rPr>
      </w:pPr>
    </w:p>
    <w:p>
      <w:pPr>
        <w:rPr>
          <w:b/>
          <w:bCs/>
          <w:sz w:val="30"/>
          <w:highlight w:val="none"/>
        </w:rPr>
      </w:pPr>
      <w:r>
        <w:rPr>
          <w:rFonts w:hint="eastAsia"/>
          <w:b/>
          <w:bCs/>
          <w:sz w:val="30"/>
          <w:highlight w:val="none"/>
        </w:rPr>
        <w:br w:type="page"/>
      </w:r>
    </w:p>
    <w:p>
      <w:pPr>
        <w:jc w:val="center"/>
        <w:outlineLvl w:val="1"/>
        <w:rPr>
          <w:rFonts w:hint="eastAsia"/>
          <w:b/>
          <w:bCs/>
          <w:sz w:val="30"/>
          <w:highlight w:val="none"/>
        </w:rPr>
      </w:pPr>
      <w:r>
        <w:rPr>
          <w:rFonts w:hint="eastAsia"/>
          <w:b/>
          <w:bCs/>
          <w:sz w:val="30"/>
          <w:highlight w:val="none"/>
          <w:lang w:eastAsia="zh-CN"/>
        </w:rPr>
        <w:t>（</w:t>
      </w:r>
      <w:r>
        <w:rPr>
          <w:rFonts w:hint="eastAsia"/>
          <w:b/>
          <w:bCs/>
          <w:sz w:val="30"/>
          <w:highlight w:val="none"/>
          <w:lang w:val="en-US" w:eastAsia="zh-CN"/>
        </w:rPr>
        <w:t>十一</w:t>
      </w:r>
      <w:r>
        <w:rPr>
          <w:rFonts w:hint="eastAsia"/>
          <w:b/>
          <w:bCs/>
          <w:sz w:val="30"/>
          <w:highlight w:val="none"/>
          <w:lang w:eastAsia="zh-CN"/>
        </w:rPr>
        <w:t>）</w:t>
      </w:r>
      <w:r>
        <w:rPr>
          <w:rFonts w:hint="eastAsia"/>
          <w:b/>
          <w:bCs/>
          <w:sz w:val="30"/>
          <w:highlight w:val="none"/>
        </w:rPr>
        <w:t>拟安排的项目负责人情况（仅限一人）</w:t>
      </w:r>
    </w:p>
    <w:p>
      <w:pPr>
        <w:spacing w:after="60"/>
        <w:rPr>
          <w:rFonts w:ascii="宋体" w:hAnsi="宋体" w:cs="Arial"/>
          <w:szCs w:val="21"/>
          <w:highlight w:val="none"/>
        </w:rPr>
      </w:pPr>
      <w:r>
        <w:rPr>
          <w:rFonts w:hint="eastAsia" w:ascii="宋体" w:hAnsi="宋体" w:cs="Arial"/>
          <w:szCs w:val="21"/>
          <w:highlight w:val="none"/>
        </w:rPr>
        <w:t>投标人名称__________________</w:t>
      </w:r>
    </w:p>
    <w:p>
      <w:pPr>
        <w:spacing w:after="60"/>
        <w:rPr>
          <w:rFonts w:ascii="宋体" w:hAnsi="宋体" w:cs="Arial"/>
          <w:szCs w:val="21"/>
          <w:highlight w:val="none"/>
        </w:rPr>
      </w:pPr>
      <w:r>
        <w:rPr>
          <w:rFonts w:hint="eastAsia" w:ascii="宋体" w:hAnsi="宋体" w:cs="Arial"/>
          <w:szCs w:val="21"/>
          <w:highlight w:val="none"/>
        </w:rPr>
        <w:t>招标编号____________________</w:t>
      </w:r>
    </w:p>
    <w:p>
      <w:pPr>
        <w:spacing w:before="156" w:after="156"/>
        <w:rPr>
          <w:highlight w:val="none"/>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800"/>
        <w:gridCol w:w="1260"/>
        <w:gridCol w:w="3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18" w:type="dxa"/>
          </w:tcPr>
          <w:p>
            <w:pPr>
              <w:spacing w:after="60"/>
              <w:jc w:val="center"/>
              <w:rPr>
                <w:rFonts w:ascii="宋体" w:hAnsi="宋体"/>
                <w:szCs w:val="21"/>
                <w:highlight w:val="none"/>
              </w:rPr>
            </w:pPr>
            <w:r>
              <w:rPr>
                <w:rFonts w:hint="eastAsia" w:ascii="宋体" w:hAnsi="宋体"/>
                <w:szCs w:val="21"/>
                <w:highlight w:val="none"/>
              </w:rPr>
              <w:t>姓名</w:t>
            </w:r>
          </w:p>
        </w:tc>
        <w:tc>
          <w:tcPr>
            <w:tcW w:w="1800" w:type="dxa"/>
          </w:tcPr>
          <w:p>
            <w:pPr>
              <w:spacing w:after="60"/>
              <w:jc w:val="center"/>
              <w:rPr>
                <w:rFonts w:ascii="宋体" w:hAnsi="宋体"/>
                <w:szCs w:val="21"/>
                <w:highlight w:val="none"/>
              </w:rPr>
            </w:pPr>
            <w:r>
              <w:rPr>
                <w:rFonts w:hint="eastAsia" w:ascii="宋体" w:hAnsi="宋体"/>
                <w:szCs w:val="21"/>
                <w:highlight w:val="none"/>
              </w:rPr>
              <w:t>部门和职务</w:t>
            </w:r>
          </w:p>
        </w:tc>
        <w:tc>
          <w:tcPr>
            <w:tcW w:w="1260" w:type="dxa"/>
          </w:tcPr>
          <w:p>
            <w:pPr>
              <w:tabs>
                <w:tab w:val="center" w:pos="522"/>
              </w:tabs>
              <w:spacing w:after="6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职称</w:t>
            </w:r>
          </w:p>
        </w:tc>
        <w:tc>
          <w:tcPr>
            <w:tcW w:w="3976" w:type="dxa"/>
          </w:tcPr>
          <w:p>
            <w:pPr>
              <w:spacing w:after="60"/>
              <w:jc w:val="center"/>
              <w:rPr>
                <w:rFonts w:ascii="宋体" w:hAnsi="宋体"/>
                <w:szCs w:val="21"/>
                <w:highlight w:val="none"/>
              </w:rPr>
            </w:pPr>
            <w:r>
              <w:rPr>
                <w:rFonts w:hint="eastAsia" w:ascii="宋体" w:hAnsi="宋体"/>
                <w:szCs w:val="21"/>
                <w:highlight w:val="none"/>
              </w:rPr>
              <w:t>主要资历、经验及承担过的项目</w:t>
            </w:r>
          </w:p>
        </w:tc>
      </w:tr>
      <w:tr>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bl>
    <w:p>
      <w:pPr>
        <w:spacing w:after="60"/>
        <w:rPr>
          <w:highlight w:val="none"/>
        </w:rPr>
      </w:pPr>
    </w:p>
    <w:p>
      <w:pPr>
        <w:spacing w:after="60"/>
        <w:rPr>
          <w:highlight w:val="none"/>
        </w:rPr>
      </w:pPr>
    </w:p>
    <w:p>
      <w:pPr>
        <w:spacing w:after="60"/>
        <w:rPr>
          <w:rFonts w:ascii="宋体" w:hAnsi="宋体" w:cs="Arial"/>
          <w:szCs w:val="21"/>
          <w:highlight w:val="none"/>
        </w:rPr>
      </w:pPr>
      <w:r>
        <w:rPr>
          <w:rFonts w:hint="eastAsia" w:ascii="宋体" w:hAnsi="宋体" w:cs="Arial"/>
          <w:szCs w:val="21"/>
          <w:highlight w:val="none"/>
        </w:rPr>
        <w:t>投标人代表签字________________________</w:t>
      </w:r>
    </w:p>
    <w:p>
      <w:pPr>
        <w:spacing w:after="60"/>
        <w:rPr>
          <w:rFonts w:ascii="宋体" w:hAnsi="宋体" w:cs="Arial"/>
          <w:szCs w:val="21"/>
          <w:highlight w:val="none"/>
        </w:rPr>
      </w:pPr>
    </w:p>
    <w:p>
      <w:pPr>
        <w:spacing w:after="60"/>
        <w:rPr>
          <w:rFonts w:ascii="宋体" w:hAnsi="宋体" w:cs="Arial"/>
          <w:szCs w:val="21"/>
          <w:highlight w:val="none"/>
        </w:rPr>
      </w:pPr>
    </w:p>
    <w:p>
      <w:pPr>
        <w:rPr>
          <w:highlight w:val="none"/>
        </w:rPr>
      </w:pPr>
      <w:r>
        <w:rPr>
          <w:rFonts w:hint="eastAsia"/>
          <w:highlight w:val="none"/>
        </w:rPr>
        <w:t>投标单位盖章：________________________</w:t>
      </w:r>
    </w:p>
    <w:p>
      <w:pPr>
        <w:ind w:firstLine="420" w:firstLineChars="200"/>
        <w:rPr>
          <w:highlight w:val="none"/>
        </w:rPr>
      </w:pPr>
    </w:p>
    <w:p>
      <w:pPr>
        <w:ind w:firstLine="420" w:firstLineChars="200"/>
        <w:rPr>
          <w:rFonts w:ascii="宋体" w:hAnsi="宋体" w:cs="宋体"/>
          <w:szCs w:val="18"/>
          <w:highlight w:val="none"/>
        </w:rPr>
      </w:pPr>
      <w:r>
        <w:rPr>
          <w:highlight w:val="none"/>
        </w:rPr>
        <w:t>注：</w:t>
      </w:r>
      <w:r>
        <w:rPr>
          <w:rFonts w:hint="eastAsia"/>
          <w:highlight w:val="none"/>
          <w:lang w:val="en-US" w:eastAsia="zh-CN"/>
        </w:rPr>
        <w:t>提供相关</w:t>
      </w:r>
      <w:r>
        <w:rPr>
          <w:rFonts w:hint="eastAsia" w:ascii="宋体" w:hAnsi="宋体" w:cs="宋体"/>
          <w:szCs w:val="18"/>
          <w:highlight w:val="none"/>
        </w:rPr>
        <w:t>证明材料等复印件，加盖投标人公章，原件备查。</w:t>
      </w:r>
    </w:p>
    <w:p>
      <w:pPr>
        <w:rPr>
          <w:highlight w:val="none"/>
        </w:rPr>
      </w:pPr>
      <w:r>
        <w:rPr>
          <w:rFonts w:hint="eastAsia"/>
          <w:highlight w:val="none"/>
        </w:rPr>
        <w:br w:type="page"/>
      </w:r>
    </w:p>
    <w:p/>
    <w:p>
      <w:pPr>
        <w:jc w:val="left"/>
        <w:outlineLvl w:val="9"/>
        <w:rPr>
          <w:rFonts w:hint="eastAsia"/>
        </w:rPr>
      </w:pPr>
    </w:p>
    <w:p>
      <w:pPr>
        <w:jc w:val="left"/>
        <w:outlineLvl w:val="9"/>
        <w:rPr>
          <w:rFonts w:hint="eastAsia"/>
        </w:rPr>
      </w:pPr>
    </w:p>
    <w:p>
      <w:pPr>
        <w:jc w:val="center"/>
        <w:outlineLvl w:val="1"/>
        <w:rPr>
          <w:rFonts w:hint="eastAsia"/>
          <w:b/>
          <w:bCs/>
          <w:sz w:val="30"/>
          <w:highlight w:val="none"/>
        </w:rPr>
      </w:pPr>
      <w:r>
        <w:rPr>
          <w:rFonts w:hint="eastAsia"/>
          <w:b/>
          <w:bCs/>
          <w:sz w:val="30"/>
          <w:highlight w:val="none"/>
          <w:lang w:eastAsia="zh-CN"/>
        </w:rPr>
        <w:t>（</w:t>
      </w:r>
      <w:r>
        <w:rPr>
          <w:rFonts w:hint="eastAsia"/>
          <w:b/>
          <w:bCs/>
          <w:sz w:val="30"/>
          <w:highlight w:val="none"/>
          <w:lang w:val="en-US" w:eastAsia="zh-CN"/>
        </w:rPr>
        <w:t>十二</w:t>
      </w:r>
      <w:r>
        <w:rPr>
          <w:rFonts w:hint="eastAsia"/>
          <w:b/>
          <w:bCs/>
          <w:sz w:val="30"/>
          <w:highlight w:val="none"/>
          <w:lang w:eastAsia="zh-CN"/>
        </w:rPr>
        <w:t>）</w:t>
      </w:r>
      <w:r>
        <w:rPr>
          <w:rFonts w:hint="eastAsia"/>
          <w:b/>
          <w:bCs/>
          <w:sz w:val="30"/>
          <w:highlight w:val="none"/>
        </w:rPr>
        <w:t>拟安排的项目主要团队成员（主要技术人员）情况</w:t>
      </w:r>
    </w:p>
    <w:p>
      <w:pPr>
        <w:jc w:val="center"/>
        <w:outlineLvl w:val="1"/>
        <w:rPr>
          <w:rFonts w:hint="eastAsia"/>
          <w:b/>
          <w:bCs/>
          <w:sz w:val="30"/>
          <w:highlight w:val="none"/>
        </w:rPr>
      </w:pPr>
      <w:r>
        <w:rPr>
          <w:rFonts w:hint="eastAsia"/>
          <w:b/>
          <w:bCs/>
          <w:sz w:val="30"/>
          <w:highlight w:val="none"/>
        </w:rPr>
        <w:t>（项目负责人除外）</w:t>
      </w:r>
    </w:p>
    <w:p>
      <w:pPr>
        <w:spacing w:after="60"/>
        <w:rPr>
          <w:rFonts w:ascii="宋体" w:hAnsi="宋体" w:cs="Arial"/>
          <w:szCs w:val="21"/>
          <w:highlight w:val="none"/>
        </w:rPr>
      </w:pPr>
      <w:r>
        <w:rPr>
          <w:rFonts w:hint="eastAsia" w:ascii="宋体" w:hAnsi="宋体" w:cs="Arial"/>
          <w:szCs w:val="21"/>
          <w:highlight w:val="none"/>
        </w:rPr>
        <w:t>投标人名称__________________</w:t>
      </w:r>
    </w:p>
    <w:p>
      <w:pPr>
        <w:spacing w:after="60"/>
        <w:rPr>
          <w:rFonts w:ascii="宋体" w:hAnsi="宋体" w:cs="Arial"/>
          <w:szCs w:val="21"/>
          <w:highlight w:val="none"/>
        </w:rPr>
      </w:pPr>
      <w:r>
        <w:rPr>
          <w:rFonts w:hint="eastAsia" w:ascii="宋体" w:hAnsi="宋体" w:cs="Arial"/>
          <w:szCs w:val="21"/>
          <w:highlight w:val="none"/>
        </w:rPr>
        <w:t>招标编号____________________</w:t>
      </w:r>
    </w:p>
    <w:p>
      <w:pPr>
        <w:spacing w:before="156" w:after="156"/>
        <w:rPr>
          <w:highlight w:val="none"/>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800"/>
        <w:gridCol w:w="1260"/>
        <w:gridCol w:w="3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18" w:type="dxa"/>
          </w:tcPr>
          <w:p>
            <w:pPr>
              <w:spacing w:after="60"/>
              <w:jc w:val="center"/>
              <w:rPr>
                <w:rFonts w:ascii="宋体" w:hAnsi="宋体"/>
                <w:szCs w:val="21"/>
                <w:highlight w:val="none"/>
              </w:rPr>
            </w:pPr>
            <w:r>
              <w:rPr>
                <w:rFonts w:hint="eastAsia" w:ascii="宋体" w:hAnsi="宋体"/>
                <w:szCs w:val="21"/>
                <w:highlight w:val="none"/>
              </w:rPr>
              <w:t>姓名</w:t>
            </w:r>
          </w:p>
        </w:tc>
        <w:tc>
          <w:tcPr>
            <w:tcW w:w="1800" w:type="dxa"/>
          </w:tcPr>
          <w:p>
            <w:pPr>
              <w:spacing w:after="60"/>
              <w:jc w:val="center"/>
              <w:rPr>
                <w:rFonts w:ascii="宋体" w:hAnsi="宋体"/>
                <w:szCs w:val="21"/>
                <w:highlight w:val="none"/>
              </w:rPr>
            </w:pPr>
            <w:r>
              <w:rPr>
                <w:rFonts w:hint="eastAsia" w:ascii="宋体" w:hAnsi="宋体"/>
                <w:szCs w:val="21"/>
                <w:highlight w:val="none"/>
              </w:rPr>
              <w:t>部门和职务</w:t>
            </w:r>
          </w:p>
        </w:tc>
        <w:tc>
          <w:tcPr>
            <w:tcW w:w="1260" w:type="dxa"/>
          </w:tcPr>
          <w:p>
            <w:pPr>
              <w:tabs>
                <w:tab w:val="center" w:pos="522"/>
              </w:tabs>
              <w:spacing w:after="60"/>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职称</w:t>
            </w:r>
          </w:p>
        </w:tc>
        <w:tc>
          <w:tcPr>
            <w:tcW w:w="3976" w:type="dxa"/>
          </w:tcPr>
          <w:p>
            <w:pPr>
              <w:spacing w:after="60"/>
              <w:jc w:val="center"/>
              <w:rPr>
                <w:rFonts w:ascii="宋体" w:hAnsi="宋体"/>
                <w:szCs w:val="21"/>
                <w:highlight w:val="none"/>
              </w:rPr>
            </w:pPr>
            <w:r>
              <w:rPr>
                <w:rFonts w:hint="eastAsia" w:ascii="宋体" w:hAnsi="宋体"/>
                <w:szCs w:val="21"/>
                <w:highlight w:val="none"/>
              </w:rPr>
              <w:t>主要资历、经验及承担过的项目</w:t>
            </w:r>
          </w:p>
        </w:tc>
      </w:tr>
      <w:tr>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spacing w:after="60"/>
              <w:rPr>
                <w:rFonts w:ascii="宋体" w:hAnsi="宋体"/>
                <w:szCs w:val="21"/>
                <w:highlight w:val="none"/>
              </w:rPr>
            </w:pPr>
          </w:p>
        </w:tc>
        <w:tc>
          <w:tcPr>
            <w:tcW w:w="1800" w:type="dxa"/>
          </w:tcPr>
          <w:p>
            <w:pPr>
              <w:spacing w:after="60"/>
              <w:rPr>
                <w:rFonts w:ascii="宋体" w:hAnsi="宋体"/>
                <w:szCs w:val="21"/>
                <w:highlight w:val="none"/>
              </w:rPr>
            </w:pPr>
          </w:p>
        </w:tc>
        <w:tc>
          <w:tcPr>
            <w:tcW w:w="1260" w:type="dxa"/>
          </w:tcPr>
          <w:p>
            <w:pPr>
              <w:spacing w:after="60"/>
              <w:rPr>
                <w:rFonts w:ascii="宋体" w:hAnsi="宋体"/>
                <w:szCs w:val="21"/>
                <w:highlight w:val="none"/>
              </w:rPr>
            </w:pPr>
          </w:p>
        </w:tc>
        <w:tc>
          <w:tcPr>
            <w:tcW w:w="3976" w:type="dxa"/>
          </w:tcPr>
          <w:p>
            <w:pPr>
              <w:spacing w:after="60"/>
              <w:rPr>
                <w:rFonts w:ascii="宋体" w:hAnsi="宋体"/>
                <w:szCs w:val="21"/>
                <w:highlight w:val="none"/>
              </w:rPr>
            </w:pPr>
          </w:p>
        </w:tc>
      </w:tr>
    </w:tbl>
    <w:p>
      <w:pPr>
        <w:spacing w:after="60"/>
        <w:rPr>
          <w:highlight w:val="none"/>
        </w:rPr>
      </w:pPr>
    </w:p>
    <w:p>
      <w:pPr>
        <w:spacing w:after="60"/>
        <w:rPr>
          <w:highlight w:val="none"/>
        </w:rPr>
      </w:pPr>
    </w:p>
    <w:p>
      <w:pPr>
        <w:spacing w:after="60"/>
        <w:rPr>
          <w:rFonts w:ascii="宋体" w:hAnsi="宋体" w:cs="Arial"/>
          <w:szCs w:val="21"/>
          <w:highlight w:val="none"/>
        </w:rPr>
      </w:pPr>
      <w:r>
        <w:rPr>
          <w:rFonts w:hint="eastAsia" w:ascii="宋体" w:hAnsi="宋体" w:cs="Arial"/>
          <w:szCs w:val="21"/>
          <w:highlight w:val="none"/>
        </w:rPr>
        <w:t>投标人代表签字________________________</w:t>
      </w:r>
    </w:p>
    <w:p>
      <w:pPr>
        <w:spacing w:after="60"/>
        <w:rPr>
          <w:rFonts w:ascii="宋体" w:hAnsi="宋体" w:cs="Arial"/>
          <w:szCs w:val="21"/>
          <w:highlight w:val="none"/>
        </w:rPr>
      </w:pPr>
    </w:p>
    <w:p>
      <w:pPr>
        <w:spacing w:after="60"/>
        <w:rPr>
          <w:rFonts w:ascii="宋体" w:hAnsi="宋体" w:cs="Arial"/>
          <w:szCs w:val="21"/>
          <w:highlight w:val="none"/>
        </w:rPr>
      </w:pPr>
    </w:p>
    <w:p>
      <w:pPr>
        <w:rPr>
          <w:highlight w:val="none"/>
        </w:rPr>
      </w:pPr>
      <w:r>
        <w:rPr>
          <w:rFonts w:hint="eastAsia"/>
          <w:highlight w:val="none"/>
        </w:rPr>
        <w:t>投标单位盖章：________________________</w:t>
      </w:r>
    </w:p>
    <w:p>
      <w:pPr>
        <w:ind w:firstLine="420" w:firstLineChars="200"/>
        <w:rPr>
          <w:highlight w:val="none"/>
        </w:rPr>
      </w:pPr>
    </w:p>
    <w:p>
      <w:pPr>
        <w:ind w:firstLine="420" w:firstLineChars="200"/>
        <w:rPr>
          <w:rFonts w:ascii="宋体" w:hAnsi="宋体" w:cs="宋体"/>
          <w:szCs w:val="18"/>
          <w:highlight w:val="none"/>
        </w:rPr>
      </w:pPr>
      <w:r>
        <w:rPr>
          <w:highlight w:val="none"/>
        </w:rPr>
        <w:t>注：</w:t>
      </w:r>
      <w:r>
        <w:rPr>
          <w:rFonts w:hint="eastAsia"/>
          <w:highlight w:val="none"/>
          <w:lang w:val="en-US" w:eastAsia="zh-CN"/>
        </w:rPr>
        <w:t>提供相关</w:t>
      </w:r>
      <w:r>
        <w:rPr>
          <w:rFonts w:hint="eastAsia" w:ascii="宋体" w:hAnsi="宋体" w:cs="宋体"/>
          <w:szCs w:val="18"/>
          <w:highlight w:val="none"/>
        </w:rPr>
        <w:t>证明材料等复印件，加盖投标人公章，原件备查。</w:t>
      </w:r>
    </w:p>
    <w:p>
      <w:pPr>
        <w:pStyle w:val="2"/>
        <w:rPr>
          <w:rFonts w:hint="eastAsia"/>
        </w:rPr>
      </w:pPr>
    </w:p>
    <w:bookmarkEnd w:id="95"/>
    <w:bookmarkEnd w:id="96"/>
    <w:bookmarkEnd w:id="97"/>
    <w:bookmarkEnd w:id="98"/>
    <w:bookmarkEnd w:id="99"/>
    <w:bookmarkEnd w:id="100"/>
    <w:p>
      <w:pPr>
        <w:ind w:left="0" w:firstLine="0" w:firstLineChars="0"/>
        <w:rPr>
          <w:rFonts w:hint="eastAsia"/>
          <w:b/>
          <w:bCs/>
          <w:sz w:val="30"/>
          <w:highlight w:val="none"/>
          <w:lang w:eastAsia="zh-CN"/>
        </w:rPr>
      </w:pPr>
      <w:r>
        <w:rPr>
          <w:rFonts w:hint="eastAsia"/>
          <w:b/>
          <w:bCs/>
          <w:sz w:val="30"/>
          <w:highlight w:val="none"/>
          <w:lang w:eastAsia="zh-CN"/>
        </w:rPr>
        <w:br w:type="page"/>
      </w:r>
    </w:p>
    <w:p>
      <w:pPr>
        <w:jc w:val="center"/>
        <w:outlineLvl w:val="1"/>
        <w:rPr>
          <w:rFonts w:hint="eastAsia" w:ascii="Times New Roman" w:hAnsi="Times New Roman" w:cs="Times New Roman"/>
          <w:b/>
          <w:bCs/>
          <w:sz w:val="30"/>
          <w:szCs w:val="24"/>
          <w:highlight w:val="none"/>
        </w:rPr>
      </w:pPr>
      <w:r>
        <w:rPr>
          <w:rFonts w:hint="eastAsia"/>
          <w:b/>
          <w:bCs/>
          <w:sz w:val="30"/>
          <w:highlight w:val="none"/>
          <w:lang w:eastAsia="zh-CN"/>
        </w:rPr>
        <w:t>（</w:t>
      </w:r>
      <w:r>
        <w:rPr>
          <w:rFonts w:hint="eastAsia"/>
          <w:b/>
          <w:bCs/>
          <w:sz w:val="30"/>
          <w:highlight w:val="none"/>
          <w:lang w:val="en-US" w:eastAsia="zh-CN"/>
        </w:rPr>
        <w:t>十三）</w:t>
      </w:r>
      <w:bookmarkStart w:id="101" w:name="_Toc27089"/>
      <w:bookmarkStart w:id="102" w:name="_Toc86918438"/>
      <w:bookmarkStart w:id="103" w:name="_Toc51746114"/>
      <w:bookmarkStart w:id="104" w:name="_Toc83405813"/>
      <w:bookmarkStart w:id="105" w:name="_Toc4907"/>
      <w:bookmarkStart w:id="106" w:name="_Toc30840"/>
      <w:r>
        <w:rPr>
          <w:rFonts w:hint="eastAsia" w:ascii="Times New Roman" w:hAnsi="Times New Roman" w:cs="Times New Roman"/>
          <w:b/>
          <w:bCs/>
          <w:sz w:val="30"/>
          <w:szCs w:val="24"/>
          <w:highlight w:val="none"/>
        </w:rPr>
        <w:t>投标人认为需提供的其它文件及评分所需证明文件</w:t>
      </w:r>
      <w:bookmarkEnd w:id="101"/>
      <w:bookmarkEnd w:id="102"/>
      <w:bookmarkEnd w:id="103"/>
      <w:bookmarkEnd w:id="104"/>
      <w:bookmarkEnd w:id="105"/>
      <w:bookmarkEnd w:id="106"/>
    </w:p>
    <w:p>
      <w:pPr>
        <w:pStyle w:val="5"/>
        <w:bidi w:val="0"/>
        <w:jc w:val="center"/>
        <w:rPr>
          <w:rFonts w:hint="eastAsia"/>
          <w:sz w:val="28"/>
          <w:szCs w:val="28"/>
          <w:highlight w:val="none"/>
        </w:rPr>
      </w:pPr>
      <w:bookmarkStart w:id="107" w:name="_Toc32052"/>
      <w:bookmarkStart w:id="108" w:name="_Toc28208"/>
      <w:bookmarkStart w:id="109" w:name="_Toc31380"/>
      <w:bookmarkStart w:id="110" w:name="_Toc14339"/>
      <w:bookmarkStart w:id="111" w:name="_Toc12873"/>
      <w:r>
        <w:rPr>
          <w:rFonts w:hint="eastAsia"/>
          <w:sz w:val="28"/>
          <w:szCs w:val="28"/>
          <w:highlight w:val="none"/>
        </w:rPr>
        <w:t>1.中小企业声明函（仅限小型企业、微型企业）</w:t>
      </w:r>
      <w:bookmarkEnd w:id="107"/>
    </w:p>
    <w:p>
      <w:pPr>
        <w:spacing w:line="2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本公司郑重声明，根据《政府采购促进中小企业发展管理办法》（财库﹝2020﹞46 号）的规定，本公司参加</w:t>
      </w:r>
      <w:r>
        <w:rPr>
          <w:rFonts w:hint="eastAsia" w:ascii="宋体" w:hAnsi="宋体" w:eastAsia="宋体" w:cs="宋体"/>
          <w:sz w:val="21"/>
          <w:szCs w:val="21"/>
          <w:highlight w:val="none"/>
          <w:u w:val="single"/>
        </w:rPr>
        <w:t xml:space="preserve">   （单位名称）   </w:t>
      </w:r>
      <w:r>
        <w:rPr>
          <w:rFonts w:hint="eastAsia" w:ascii="宋体" w:hAnsi="宋体" w:eastAsia="宋体" w:cs="宋体"/>
          <w:sz w:val="21"/>
          <w:szCs w:val="21"/>
          <w:highlight w:val="none"/>
        </w:rPr>
        <w:t xml:space="preserve">的 </w:t>
      </w:r>
      <w:r>
        <w:rPr>
          <w:rFonts w:hint="eastAsia" w:ascii="宋体" w:hAnsi="宋体" w:eastAsia="宋体" w:cs="宋体"/>
          <w:sz w:val="21"/>
          <w:szCs w:val="21"/>
          <w:highlight w:val="none"/>
          <w:u w:val="single"/>
        </w:rPr>
        <w:t xml:space="preserve">（项目名称）    </w:t>
      </w:r>
      <w:r>
        <w:rPr>
          <w:rFonts w:hint="eastAsia" w:ascii="宋体" w:hAnsi="宋体" w:eastAsia="宋体" w:cs="宋体"/>
          <w:sz w:val="21"/>
          <w:szCs w:val="21"/>
          <w:highlight w:val="none"/>
        </w:rPr>
        <w:t>采购活动，系中小企业承接全部服务，符合政策要求。本企业的具体情况如下：</w:t>
      </w:r>
    </w:p>
    <w:p>
      <w:pPr>
        <w:spacing w:line="2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（标的名称）     </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w:t>
      </w:r>
      <w:r>
        <w:rPr>
          <w:rFonts w:hint="eastAsia" w:ascii="宋体" w:hAnsi="宋体" w:eastAsia="宋体" w:cs="宋体"/>
          <w:b/>
          <w:bCs/>
          <w:sz w:val="21"/>
          <w:szCs w:val="21"/>
          <w:highlight w:val="none"/>
          <w:u w:val="single"/>
        </w:rPr>
        <w:t>其他未列明行业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；承接企业为</w:t>
      </w:r>
      <w:r>
        <w:rPr>
          <w:rFonts w:hint="eastAsia" w:ascii="宋体" w:hAnsi="宋体" w:eastAsia="宋体" w:cs="宋体"/>
          <w:sz w:val="21"/>
          <w:szCs w:val="21"/>
          <w:highlight w:val="none"/>
          <w:u w:val="single"/>
        </w:rPr>
        <w:t xml:space="preserve">  （企业名称）  </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 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万元，属于</w:t>
      </w:r>
      <w:r>
        <w:rPr>
          <w:rFonts w:hint="eastAsia" w:ascii="宋体" w:hAnsi="宋体" w:eastAsia="宋体" w:cs="宋体"/>
          <w:sz w:val="21"/>
          <w:szCs w:val="21"/>
          <w:highlight w:val="none"/>
          <w:u w:val="single"/>
        </w:rPr>
        <w:t xml:space="preserve">   （中型企业、 小型企业、微型企业）  </w:t>
      </w:r>
      <w:r>
        <w:rPr>
          <w:rFonts w:hint="eastAsia" w:ascii="宋体" w:hAnsi="宋体" w:eastAsia="宋体" w:cs="宋体"/>
          <w:sz w:val="21"/>
          <w:szCs w:val="21"/>
          <w:highlight w:val="none"/>
        </w:rPr>
        <w:t xml:space="preserve">； </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本公司不属于大企业的分支机构，不存在控股股东为大企业的情形，也不存在与大企业的负责人为同一人的情形。 </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本公司已知悉《政府采购促进中小企业发展管理办法》（财库〔2020〕46 号）、《中小企业划型标准规定》（工信部联企〔2011〕300 号）、《统计上大中小微型企业划分办法（2017）》等 规定，承诺提供的声明函内容是真实的，并知悉根据《政府采购促进中小企业发展管理办法》（财库〔2020〕46 号）第二十条规定，供应商按照本办法规定提供声明函内容不实的，属于提供虚假材料谋取中标、成交，依照《政府采购法》 等政府采购有关法律法规规定追究相应责任。本企业对上述声明内容的真实性负责。如有虚假，将依法承担相应责任。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企业名称：</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p>
    <w:p>
      <w:pPr>
        <w:wordWrap w:val="0"/>
        <w:ind w:firstLine="420" w:firstLineChars="200"/>
        <w:jc w:val="right"/>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pStyle w:val="5"/>
        <w:bidi w:val="0"/>
        <w:jc w:val="center"/>
        <w:rPr>
          <w:rFonts w:hint="eastAsia" w:ascii="Times New Roman" w:hAnsi="Times New Roman" w:eastAsia="宋体" w:cs="Times New Roman"/>
          <w:sz w:val="28"/>
          <w:szCs w:val="28"/>
          <w:highlight w:val="none"/>
        </w:rPr>
      </w:pPr>
      <w:bookmarkStart w:id="112" w:name="_Toc27650"/>
      <w:r>
        <w:rPr>
          <w:rFonts w:hint="eastAsia" w:ascii="Times New Roman" w:hAnsi="Times New Roman" w:eastAsia="宋体" w:cs="Times New Roman"/>
          <w:sz w:val="28"/>
          <w:szCs w:val="28"/>
          <w:highlight w:val="none"/>
        </w:rPr>
        <w:t>2.残疾人福利性单位声明函（仅限残疾人福利性单位）</w:t>
      </w:r>
      <w:bookmarkEnd w:id="112"/>
    </w:p>
    <w:p>
      <w:pPr>
        <w:rPr>
          <w:rFonts w:hint="eastAsia" w:ascii="宋体" w:hAnsi="宋体" w:eastAsia="宋体" w:cs="宋体"/>
          <w:b/>
          <w:bCs/>
          <w:sz w:val="21"/>
          <w:szCs w:val="21"/>
          <w:highlight w:val="none"/>
        </w:rPr>
      </w:pP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pPr>
        <w:ind w:firstLine="420" w:firstLineChars="200"/>
        <w:rPr>
          <w:rFonts w:hint="eastAsia" w:ascii="宋体" w:hAnsi="宋体" w:eastAsia="宋体" w:cs="宋体"/>
          <w:sz w:val="21"/>
          <w:szCs w:val="21"/>
          <w:highlight w:val="none"/>
        </w:rPr>
      </w:pPr>
    </w:p>
    <w:p>
      <w:pPr>
        <w:wordWrap w:val="0"/>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企业名称：             </w:t>
      </w:r>
    </w:p>
    <w:p>
      <w:pPr>
        <w:ind w:right="126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日期：         </w:t>
      </w:r>
    </w:p>
    <w:p>
      <w:pPr>
        <w:ind w:firstLine="420" w:firstLineChars="200"/>
        <w:rPr>
          <w:rFonts w:hint="eastAsia" w:ascii="宋体" w:hAnsi="宋体" w:eastAsia="宋体" w:cs="宋体"/>
          <w:sz w:val="21"/>
          <w:szCs w:val="21"/>
          <w:highlight w:val="none"/>
        </w:rPr>
      </w:pPr>
    </w:p>
    <w:p>
      <w:pPr>
        <w:wordWrap w:val="0"/>
        <w:ind w:right="315" w:firstLine="420" w:firstLineChars="200"/>
        <w:jc w:val="right"/>
        <w:rPr>
          <w:rFonts w:hint="eastAsia" w:ascii="宋体" w:hAnsi="宋体" w:eastAsia="宋体" w:cs="宋体"/>
          <w:sz w:val="21"/>
          <w:szCs w:val="21"/>
          <w:highlight w:val="none"/>
        </w:rPr>
      </w:pPr>
    </w:p>
    <w:p>
      <w:pPr>
        <w:ind w:firstLine="420" w:firstLineChars="200"/>
        <w:rPr>
          <w:rFonts w:hint="eastAsia" w:ascii="宋体" w:hAnsi="宋体" w:eastAsia="宋体" w:cs="宋体"/>
          <w:sz w:val="21"/>
          <w:szCs w:val="21"/>
          <w:highlight w:val="none"/>
        </w:rPr>
      </w:pPr>
    </w:p>
    <w:p>
      <w:pPr>
        <w:pStyle w:val="5"/>
        <w:bidi w:val="0"/>
        <w:jc w:val="center"/>
        <w:rPr>
          <w:rFonts w:hint="eastAsia" w:ascii="Times New Roman" w:hAnsi="Times New Roman" w:eastAsia="宋体" w:cs="Times New Roman"/>
          <w:sz w:val="28"/>
          <w:szCs w:val="28"/>
          <w:highlight w:val="none"/>
        </w:rPr>
      </w:pPr>
      <w:bookmarkStart w:id="113" w:name="_Toc836"/>
      <w:r>
        <w:rPr>
          <w:rFonts w:hint="eastAsia" w:ascii="Times New Roman" w:hAnsi="Times New Roman" w:eastAsia="宋体" w:cs="Times New Roman"/>
          <w:sz w:val="28"/>
          <w:szCs w:val="28"/>
          <w:highlight w:val="none"/>
        </w:rPr>
        <w:t>3.监狱企业声明函（仅限监狱企业）</w:t>
      </w:r>
      <w:bookmarkEnd w:id="113"/>
    </w:p>
    <w:p>
      <w:pPr>
        <w:rPr>
          <w:rFonts w:hint="eastAsia" w:ascii="宋体" w:hAnsi="宋体" w:eastAsia="宋体" w:cs="宋体"/>
          <w:b/>
          <w:bCs/>
          <w:sz w:val="21"/>
          <w:szCs w:val="21"/>
          <w:highlight w:val="none"/>
        </w:rPr>
      </w:pP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本单位郑重声明，根据《财政部 财政部关于政府采购支持监狱企业发展有关问题的通知》（财库〔2014〕68号）的规定，本单位为符合条件的监狱企业，且本单位参加项目编号为的</w:t>
      </w:r>
      <w:r>
        <w:rPr>
          <w:rFonts w:hint="eastAsia" w:ascii="宋体" w:hAnsi="宋体" w:eastAsia="宋体" w:cs="宋体"/>
          <w:sz w:val="21"/>
          <w:szCs w:val="21"/>
          <w:highlight w:val="none"/>
          <w:u w:val="single"/>
        </w:rPr>
        <w:t xml:space="preserve">   (项目名称)   </w:t>
      </w:r>
      <w:r>
        <w:rPr>
          <w:rFonts w:hint="eastAsia" w:ascii="宋体" w:hAnsi="宋体" w:eastAsia="宋体" w:cs="宋体"/>
          <w:sz w:val="21"/>
          <w:szCs w:val="21"/>
          <w:highlight w:val="none"/>
        </w:rPr>
        <w:t>的采购活动，并提供（承诺人在□处打√）:□本单位制造的货物;□由本单位承担工程、提供服务;□提供其他监狱企业制造的货物。本条所称货物是指单一产品采购项目中的货物，或者非单一产品采购项目中的核心产品（货物）。</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本单位对上述声明的真实性负责。若有虚假承诺，视同提供虚假资料，将依法承担相应法律责任。</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附：省级以上监狱管理局、戒毒管理局（含新疆生产建设兵团）出具的属于监狱企业的证明文件。</w:t>
      </w:r>
    </w:p>
    <w:p>
      <w:pPr>
        <w:ind w:firstLine="420" w:firstLineChars="200"/>
        <w:rPr>
          <w:rFonts w:hint="eastAsia" w:ascii="宋体" w:hAnsi="宋体" w:eastAsia="宋体" w:cs="宋体"/>
          <w:sz w:val="21"/>
          <w:szCs w:val="21"/>
          <w:highlight w:val="none"/>
        </w:rPr>
      </w:pPr>
    </w:p>
    <w:p>
      <w:pPr>
        <w:wordWrap w:val="0"/>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企业名称：             </w:t>
      </w:r>
    </w:p>
    <w:p>
      <w:pPr>
        <w:ind w:right="126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日期：      </w:t>
      </w:r>
    </w:p>
    <w:p>
      <w:pPr>
        <w:ind w:firstLine="420" w:firstLineChars="200"/>
        <w:rPr>
          <w:rFonts w:hint="eastAsia" w:ascii="宋体" w:hAnsi="宋体" w:eastAsia="宋体" w:cs="宋体"/>
          <w:sz w:val="21"/>
          <w:szCs w:val="21"/>
          <w:highlight w:val="none"/>
        </w:rPr>
      </w:pPr>
    </w:p>
    <w:bookmarkEnd w:id="108"/>
    <w:bookmarkEnd w:id="109"/>
    <w:bookmarkEnd w:id="110"/>
    <w:bookmarkEnd w:id="111"/>
    <w:p>
      <w:pPr>
        <w:rPr>
          <w:rFonts w:hint="eastAsia" w:ascii="宋体" w:hAnsi="宋体" w:eastAsia="宋体" w:cs="宋体"/>
          <w:sz w:val="21"/>
          <w:szCs w:val="21"/>
          <w:highlight w:val="none"/>
        </w:rPr>
      </w:pPr>
    </w:p>
    <w:p>
      <w:pPr>
        <w:jc w:val="left"/>
        <w:rPr>
          <w:rFonts w:hint="eastAsia" w:ascii="宋体" w:hAnsi="宋体" w:eastAsia="宋体" w:cs="宋体"/>
          <w:sz w:val="21"/>
          <w:szCs w:val="21"/>
          <w:highlight w:val="none"/>
        </w:rPr>
      </w:pPr>
    </w:p>
    <w:p>
      <w:pPr>
        <w:jc w:val="left"/>
        <w:rPr>
          <w:rFonts w:hint="eastAsia" w:ascii="宋体" w:hAnsi="宋体" w:eastAsia="宋体" w:cs="宋体"/>
          <w:sz w:val="21"/>
          <w:szCs w:val="21"/>
          <w:highlight w:val="none"/>
        </w:rPr>
      </w:pPr>
    </w:p>
    <w:p>
      <w:pPr>
        <w:jc w:val="left"/>
        <w:rPr>
          <w:rFonts w:hint="eastAsia" w:ascii="宋体" w:hAnsi="宋体" w:eastAsia="宋体" w:cs="宋体"/>
          <w:sz w:val="21"/>
          <w:szCs w:val="21"/>
          <w:highlight w:val="none"/>
        </w:rPr>
      </w:pPr>
    </w:p>
    <w:p>
      <w:pPr>
        <w:jc w:val="left"/>
        <w:rPr>
          <w:rFonts w:hint="eastAsia" w:ascii="宋体" w:hAnsi="宋体" w:eastAsia="宋体" w:cs="宋体"/>
          <w:sz w:val="21"/>
          <w:szCs w:val="21"/>
          <w:highlight w:val="none"/>
        </w:rPr>
      </w:pPr>
    </w:p>
    <w:p>
      <w:pPr>
        <w:pStyle w:val="5"/>
        <w:bidi w:val="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r>
        <w:rPr>
          <w:rFonts w:hint="eastAsia" w:ascii="Times New Roman" w:hAnsi="Times New Roman" w:eastAsia="宋体" w:cs="Times New Roman"/>
          <w:sz w:val="28"/>
          <w:szCs w:val="28"/>
          <w:highlight w:val="none"/>
        </w:rPr>
        <w:t>4.</w:t>
      </w:r>
      <w:bookmarkStart w:id="114" w:name="OLE_LINK39"/>
      <w:r>
        <w:rPr>
          <w:rFonts w:hint="eastAsia" w:ascii="Times New Roman" w:hAnsi="Times New Roman" w:eastAsia="宋体" w:cs="Times New Roman"/>
          <w:sz w:val="28"/>
          <w:szCs w:val="28"/>
          <w:highlight w:val="none"/>
        </w:rPr>
        <w:t xml:space="preserve"> 政府采购投标及履约承诺函</w:t>
      </w:r>
      <w:bookmarkEnd w:id="114"/>
    </w:p>
    <w:p>
      <w:pPr>
        <w:spacing w:after="6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kern w:val="0"/>
          <w:sz w:val="21"/>
          <w:szCs w:val="21"/>
          <w:highlight w:val="none"/>
        </w:rPr>
        <w:t>深圳市前海深港现代服务业合作区管理局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我公司承诺：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1.我公司已完全理解该项目招标公告所列明的全部条件，亦保证我公司完全符合本项目的投标条件。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2.我公司严格按照贵方提供的标书样本填写和提交相关内容，保证所提交的投标资料全部真实有效，并愿意向贵方及采购人提供任何与本项目有关的数据、情况和技术资料。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3.我公司对本招标项目所提供的货物、工程或服务未侵犯知识产权。我公司已清楚，提供虚假承诺或者被有关单位确认为侵犯知识产权的，三年内不得参加政府采购活动。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4.我公司参与本项目投标前三年内，在经营活动中没有重大违法记录。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5.我公司参与本项目政府采购活动时不存在被有关部门禁止参与政府采购活动且在有效期内的情况。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6.我公司具备《中华人民共和国政府采购法》第二十二条第一款规定的六项条件。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7.我公司未被列入失信被执行人、重大税收违法案件当事人名单、政府采购严重违法失信行为记录名单</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我公司参与该项目投标，严格遵守政府采购相关法律，不造假，不围标、串标、陪标。我公司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我公司如果中标，做到守信，不偷工减料，依照本项目招标文件需求内容、签署的采购合同及本公司在投标中所作的一切承诺履约。我公司对本项目的报价负责，中标后将严格按照本项目招标文件需求、签署的采购合同及我公司在投标中所作的全部承诺履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11.我公司中标后项目不转包，未经采购人同意不进行分包。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我公司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公司承担全部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13.若我公司所投货物涉及《财政部生态环境部关于印发节能产品政府采购品目清单的通知》（财库〔2019〕19号）列明的政府采购强制产品，则所投该产品符合节能产品的认证要求。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14.我公司不存在单位法定代表人（负责人）为同一人或者存在直接控股、管理关系的不同供应商，同时参加本项目投标之情形；我公司未为本项目提供过整体设计、规范编制或者项目管理、监理、检测等服务</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以上承诺，如有违反，愿依照国家相关法律法规处理，并承担由此给采购人带来的损失。</w:t>
      </w:r>
    </w:p>
    <w:p>
      <w:pPr>
        <w:spacing w:line="360" w:lineRule="exact"/>
        <w:ind w:firstLine="3150" w:firstLineChars="15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投标单位（</w:t>
      </w:r>
      <w:r>
        <w:rPr>
          <w:rFonts w:hint="eastAsia" w:ascii="宋体" w:hAnsi="宋体" w:eastAsia="宋体" w:cs="宋体"/>
          <w:b/>
          <w:sz w:val="21"/>
          <w:szCs w:val="21"/>
          <w:highlight w:val="none"/>
        </w:rPr>
        <w:t>盖公章</w:t>
      </w:r>
      <w:r>
        <w:rPr>
          <w:rFonts w:hint="eastAsia" w:ascii="宋体" w:hAnsi="宋体" w:eastAsia="宋体" w:cs="宋体"/>
          <w:sz w:val="21"/>
          <w:szCs w:val="21"/>
          <w:highlight w:val="none"/>
        </w:rPr>
        <w:t>）：</w:t>
      </w:r>
    </w:p>
    <w:p>
      <w:pPr>
        <w:spacing w:line="360" w:lineRule="auto"/>
        <w:ind w:firstLine="3780" w:firstLineChars="1800"/>
        <w:rPr>
          <w:rFonts w:hint="eastAsia" w:ascii="宋体" w:hAnsi="宋体" w:eastAsia="宋体" w:cs="宋体"/>
          <w:sz w:val="21"/>
          <w:szCs w:val="21"/>
          <w:highlight w:val="none"/>
        </w:rPr>
      </w:pPr>
      <w:r>
        <w:rPr>
          <w:rFonts w:hint="eastAsia" w:ascii="宋体" w:hAnsi="宋体" w:eastAsia="宋体" w:cs="宋体"/>
          <w:sz w:val="21"/>
          <w:szCs w:val="21"/>
          <w:highlight w:val="none"/>
        </w:rPr>
        <w:t>日期：年 月 日</w:t>
      </w:r>
    </w:p>
    <w:p>
      <w:pPr>
        <w:rPr>
          <w:highlight w:val="none"/>
        </w:rPr>
      </w:pPr>
      <w:r>
        <w:rPr>
          <w:highlight w:val="none"/>
        </w:rPr>
        <w:br w:type="page"/>
      </w:r>
    </w:p>
    <w:p>
      <w:pPr>
        <w:jc w:val="center"/>
        <w:outlineLvl w:val="1"/>
        <w:rPr>
          <w:rFonts w:ascii="宋体" w:hAnsi="宋体" w:cs="宋体"/>
          <w:b/>
          <w:bCs/>
          <w:sz w:val="30"/>
          <w:szCs w:val="30"/>
          <w:highlight w:val="none"/>
        </w:rPr>
      </w:pPr>
      <w:bookmarkStart w:id="115" w:name="_Toc83405814"/>
      <w:bookmarkStart w:id="116" w:name="_Toc86918439"/>
      <w:bookmarkStart w:id="117" w:name="_Toc24445"/>
      <w:r>
        <w:rPr>
          <w:rFonts w:hint="eastAsia" w:ascii="宋体" w:hAnsi="宋体" w:cs="宋体"/>
          <w:b/>
          <w:bCs/>
          <w:sz w:val="30"/>
          <w:szCs w:val="30"/>
          <w:highlight w:val="none"/>
        </w:rPr>
        <w:t>（十</w:t>
      </w:r>
      <w:r>
        <w:rPr>
          <w:rFonts w:hint="eastAsia" w:ascii="宋体" w:hAnsi="宋体" w:cs="宋体"/>
          <w:b/>
          <w:bCs/>
          <w:sz w:val="30"/>
          <w:szCs w:val="30"/>
          <w:highlight w:val="none"/>
          <w:lang w:val="en-US" w:eastAsia="zh-CN"/>
        </w:rPr>
        <w:t>四</w:t>
      </w:r>
      <w:r>
        <w:rPr>
          <w:rFonts w:hint="eastAsia" w:ascii="宋体" w:hAnsi="宋体" w:cs="宋体"/>
          <w:b/>
          <w:bCs/>
          <w:sz w:val="30"/>
          <w:szCs w:val="30"/>
          <w:highlight w:val="none"/>
        </w:rPr>
        <w:t>）其他</w:t>
      </w:r>
      <w:bookmarkEnd w:id="115"/>
      <w:bookmarkEnd w:id="116"/>
      <w:bookmarkEnd w:id="117"/>
    </w:p>
    <w:p>
      <w:pPr>
        <w:spacing w:line="276" w:lineRule="auto"/>
        <w:jc w:val="left"/>
        <w:rPr>
          <w:rFonts w:ascii="宋体" w:hAnsi="宋体"/>
          <w:highlight w:val="none"/>
        </w:rPr>
      </w:pPr>
    </w:p>
    <w:p>
      <w:pPr>
        <w:spacing w:line="276" w:lineRule="auto"/>
        <w:jc w:val="center"/>
        <w:outlineLvl w:val="0"/>
        <w:rPr>
          <w:rFonts w:ascii="宋体" w:hAnsi="宋体" w:cs="仿宋"/>
          <w:b/>
          <w:bCs/>
          <w:color w:val="000000"/>
          <w:sz w:val="24"/>
          <w:highlight w:val="none"/>
        </w:rPr>
      </w:pPr>
      <w:bookmarkStart w:id="118" w:name="_Toc83405815"/>
      <w:bookmarkStart w:id="119" w:name="_Toc12258"/>
      <w:bookmarkStart w:id="120" w:name="_Toc86918440"/>
      <w:r>
        <w:rPr>
          <w:rFonts w:hint="eastAsia" w:ascii="宋体" w:hAnsi="宋体" w:cs="仿宋"/>
          <w:b/>
          <w:bCs/>
          <w:color w:val="000000"/>
          <w:sz w:val="24"/>
          <w:highlight w:val="none"/>
        </w:rPr>
        <w:t>《关于印发〈政府采购促进中小企业发展管理办法〉的通知》</w:t>
      </w:r>
      <w:bookmarkEnd w:id="118"/>
      <w:bookmarkEnd w:id="119"/>
      <w:bookmarkEnd w:id="120"/>
    </w:p>
    <w:p>
      <w:pPr>
        <w:spacing w:line="276" w:lineRule="auto"/>
        <w:jc w:val="center"/>
        <w:rPr>
          <w:rFonts w:ascii="宋体" w:hAnsi="宋体" w:cs="仿宋"/>
          <w:color w:val="000000"/>
          <w:sz w:val="22"/>
          <w:szCs w:val="22"/>
          <w:highlight w:val="none"/>
        </w:rPr>
      </w:pPr>
      <w:r>
        <w:rPr>
          <w:rFonts w:hint="eastAsia" w:ascii="宋体" w:hAnsi="宋体" w:cs="仿宋"/>
          <w:color w:val="000000"/>
          <w:sz w:val="22"/>
          <w:szCs w:val="22"/>
          <w:highlight w:val="none"/>
        </w:rPr>
        <w:t>财库〔</w:t>
      </w:r>
      <w:r>
        <w:rPr>
          <w:rFonts w:ascii="宋体" w:hAnsi="宋体" w:cs="仿宋"/>
          <w:color w:val="000000"/>
          <w:sz w:val="22"/>
          <w:szCs w:val="22"/>
          <w:highlight w:val="none"/>
        </w:rPr>
        <w:t>2020〕46号</w:t>
      </w:r>
    </w:p>
    <w:p>
      <w:pPr>
        <w:spacing w:line="276" w:lineRule="auto"/>
        <w:jc w:val="center"/>
        <w:rPr>
          <w:rFonts w:ascii="宋体" w:hAnsi="宋体" w:cs="仿宋"/>
          <w:color w:val="000000"/>
          <w:szCs w:val="21"/>
          <w:highlight w:val="none"/>
        </w:rPr>
      </w:pPr>
    </w:p>
    <w:p>
      <w:pPr>
        <w:widowControl/>
        <w:spacing w:line="276" w:lineRule="auto"/>
        <w:rPr>
          <w:rFonts w:ascii="宋体" w:hAnsi="宋体" w:cs="仿宋"/>
          <w:color w:val="000000"/>
          <w:szCs w:val="21"/>
          <w:highlight w:val="none"/>
        </w:rPr>
      </w:pPr>
      <w:r>
        <w:rPr>
          <w:rFonts w:hint="eastAsia" w:ascii="宋体" w:hAnsi="宋体" w:cs="仿宋"/>
          <w:color w:val="000000"/>
          <w:szCs w:val="21"/>
          <w:highlight w:val="none"/>
        </w:rPr>
        <w:t>各中央预算单位办公厅（室），各省、自治区、直辖市、计划单列市财政厅（局）、工业和信息化主管部门，新疆生产建设兵团财政局、工业和信息化主管部门：</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附件：政府采购促进中小企业发展管理办法</w:t>
      </w:r>
    </w:p>
    <w:p>
      <w:pPr>
        <w:widowControl/>
        <w:spacing w:line="276" w:lineRule="auto"/>
        <w:ind w:firstLine="420" w:firstLineChars="200"/>
        <w:jc w:val="right"/>
        <w:rPr>
          <w:rFonts w:ascii="宋体" w:hAnsi="宋体" w:cs="仿宋"/>
          <w:color w:val="000000"/>
          <w:szCs w:val="21"/>
          <w:highlight w:val="none"/>
        </w:rPr>
      </w:pPr>
      <w:r>
        <w:rPr>
          <w:rFonts w:hint="eastAsia" w:ascii="宋体" w:hAnsi="宋体" w:cs="仿宋"/>
          <w:color w:val="000000"/>
          <w:szCs w:val="21"/>
          <w:highlight w:val="none"/>
        </w:rPr>
        <w:t>财政部</w:t>
      </w:r>
    </w:p>
    <w:p>
      <w:pPr>
        <w:widowControl/>
        <w:spacing w:line="276" w:lineRule="auto"/>
        <w:ind w:firstLine="420" w:firstLineChars="200"/>
        <w:jc w:val="right"/>
        <w:rPr>
          <w:rFonts w:ascii="宋体" w:hAnsi="宋体" w:cs="仿宋"/>
          <w:color w:val="000000"/>
          <w:szCs w:val="21"/>
          <w:highlight w:val="none"/>
        </w:rPr>
      </w:pPr>
      <w:r>
        <w:rPr>
          <w:rFonts w:hint="eastAsia" w:ascii="宋体" w:hAnsi="宋体" w:cs="仿宋"/>
          <w:color w:val="000000"/>
          <w:szCs w:val="21"/>
          <w:highlight w:val="none"/>
        </w:rPr>
        <w:t>工业和信息化部</w:t>
      </w:r>
    </w:p>
    <w:p>
      <w:pPr>
        <w:widowControl/>
        <w:spacing w:line="276" w:lineRule="auto"/>
        <w:ind w:firstLine="420" w:firstLineChars="200"/>
        <w:jc w:val="right"/>
        <w:rPr>
          <w:rFonts w:ascii="宋体" w:hAnsi="宋体" w:cs="仿宋"/>
          <w:color w:val="000000"/>
          <w:szCs w:val="21"/>
          <w:highlight w:val="none"/>
        </w:rPr>
      </w:pPr>
      <w:r>
        <w:rPr>
          <w:rFonts w:ascii="宋体" w:hAnsi="宋体" w:cs="仿宋"/>
          <w:color w:val="000000"/>
          <w:szCs w:val="21"/>
          <w:highlight w:val="none"/>
        </w:rPr>
        <w:t>2020年12月18日</w:t>
      </w:r>
    </w:p>
    <w:p>
      <w:pPr>
        <w:widowControl/>
        <w:spacing w:line="276" w:lineRule="auto"/>
        <w:ind w:firstLine="420" w:firstLineChars="200"/>
        <w:jc w:val="right"/>
        <w:rPr>
          <w:rFonts w:ascii="宋体" w:hAnsi="宋体" w:cs="仿宋"/>
          <w:color w:val="000000"/>
          <w:szCs w:val="21"/>
          <w:highlight w:val="none"/>
        </w:rPr>
      </w:pP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第一条</w:t>
      </w:r>
      <w:r>
        <w:rPr>
          <w:rFonts w:ascii="宋体" w:hAnsi="宋体" w:cs="仿宋"/>
          <w:color w:val="000000"/>
          <w:szCs w:val="21"/>
          <w:highlight w:val="none"/>
        </w:rPr>
        <w:t xml:space="preserve"> 为了发挥政府采购的政策功能，促进中小企业健康发展，根据《中华人民共和国政府采购法》、《中华人民共和国中小企业促进法》等有关法律法规，制定本办法。 </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第二条</w:t>
      </w:r>
      <w:r>
        <w:rPr>
          <w:rFonts w:ascii="宋体" w:hAnsi="宋体" w:cs="仿宋"/>
          <w:color w:val="000000"/>
          <w:szCs w:val="21"/>
          <w:highlight w:val="none"/>
        </w:rPr>
        <w:t xml:space="preserve"> </w:t>
      </w:r>
      <w:r>
        <w:rPr>
          <w:rFonts w:hint="eastAsia" w:ascii="宋体" w:hAnsi="宋体" w:cs="仿宋"/>
          <w:color w:val="000000"/>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第三条</w:t>
      </w:r>
      <w:r>
        <w:rPr>
          <w:rFonts w:ascii="宋体" w:hAnsi="宋体" w:cs="仿宋"/>
          <w:color w:val="000000"/>
          <w:szCs w:val="21"/>
          <w:highlight w:val="none"/>
        </w:rPr>
        <w:t xml:space="preserve"> </w:t>
      </w:r>
      <w:r>
        <w:rPr>
          <w:rFonts w:hint="eastAsia" w:ascii="宋体" w:hAnsi="宋体" w:cs="仿宋"/>
          <w:color w:val="000000"/>
          <w:szCs w:val="21"/>
          <w:highlight w:val="none"/>
        </w:rPr>
        <w:t>采购人在政府采购活动中应当通过加强采购需求管理，落实预留采购份额、价格评审优惠、优先采购等措施，提高中小企业在政府采购中的份额，支持中小企业发展。</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第四条</w:t>
      </w:r>
      <w:r>
        <w:rPr>
          <w:rFonts w:ascii="宋体" w:hAnsi="宋体" w:cs="仿宋"/>
          <w:color w:val="000000"/>
          <w:szCs w:val="21"/>
          <w:highlight w:val="none"/>
        </w:rPr>
        <w:t xml:space="preserve"> </w:t>
      </w:r>
      <w:r>
        <w:rPr>
          <w:rFonts w:hint="eastAsia" w:ascii="宋体" w:hAnsi="宋体" w:cs="仿宋"/>
          <w:color w:val="000000"/>
          <w:szCs w:val="21"/>
          <w:highlight w:val="none"/>
        </w:rPr>
        <w:t>在政府采购活动中，供应商提供的货物、工程或者服务符合下列情形的，享受本办法规定的中小企业扶持政策：</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（一）在货物采购项目中，货物由中小企业制造，即货物由中小企业生产且使用该中小企业商号或者注册商标；</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（二）在工程采购项目中，工程由中小企业承建，即工程施工单位为中小企业；</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（三）在服务采购项目中，服务由中小企业承接，即提</w:t>
      </w:r>
      <w:r>
        <w:rPr>
          <w:rFonts w:ascii="宋体" w:hAnsi="宋体" w:cs="仿宋"/>
          <w:color w:val="000000"/>
          <w:szCs w:val="21"/>
          <w:highlight w:val="none"/>
        </w:rPr>
        <w:t>2供服务的人员为中小企业依照《中华人民共和国劳动合同法》订立劳动合同的从业人员。</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在货物采购项目中，供应商提供的货物既有中小企业制造货物，也有大型企业制造货物的，不享受本办法规定的中小企业扶持政策。</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以联合体形式参加政府采购活动，联合体各方均为中小企业的，联合体视同中小企业。其中，联合体各方均为小微企业的，联合体视同小微企业。</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第五条</w:t>
      </w:r>
      <w:r>
        <w:rPr>
          <w:rFonts w:ascii="宋体" w:hAnsi="宋体" w:cs="仿宋"/>
          <w:color w:val="000000"/>
          <w:szCs w:val="21"/>
          <w:highlight w:val="none"/>
        </w:rPr>
        <w:t xml:space="preserve"> </w:t>
      </w:r>
      <w:r>
        <w:rPr>
          <w:rFonts w:hint="eastAsia" w:ascii="宋体" w:hAnsi="宋体" w:cs="仿宋"/>
          <w:color w:val="000000"/>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第六条</w:t>
      </w:r>
      <w:r>
        <w:rPr>
          <w:rFonts w:ascii="宋体" w:hAnsi="宋体" w:cs="仿宋"/>
          <w:color w:val="000000"/>
          <w:szCs w:val="21"/>
          <w:highlight w:val="none"/>
        </w:rPr>
        <w:t xml:space="preserve"> </w:t>
      </w:r>
      <w:r>
        <w:rPr>
          <w:rFonts w:hint="eastAsia" w:ascii="宋体" w:hAnsi="宋体" w:cs="仿宋"/>
          <w:color w:val="000000"/>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符合下列情形之一的，可不专门面向中小企业预留采购份额：</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（一）法律法规和国家有关政策明确规定优先或者应当面向事业单位、社会组织等非企业主体采购的；</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（二）因确需使用不可替代的专利、专有技术，基础设施限制，或者提供特定公共服务等原因，只能从中小企业之外的供应商处采购的；</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（三）按照本办法规定预留采购份额无法确保充分供应、充分竞争，或者存在可能影响政府采购目标实现的情形；</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（四）框架协议采购项目；</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（五）省级以上人民政府财政部门规定的其他情形。除上述情形外，其他均为适宜由中小企业提供的情形。第七条采购限额标准以上，</w:t>
      </w:r>
      <w:r>
        <w:rPr>
          <w:rFonts w:ascii="宋体" w:hAnsi="宋体" w:cs="仿宋"/>
          <w:color w:val="000000"/>
          <w:szCs w:val="21"/>
          <w:highlight w:val="none"/>
        </w:rPr>
        <w:t>200万元以下的货物和服务采购项目、400万元以下的工程采购项目，适宜由中小企业提供的，采购人应当专门面向中小企业采购。</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第八条</w:t>
      </w:r>
      <w:r>
        <w:rPr>
          <w:rFonts w:ascii="宋体" w:hAnsi="宋体" w:cs="仿宋"/>
          <w:color w:val="000000"/>
          <w:szCs w:val="21"/>
          <w:highlight w:val="none"/>
        </w:rPr>
        <w:t xml:space="preserve"> </w:t>
      </w:r>
      <w:r>
        <w:rPr>
          <w:rFonts w:hint="eastAsia" w:ascii="宋体" w:hAnsi="宋体" w:cs="仿宋"/>
          <w:color w:val="000000"/>
          <w:szCs w:val="21"/>
          <w:highlight w:val="none"/>
        </w:rPr>
        <w:t>超过</w:t>
      </w:r>
      <w:r>
        <w:rPr>
          <w:rFonts w:ascii="宋体" w:hAnsi="宋体" w:cs="仿宋"/>
          <w:color w:val="000000"/>
          <w:szCs w:val="21"/>
          <w:highlight w:val="none"/>
        </w:rPr>
        <w:t>200万元的货物和服务采购项目、超过400万元的工程采购项目中适宜由中小企业提供的，预留该部分采购项目预算总额的30%以上专门面向中小企业采购，其中预留给小</w:t>
      </w:r>
      <w:r>
        <w:rPr>
          <w:rFonts w:hint="eastAsia" w:ascii="宋体" w:hAnsi="宋体" w:cs="仿宋"/>
          <w:color w:val="000000"/>
          <w:szCs w:val="21"/>
          <w:highlight w:val="none"/>
        </w:rPr>
        <w:t>微企业的比例不低于</w:t>
      </w:r>
      <w:r>
        <w:rPr>
          <w:rFonts w:ascii="宋体" w:hAnsi="宋体" w:cs="仿宋"/>
          <w:color w:val="000000"/>
          <w:szCs w:val="21"/>
          <w:highlight w:val="none"/>
        </w:rPr>
        <w:t>60%。预留份额通过下列措施进行：</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（一）将采购项目整体或者设置采购包专门面向中小企业采购；</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（二）要求供应商以联合体形式参加采购活动，且联合体中中小企业承担的部分达到一定比例；</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第九条</w:t>
      </w:r>
      <w:r>
        <w:rPr>
          <w:rFonts w:ascii="宋体" w:hAnsi="宋体" w:cs="仿宋"/>
          <w:color w:val="000000"/>
          <w:szCs w:val="21"/>
          <w:highlight w:val="none"/>
        </w:rPr>
        <w:t xml:space="preserve"> </w:t>
      </w:r>
      <w:r>
        <w:rPr>
          <w:rFonts w:hint="eastAsia" w:ascii="宋体" w:hAnsi="宋体" w:cs="仿宋"/>
          <w:color w:val="000000"/>
          <w:szCs w:val="21"/>
          <w:highlight w:val="none"/>
        </w:rPr>
        <w:t>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仿宋"/>
          <w:color w:val="000000"/>
          <w:szCs w:val="21"/>
          <w:highlight w:val="none"/>
        </w:rPr>
        <w:t>6%—10%（工程项目为3%—5%）的扣4除，用扣除后的价格参加评审。适用招标投标法的政府采购工程建设项目，采用综合</w:t>
      </w:r>
      <w:r>
        <w:rPr>
          <w:rFonts w:hint="eastAsia" w:ascii="宋体" w:hAnsi="宋体" w:cs="仿宋"/>
          <w:color w:val="000000"/>
          <w:szCs w:val="21"/>
          <w:highlight w:val="none"/>
        </w:rPr>
        <w:t>评估法但未采用低价优先法计算价格分的，评标时应当在采用原报价进行评分的基础上增加其价格得分的</w:t>
      </w:r>
      <w:r>
        <w:rPr>
          <w:rFonts w:ascii="宋体" w:hAnsi="宋体" w:cs="仿宋"/>
          <w:color w:val="000000"/>
          <w:szCs w:val="21"/>
          <w:highlight w:val="none"/>
        </w:rPr>
        <w:t>3%—5%作为其价格分。</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
          <w:color w:val="000000"/>
          <w:szCs w:val="21"/>
          <w:highlight w:val="none"/>
        </w:rPr>
        <w:t>30%以上的，采购人、采购代理机构应当对联合体或者大中型企业的报价给予2%-3%（工程项目为1%—2%）的扣除，用扣除后的价格参加评审。适用招标投标法的政府采购工程建设项目，采用综合</w:t>
      </w:r>
      <w:r>
        <w:rPr>
          <w:rFonts w:hint="eastAsia" w:ascii="宋体" w:hAnsi="宋体" w:cs="仿宋"/>
          <w:color w:val="000000"/>
          <w:szCs w:val="21"/>
          <w:highlight w:val="none"/>
        </w:rPr>
        <w:t>评估法但未采用低价优先法计算价格分的，评标时应当在采用原报价进行评分的基础上增加其价格得分的</w:t>
      </w:r>
      <w:r>
        <w:rPr>
          <w:rFonts w:ascii="宋体" w:hAnsi="宋体" w:cs="仿宋"/>
          <w:color w:val="000000"/>
          <w:szCs w:val="21"/>
          <w:highlight w:val="none"/>
        </w:rPr>
        <w:t>1%—2%作为其价格分。组成联合体或者接受分包的小</w:t>
      </w:r>
      <w:r>
        <w:rPr>
          <w:rFonts w:hint="eastAsia" w:ascii="宋体" w:hAnsi="宋体" w:cs="仿宋"/>
          <w:color w:val="000000"/>
          <w:szCs w:val="21"/>
          <w:highlight w:val="none"/>
        </w:rPr>
        <w:t>微企业与联合体内其他企业、分包企业之间存在直接控股、管理关系的，不享受价格扣除优惠政策。</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第十条</w:t>
      </w:r>
      <w:r>
        <w:rPr>
          <w:rFonts w:ascii="宋体" w:hAnsi="宋体" w:cs="仿宋"/>
          <w:color w:val="000000"/>
          <w:szCs w:val="21"/>
          <w:highlight w:val="none"/>
        </w:rPr>
        <w:t xml:space="preserve"> </w:t>
      </w:r>
      <w:r>
        <w:rPr>
          <w:rFonts w:hint="eastAsia" w:ascii="宋体" w:hAnsi="宋体" w:cs="仿宋"/>
          <w:color w:val="000000"/>
          <w:szCs w:val="21"/>
          <w:highlight w:val="none"/>
        </w:rPr>
        <w:t>采购人应当严格按照本办法规定和主管预算单位制定的预留采购份额具体方案开展采购活动。预留份额的采购项目或者采购包，通过发布公告方式邀请供应商后，符合资格条件的中小企业数量不足</w:t>
      </w:r>
      <w:r>
        <w:rPr>
          <w:rFonts w:ascii="宋体" w:hAnsi="宋体" w:cs="仿宋"/>
          <w:color w:val="000000"/>
          <w:szCs w:val="21"/>
          <w:highlight w:val="none"/>
        </w:rPr>
        <w:t>3家的，应当中止采购活动，视同未预留份额的采购项目或者采购包，按照本办法第5</w:t>
      </w:r>
      <w:r>
        <w:rPr>
          <w:rFonts w:hint="eastAsia" w:ascii="宋体" w:hAnsi="宋体" w:cs="仿宋"/>
          <w:color w:val="000000"/>
          <w:szCs w:val="21"/>
          <w:highlight w:val="none"/>
        </w:rPr>
        <w:t>九条有关规定重新组织采购活动。</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第十一条</w:t>
      </w:r>
      <w:r>
        <w:rPr>
          <w:rFonts w:ascii="宋体" w:hAnsi="宋体" w:cs="仿宋"/>
          <w:color w:val="000000"/>
          <w:szCs w:val="21"/>
          <w:highlight w:val="none"/>
        </w:rPr>
        <w:t xml:space="preserve"> </w:t>
      </w:r>
      <w:r>
        <w:rPr>
          <w:rFonts w:hint="eastAsia" w:ascii="宋体" w:hAnsi="宋体" w:cs="仿宋"/>
          <w:color w:val="000000"/>
          <w:szCs w:val="21"/>
          <w:highlight w:val="none"/>
        </w:rPr>
        <w:t>中小企业参加政府采购活动，应当出具本办法规定的《中小企业声明函》（附</w:t>
      </w:r>
      <w:r>
        <w:rPr>
          <w:rFonts w:ascii="宋体" w:hAnsi="宋体" w:cs="仿宋"/>
          <w:color w:val="000000"/>
          <w:szCs w:val="21"/>
          <w:highlight w:val="none"/>
        </w:rPr>
        <w:t>1），否则不得享受相关中小企业扶持政策。任何单位和个人不得要求供应商提供《中小企业声明函》之外的中小企业身份证明文件。</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第十二条</w:t>
      </w:r>
      <w:r>
        <w:rPr>
          <w:rFonts w:ascii="宋体" w:hAnsi="宋体" w:cs="仿宋"/>
          <w:color w:val="000000"/>
          <w:szCs w:val="21"/>
          <w:highlight w:val="none"/>
        </w:rPr>
        <w:t xml:space="preserve"> </w:t>
      </w:r>
      <w:r>
        <w:rPr>
          <w:rFonts w:hint="eastAsia" w:ascii="宋体" w:hAnsi="宋体" w:cs="仿宋"/>
          <w:color w:val="000000"/>
          <w:szCs w:val="21"/>
          <w:highlight w:val="none"/>
        </w:rPr>
        <w:t>采购项目涉及中小企业采购的，采购文件应当明确以下内容：</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（一）预留份额的采购项目或者采购包，明确该项目或相关采购包专门面向中小企业采购，以及相关标的及预算金额；</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（二）要求以联合体形式参加或者合同分包的，明确联合协议或者分包意向协议中中小企业合同金额应当达到的比例，并作为供应商资格条件；</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（三）非预留份额的采购项目或者采购包，明确有关价格扣除比例或者价格分加分比例；</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（四）规定依据本办法规定享受扶持政策获得政府采购合同的，小微企业不得将合同分包给大中型企业，中型企业不得将合同分包给大型企业；</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（五）采购人认为具备相关条件的，明确对中小企业在资金支付期限、预付款比例等方面的优惠措施；</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（六）明确采购标的对应的中小企业划分标准所属行业；</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（七）法律法规和省级以上人民政府财政部门规定的其他事项。第十三条中标、成交供应商享受本办法规定的中小企</w:t>
      </w:r>
      <w:r>
        <w:rPr>
          <w:rFonts w:ascii="宋体" w:hAnsi="宋体" w:cs="仿宋"/>
          <w:color w:val="000000"/>
          <w:szCs w:val="21"/>
          <w:highlight w:val="none"/>
        </w:rPr>
        <w:t>6业扶持政策的，采购人、采购代理机构应当随中标、成交结果公开中标、成交供应商的《中小企业声明函》。适用招标投标法的政府采购工程建设项目，应当在公示中标候选人时公开中标候选人的《中小企业声明函》。</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第十四条</w:t>
      </w:r>
      <w:r>
        <w:rPr>
          <w:rFonts w:ascii="宋体" w:hAnsi="宋体" w:cs="仿宋"/>
          <w:color w:val="000000"/>
          <w:szCs w:val="21"/>
          <w:highlight w:val="none"/>
        </w:rPr>
        <w:t xml:space="preserve"> </w:t>
      </w:r>
      <w:r>
        <w:rPr>
          <w:rFonts w:hint="eastAsia" w:ascii="宋体" w:hAnsi="宋体" w:cs="仿宋"/>
          <w:color w:val="000000"/>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第十五条</w:t>
      </w:r>
      <w:r>
        <w:rPr>
          <w:rFonts w:ascii="宋体" w:hAnsi="宋体" w:cs="仿宋"/>
          <w:color w:val="000000"/>
          <w:szCs w:val="21"/>
          <w:highlight w:val="none"/>
        </w:rPr>
        <w:t xml:space="preserve"> </w:t>
      </w:r>
      <w:r>
        <w:rPr>
          <w:rFonts w:hint="eastAsia" w:ascii="宋体" w:hAnsi="宋体" w:cs="仿宋"/>
          <w:color w:val="000000"/>
          <w:szCs w:val="21"/>
          <w:highlight w:val="none"/>
        </w:rPr>
        <w:t>鼓励各地区、各部门在采购活动中允许中小企业引入信用担保手段，为中小企业在投标（响应）保证、履约保证等方面提供专业化服务。鼓励中小企业依法合规通过政府采购合同融资。</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第十六条</w:t>
      </w:r>
      <w:r>
        <w:rPr>
          <w:rFonts w:ascii="宋体" w:hAnsi="宋体" w:cs="仿宋"/>
          <w:color w:val="000000"/>
          <w:szCs w:val="21"/>
          <w:highlight w:val="none"/>
        </w:rPr>
        <w:t xml:space="preserve"> </w:t>
      </w:r>
      <w:r>
        <w:rPr>
          <w:rFonts w:hint="eastAsia" w:ascii="宋体" w:hAnsi="宋体" w:cs="仿宋"/>
          <w:color w:val="000000"/>
          <w:szCs w:val="21"/>
          <w:highlight w:val="none"/>
        </w:rPr>
        <w:t>政府采购监督检查、投诉处理及政府采购行政处罚中对中小企业的认定，由货物制造商或者工程、服务供应商注册登记所在地的县级以上人民政府中小企业主管部门负责。</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中小企业主管部门应当在收到财政部门或者有关招标投标行政监督部门关于协助开展中小企业认定函后</w:t>
      </w:r>
      <w:r>
        <w:rPr>
          <w:rFonts w:ascii="宋体" w:hAnsi="宋体" w:cs="仿宋"/>
          <w:color w:val="000000"/>
          <w:szCs w:val="21"/>
          <w:highlight w:val="none"/>
        </w:rPr>
        <w:t>10个工作日内做出书面答复。</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第十七条</w:t>
      </w:r>
      <w:r>
        <w:rPr>
          <w:rFonts w:ascii="宋体" w:hAnsi="宋体" w:cs="仿宋"/>
          <w:color w:val="000000"/>
          <w:szCs w:val="21"/>
          <w:highlight w:val="none"/>
        </w:rPr>
        <w:t xml:space="preserve"> </w:t>
      </w:r>
      <w:r>
        <w:rPr>
          <w:rFonts w:hint="eastAsia" w:ascii="宋体" w:hAnsi="宋体" w:cs="仿宋"/>
          <w:color w:val="000000"/>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第十八条</w:t>
      </w:r>
      <w:r>
        <w:rPr>
          <w:rFonts w:ascii="宋体" w:hAnsi="宋体" w:cs="仿宋"/>
          <w:color w:val="000000"/>
          <w:szCs w:val="21"/>
          <w:highlight w:val="none"/>
        </w:rPr>
        <w:t xml:space="preserve"> </w:t>
      </w:r>
      <w:r>
        <w:rPr>
          <w:rFonts w:hint="eastAsia" w:ascii="宋体" w:hAnsi="宋体" w:cs="仿宋"/>
          <w:color w:val="000000"/>
          <w:szCs w:val="21"/>
          <w:highlight w:val="none"/>
        </w:rPr>
        <w:t>主管预算单位应当自</w:t>
      </w:r>
      <w:r>
        <w:rPr>
          <w:rFonts w:ascii="宋体" w:hAnsi="宋体" w:cs="仿宋"/>
          <w:color w:val="000000"/>
          <w:szCs w:val="21"/>
          <w:highlight w:val="none"/>
        </w:rPr>
        <w:t>2022年起向同级财政部门报告本部门上一年度面向中小企业预留份额和采购的具体情况，并在中国政府采购</w:t>
      </w:r>
      <w:r>
        <w:rPr>
          <w:rFonts w:hint="eastAsia" w:ascii="宋体" w:hAnsi="宋体" w:cs="仿宋"/>
          <w:color w:val="000000"/>
          <w:szCs w:val="21"/>
          <w:highlight w:val="none"/>
        </w:rPr>
        <w:t>网公开预留项目执行情况</w:t>
      </w:r>
      <w:r>
        <w:rPr>
          <w:rFonts w:ascii="宋体" w:hAnsi="宋体" w:cs="仿宋"/>
          <w:color w:val="000000"/>
          <w:szCs w:val="21"/>
          <w:highlight w:val="none"/>
        </w:rPr>
        <w:t>(附2)。未达到本办法规定的预留份额比例的，应当</w:t>
      </w:r>
      <w:r>
        <w:rPr>
          <w:rFonts w:hint="eastAsia" w:ascii="宋体" w:hAnsi="宋体" w:cs="仿宋"/>
          <w:color w:val="000000"/>
          <w:szCs w:val="21"/>
          <w:highlight w:val="none"/>
        </w:rPr>
        <w:t>作出说明。</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第十九条</w:t>
      </w:r>
      <w:r>
        <w:rPr>
          <w:rFonts w:ascii="宋体" w:hAnsi="宋体" w:cs="仿宋"/>
          <w:color w:val="000000"/>
          <w:szCs w:val="21"/>
          <w:highlight w:val="none"/>
        </w:rPr>
        <w:t xml:space="preserve"> </w:t>
      </w:r>
      <w:r>
        <w:rPr>
          <w:rFonts w:hint="eastAsia" w:ascii="宋体" w:hAnsi="宋体" w:cs="仿宋"/>
          <w:color w:val="000000"/>
          <w:szCs w:val="21"/>
          <w:highlight w:val="none"/>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第二十条</w:t>
      </w:r>
      <w:r>
        <w:rPr>
          <w:rFonts w:ascii="宋体" w:hAnsi="宋体" w:cs="仿宋"/>
          <w:color w:val="000000"/>
          <w:szCs w:val="21"/>
          <w:highlight w:val="none"/>
        </w:rPr>
        <w:t xml:space="preserve"> </w:t>
      </w:r>
      <w:r>
        <w:rPr>
          <w:rFonts w:hint="eastAsia" w:ascii="宋体" w:hAnsi="宋体" w:cs="仿宋"/>
          <w:color w:val="000000"/>
          <w:szCs w:val="21"/>
          <w:highlight w:val="none"/>
        </w:rPr>
        <w:t>供应商按照本办法规定提供声明函内容不实的，属于提供虚假材料谋取中标、成交，依照《中华人民共和国政府采购法》等国家有关规定追究相应责任。</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适用招标投标法的政府采购工程建设项目，投标人按照本办法规定提供声明函内容不实的，属于弄虚作假骗取中标，依照《中华人民共和国招标投标法》等国家有关规定追究相应责任。</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第二十一条</w:t>
      </w:r>
      <w:r>
        <w:rPr>
          <w:rFonts w:ascii="宋体" w:hAnsi="宋体" w:cs="仿宋"/>
          <w:color w:val="000000"/>
          <w:szCs w:val="21"/>
          <w:highlight w:val="none"/>
        </w:rPr>
        <w:t xml:space="preserve"> </w:t>
      </w:r>
      <w:r>
        <w:rPr>
          <w:rFonts w:hint="eastAsia" w:ascii="宋体" w:hAnsi="宋体" w:cs="仿宋"/>
          <w:color w:val="000000"/>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第二十二条</w:t>
      </w:r>
      <w:r>
        <w:rPr>
          <w:rFonts w:ascii="宋体" w:hAnsi="宋体" w:cs="仿宋"/>
          <w:color w:val="000000"/>
          <w:szCs w:val="21"/>
          <w:highlight w:val="none"/>
        </w:rPr>
        <w:t xml:space="preserve"> </w:t>
      </w:r>
      <w:r>
        <w:rPr>
          <w:rFonts w:hint="eastAsia" w:ascii="宋体" w:hAnsi="宋体" w:cs="仿宋"/>
          <w:color w:val="000000"/>
          <w:szCs w:val="21"/>
          <w:highlight w:val="none"/>
        </w:rPr>
        <w:t>对外援助项目、国家相关资格或者资质管理制度另有规定的项目，不适用本办法。</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第二十三条</w:t>
      </w:r>
      <w:r>
        <w:rPr>
          <w:rFonts w:ascii="宋体" w:hAnsi="宋体" w:cs="仿宋"/>
          <w:color w:val="000000"/>
          <w:szCs w:val="21"/>
          <w:highlight w:val="none"/>
        </w:rPr>
        <w:t xml:space="preserve"> </w:t>
      </w:r>
      <w:r>
        <w:rPr>
          <w:rFonts w:hint="eastAsia" w:ascii="宋体" w:hAnsi="宋体" w:cs="仿宋"/>
          <w:color w:val="000000"/>
          <w:szCs w:val="21"/>
          <w:highlight w:val="none"/>
        </w:rPr>
        <w:t>关于视同中小企业的其他主体的政府采购扶持政策，由财政部会同有关部门另行规定。</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第二十四条</w:t>
      </w:r>
      <w:r>
        <w:rPr>
          <w:rFonts w:ascii="宋体" w:hAnsi="宋体" w:cs="仿宋"/>
          <w:color w:val="000000"/>
          <w:szCs w:val="21"/>
          <w:highlight w:val="none"/>
        </w:rPr>
        <w:t xml:space="preserve"> </w:t>
      </w:r>
      <w:r>
        <w:rPr>
          <w:rFonts w:hint="eastAsia" w:ascii="宋体" w:hAnsi="宋体" w:cs="仿宋"/>
          <w:color w:val="000000"/>
          <w:szCs w:val="21"/>
          <w:highlight w:val="none"/>
        </w:rPr>
        <w:t>省级财政部门可以会同中小企业主管部门根据本办法的规定制定具体实施办法。</w:t>
      </w:r>
    </w:p>
    <w:p>
      <w:pPr>
        <w:widowControl/>
        <w:spacing w:line="276"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第二十五条</w:t>
      </w:r>
      <w:r>
        <w:rPr>
          <w:rFonts w:ascii="宋体" w:hAnsi="宋体" w:cs="仿宋"/>
          <w:color w:val="000000"/>
          <w:szCs w:val="21"/>
          <w:highlight w:val="none"/>
        </w:rPr>
        <w:t xml:space="preserve"> </w:t>
      </w:r>
      <w:r>
        <w:rPr>
          <w:rFonts w:hint="eastAsia" w:ascii="宋体" w:hAnsi="宋体" w:cs="仿宋"/>
          <w:color w:val="000000"/>
          <w:szCs w:val="21"/>
          <w:highlight w:val="none"/>
        </w:rPr>
        <w:t>本办法自</w:t>
      </w:r>
      <w:r>
        <w:rPr>
          <w:rFonts w:ascii="宋体" w:hAnsi="宋体" w:cs="仿宋"/>
          <w:color w:val="000000"/>
          <w:szCs w:val="21"/>
          <w:highlight w:val="none"/>
        </w:rPr>
        <w:t>2021年1月1日起施行。《财政部工业和信息化部关于印发〈政府采购促进中小企业发展暂行办法〉的通知》（财库﹝2011﹞181号）同时废止。</w:t>
      </w:r>
    </w:p>
    <w:p>
      <w:pPr>
        <w:rPr>
          <w:rFonts w:ascii="宋体" w:hAnsi="宋体" w:cs="仿宋"/>
          <w:color w:val="000000"/>
          <w:szCs w:val="21"/>
          <w:highlight w:val="none"/>
        </w:rPr>
      </w:pPr>
      <w:r>
        <w:rPr>
          <w:rFonts w:ascii="宋体" w:hAnsi="宋体" w:cs="仿宋"/>
          <w:color w:val="000000"/>
          <w:szCs w:val="21"/>
          <w:highlight w:val="none"/>
        </w:rPr>
        <w:br w:type="page"/>
      </w:r>
    </w:p>
    <w:p>
      <w:pPr>
        <w:jc w:val="left"/>
        <w:rPr>
          <w:rFonts w:ascii="宋体" w:hAnsi="宋体" w:cs="仿宋"/>
          <w:color w:val="000000"/>
          <w:szCs w:val="21"/>
          <w:highlight w:val="none"/>
        </w:rPr>
      </w:pPr>
    </w:p>
    <w:p>
      <w:pPr>
        <w:spacing w:line="276" w:lineRule="auto"/>
        <w:jc w:val="center"/>
        <w:outlineLvl w:val="0"/>
        <w:rPr>
          <w:rFonts w:ascii="宋体" w:hAnsi="宋体" w:cs="仿宋"/>
          <w:b/>
          <w:bCs/>
          <w:color w:val="000000"/>
          <w:sz w:val="24"/>
          <w:highlight w:val="none"/>
        </w:rPr>
      </w:pPr>
      <w:bookmarkStart w:id="121" w:name="_Toc83405816"/>
      <w:bookmarkStart w:id="122" w:name="_Toc24466"/>
      <w:bookmarkStart w:id="123" w:name="_Toc86918441"/>
      <w:r>
        <w:rPr>
          <w:rFonts w:hint="eastAsia" w:ascii="宋体" w:hAnsi="宋体" w:cs="仿宋"/>
          <w:b/>
          <w:bCs/>
          <w:color w:val="000000"/>
          <w:sz w:val="24"/>
          <w:highlight w:val="none"/>
        </w:rPr>
        <w:t>关于印发〈中小企业划型标准规定〉的通知</w:t>
      </w:r>
      <w:bookmarkEnd w:id="121"/>
      <w:bookmarkEnd w:id="122"/>
      <w:bookmarkEnd w:id="123"/>
    </w:p>
    <w:p>
      <w:pPr>
        <w:spacing w:line="276" w:lineRule="auto"/>
        <w:jc w:val="center"/>
        <w:rPr>
          <w:rFonts w:ascii="宋体" w:hAnsi="宋体" w:cs="仿宋"/>
          <w:color w:val="000000"/>
          <w:sz w:val="24"/>
          <w:highlight w:val="none"/>
        </w:rPr>
      </w:pPr>
      <w:r>
        <w:rPr>
          <w:rFonts w:hint="eastAsia" w:ascii="宋体" w:hAnsi="宋体" w:cs="仿宋"/>
          <w:color w:val="000000"/>
          <w:sz w:val="22"/>
          <w:szCs w:val="22"/>
          <w:highlight w:val="none"/>
        </w:rPr>
        <w:t>工信部联企〔</w:t>
      </w:r>
      <w:r>
        <w:rPr>
          <w:rFonts w:ascii="宋体" w:hAnsi="宋体" w:cs="仿宋"/>
          <w:color w:val="000000"/>
          <w:sz w:val="22"/>
          <w:szCs w:val="22"/>
          <w:highlight w:val="none"/>
        </w:rPr>
        <w:t>2011〕300号</w:t>
      </w:r>
    </w:p>
    <w:p>
      <w:pPr>
        <w:spacing w:line="276" w:lineRule="auto"/>
        <w:jc w:val="left"/>
        <w:rPr>
          <w:rFonts w:ascii="宋体" w:hAnsi="宋体" w:cs="仿宋"/>
          <w:color w:val="000000"/>
          <w:szCs w:val="21"/>
          <w:highlight w:val="none"/>
        </w:rPr>
      </w:pPr>
    </w:p>
    <w:p>
      <w:pPr>
        <w:spacing w:line="276" w:lineRule="auto"/>
        <w:jc w:val="left"/>
        <w:rPr>
          <w:rFonts w:ascii="宋体" w:hAnsi="宋体" w:cs="仿宋"/>
          <w:color w:val="000000"/>
          <w:szCs w:val="21"/>
          <w:highlight w:val="none"/>
        </w:rPr>
      </w:pPr>
      <w:r>
        <w:rPr>
          <w:rFonts w:hint="eastAsia" w:ascii="宋体" w:hAnsi="宋体" w:cs="仿宋"/>
          <w:color w:val="000000"/>
          <w:szCs w:val="21"/>
          <w:highlight w:val="none"/>
        </w:rPr>
        <w:t>各省、自治区、直辖市人民政府，国务院各部委、各直属机构及有关单位：</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为贯彻落实《中华人民共和国中小企业促进法》和《国务院关于进一步促进中小企业发展的若干意见》（国发〔</w:t>
      </w:r>
      <w:r>
        <w:rPr>
          <w:rFonts w:ascii="宋体" w:hAnsi="宋体" w:cs="仿宋"/>
          <w:color w:val="000000"/>
          <w:szCs w:val="21"/>
          <w:highlight w:val="none"/>
        </w:rPr>
        <w:t>2009〕36号），工业和信息化部、国家统计局、发展改革委、财政部研究制定了《中小企业划型标准规定》。经国务院同意，现印发给你们，请遵照执行。</w:t>
      </w:r>
    </w:p>
    <w:p>
      <w:pPr>
        <w:spacing w:line="276" w:lineRule="auto"/>
        <w:ind w:firstLine="420" w:firstLineChars="200"/>
        <w:jc w:val="right"/>
        <w:rPr>
          <w:rFonts w:ascii="宋体" w:hAnsi="宋体" w:cs="仿宋"/>
          <w:color w:val="000000"/>
          <w:szCs w:val="21"/>
          <w:highlight w:val="none"/>
        </w:rPr>
      </w:pPr>
      <w:r>
        <w:rPr>
          <w:rFonts w:hint="eastAsia" w:ascii="宋体" w:hAnsi="宋体" w:cs="仿宋"/>
          <w:color w:val="000000"/>
          <w:szCs w:val="21"/>
          <w:highlight w:val="none"/>
        </w:rPr>
        <w:t>工业和信息化部</w:t>
      </w:r>
    </w:p>
    <w:p>
      <w:pPr>
        <w:spacing w:line="276" w:lineRule="auto"/>
        <w:ind w:firstLine="420" w:firstLineChars="200"/>
        <w:jc w:val="right"/>
        <w:rPr>
          <w:rFonts w:ascii="宋体" w:hAnsi="宋体" w:cs="仿宋"/>
          <w:color w:val="000000"/>
          <w:szCs w:val="21"/>
          <w:highlight w:val="none"/>
        </w:rPr>
      </w:pPr>
      <w:r>
        <w:rPr>
          <w:rFonts w:hint="eastAsia" w:ascii="宋体" w:hAnsi="宋体" w:cs="仿宋"/>
          <w:color w:val="000000"/>
          <w:szCs w:val="21"/>
          <w:highlight w:val="none"/>
        </w:rPr>
        <w:t>国家统计局</w:t>
      </w:r>
    </w:p>
    <w:p>
      <w:pPr>
        <w:spacing w:line="276" w:lineRule="auto"/>
        <w:ind w:firstLine="420" w:firstLineChars="200"/>
        <w:jc w:val="right"/>
        <w:rPr>
          <w:rFonts w:ascii="宋体" w:hAnsi="宋体" w:cs="仿宋"/>
          <w:color w:val="000000"/>
          <w:szCs w:val="21"/>
          <w:highlight w:val="none"/>
        </w:rPr>
      </w:pPr>
      <w:r>
        <w:rPr>
          <w:rFonts w:hint="eastAsia" w:ascii="宋体" w:hAnsi="宋体" w:cs="仿宋"/>
          <w:color w:val="000000"/>
          <w:szCs w:val="21"/>
          <w:highlight w:val="none"/>
        </w:rPr>
        <w:t>国家发展和改革委员会</w:t>
      </w:r>
    </w:p>
    <w:p>
      <w:pPr>
        <w:spacing w:line="276" w:lineRule="auto"/>
        <w:ind w:firstLine="420" w:firstLineChars="200"/>
        <w:jc w:val="right"/>
        <w:rPr>
          <w:rFonts w:ascii="宋体" w:hAnsi="宋体" w:cs="仿宋"/>
          <w:color w:val="000000"/>
          <w:szCs w:val="21"/>
          <w:highlight w:val="none"/>
        </w:rPr>
      </w:pPr>
      <w:r>
        <w:rPr>
          <w:rFonts w:hint="eastAsia" w:ascii="宋体" w:hAnsi="宋体" w:cs="仿宋"/>
          <w:color w:val="000000"/>
          <w:szCs w:val="21"/>
          <w:highlight w:val="none"/>
        </w:rPr>
        <w:t>财政部二</w:t>
      </w:r>
    </w:p>
    <w:p>
      <w:pPr>
        <w:spacing w:line="276" w:lineRule="auto"/>
        <w:ind w:firstLine="420" w:firstLineChars="200"/>
        <w:jc w:val="right"/>
        <w:rPr>
          <w:rFonts w:ascii="宋体" w:hAnsi="宋体" w:cs="仿宋"/>
          <w:color w:val="000000"/>
          <w:szCs w:val="21"/>
          <w:highlight w:val="none"/>
        </w:rPr>
      </w:pPr>
      <w:r>
        <w:rPr>
          <w:rFonts w:hint="eastAsia" w:ascii="宋体" w:hAnsi="宋体" w:cs="仿宋"/>
          <w:color w:val="000000"/>
          <w:szCs w:val="21"/>
          <w:highlight w:val="none"/>
        </w:rPr>
        <w:t>○一一年六月十八日</w:t>
      </w:r>
    </w:p>
    <w:p>
      <w:pPr>
        <w:spacing w:line="276" w:lineRule="auto"/>
        <w:ind w:firstLine="420" w:firstLineChars="200"/>
        <w:jc w:val="center"/>
        <w:rPr>
          <w:rFonts w:ascii="宋体" w:hAnsi="宋体" w:cs="仿宋"/>
          <w:color w:val="000000"/>
          <w:szCs w:val="21"/>
          <w:highlight w:val="none"/>
        </w:rPr>
      </w:pPr>
    </w:p>
    <w:p>
      <w:pPr>
        <w:spacing w:line="276" w:lineRule="auto"/>
        <w:ind w:firstLine="420" w:firstLineChars="200"/>
        <w:jc w:val="center"/>
        <w:rPr>
          <w:rFonts w:ascii="宋体" w:hAnsi="宋体" w:cs="仿宋"/>
          <w:color w:val="000000"/>
          <w:szCs w:val="21"/>
          <w:highlight w:val="none"/>
        </w:rPr>
      </w:pPr>
      <w:r>
        <w:rPr>
          <w:rFonts w:hint="eastAsia" w:ascii="宋体" w:hAnsi="宋体" w:cs="仿宋"/>
          <w:color w:val="000000"/>
          <w:szCs w:val="21"/>
          <w:highlight w:val="none"/>
        </w:rPr>
        <w:t>中小企业划型标准规定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一、根据《中华人民共和国中小企业促进法》和《国务院关于进一步促进中小企业发展的若干意见》</w:t>
      </w:r>
      <w:r>
        <w:rPr>
          <w:rFonts w:ascii="宋体" w:hAnsi="宋体" w:cs="仿宋"/>
          <w:color w:val="000000"/>
          <w:szCs w:val="21"/>
          <w:highlight w:val="none"/>
        </w:rPr>
        <w:t>(国发〔2009〕36号)，制定本规定。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二、中小企业划分为中型、小型、微型三种类型，具体标准根据企业从业人员、营业收入、资产总额等指标，结合行业特点制定。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四、各行业划型标准为：</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（一）农、林、牧、渔业。营业收入</w:t>
      </w:r>
      <w:r>
        <w:rPr>
          <w:rFonts w:ascii="宋体" w:hAnsi="宋体" w:cs="仿宋"/>
          <w:color w:val="000000"/>
          <w:szCs w:val="21"/>
          <w:highlight w:val="none"/>
        </w:rPr>
        <w:t>20000万元以下的为中小微型企业。其中，营业收入500万元及以上的为中型企业，营业收入50万元及以上的为小型企业，营业收入50万元以下的为微型企业。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（二）工业。从业人员</w:t>
      </w:r>
      <w:r>
        <w:rPr>
          <w:rFonts w:ascii="宋体" w:hAnsi="宋体" w:cs="仿宋"/>
          <w:color w:val="000000"/>
          <w:szCs w:val="21"/>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（三）建筑业。营业收入</w:t>
      </w:r>
      <w:r>
        <w:rPr>
          <w:rFonts w:ascii="宋体" w:hAnsi="宋体" w:cs="仿宋"/>
          <w:color w:val="000000"/>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（四）批发业。从业人员</w:t>
      </w:r>
      <w:r>
        <w:rPr>
          <w:rFonts w:ascii="宋体" w:hAnsi="宋体" w:cs="仿宋"/>
          <w:color w:val="000000"/>
          <w:szCs w:val="21"/>
          <w:highlight w:val="none"/>
        </w:rPr>
        <w:t>200人以下或营业收入40000万元以下的为中小微型企业。</w:t>
      </w:r>
      <w:r>
        <w:rPr>
          <w:rFonts w:hint="eastAsia" w:ascii="宋体" w:hAnsi="宋体" w:cs="仿宋"/>
          <w:color w:val="000000"/>
          <w:szCs w:val="21"/>
          <w:highlight w:val="none"/>
        </w:rPr>
        <w:t>其中，从业人员</w:t>
      </w:r>
      <w:r>
        <w:rPr>
          <w:rFonts w:ascii="宋体" w:hAnsi="宋体" w:cs="仿宋"/>
          <w:color w:val="000000"/>
          <w:szCs w:val="21"/>
          <w:highlight w:val="none"/>
        </w:rPr>
        <w:t>20人及以上，且营业收入5000万元及以上的为中型企业；从业人员5人及以上，且营业收入1000万元及以上的为小型企业；从业人员5人以下或营业收入1000万元以下的为微型企业。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（五）零售业。从业人员</w:t>
      </w:r>
      <w:r>
        <w:rPr>
          <w:rFonts w:ascii="宋体" w:hAnsi="宋体" w:cs="仿宋"/>
          <w:color w:val="000000"/>
          <w:szCs w:val="21"/>
          <w:highlight w:val="none"/>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（六）交通运输业。从业人员</w:t>
      </w:r>
      <w:r>
        <w:rPr>
          <w:rFonts w:ascii="宋体" w:hAnsi="宋体" w:cs="仿宋"/>
          <w:color w:val="000000"/>
          <w:szCs w:val="21"/>
          <w:highlight w:val="none"/>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（七）仓储业。从业人员</w:t>
      </w:r>
      <w:r>
        <w:rPr>
          <w:rFonts w:ascii="宋体" w:hAnsi="宋体" w:cs="仿宋"/>
          <w:color w:val="000000"/>
          <w:szCs w:val="21"/>
          <w:highlight w:val="none"/>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（八）邮政业。从业人员</w:t>
      </w:r>
      <w:r>
        <w:rPr>
          <w:rFonts w:ascii="宋体" w:hAnsi="宋体" w:cs="仿宋"/>
          <w:color w:val="000000"/>
          <w:szCs w:val="21"/>
          <w:highlight w:val="none"/>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（九）住宿业。从业人员</w:t>
      </w:r>
      <w:r>
        <w:rPr>
          <w:rFonts w:ascii="宋体" w:hAnsi="宋体" w:cs="仿宋"/>
          <w:color w:val="000000"/>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（十）餐饮业。从业人员</w:t>
      </w:r>
      <w:r>
        <w:rPr>
          <w:rFonts w:ascii="宋体" w:hAnsi="宋体" w:cs="仿宋"/>
          <w:color w:val="000000"/>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（十一）信息传输业。从业人员</w:t>
      </w:r>
      <w:r>
        <w:rPr>
          <w:rFonts w:ascii="宋体" w:hAnsi="宋体" w:cs="仿宋"/>
          <w:color w:val="000000"/>
          <w:szCs w:val="21"/>
          <w:highlight w:val="none"/>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（十二）软件和信息技术服务业。从业人员</w:t>
      </w:r>
      <w:r>
        <w:rPr>
          <w:rFonts w:ascii="宋体" w:hAnsi="宋体" w:cs="仿宋"/>
          <w:color w:val="000000"/>
          <w:szCs w:val="21"/>
          <w:highlight w:val="none"/>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（十三）房地产开发经营。营业收入</w:t>
      </w:r>
      <w:r>
        <w:rPr>
          <w:rFonts w:ascii="宋体" w:hAnsi="宋体" w:cs="仿宋"/>
          <w:color w:val="000000"/>
          <w:szCs w:val="21"/>
          <w:highlight w:val="none"/>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（十四）物业管理。从业人员</w:t>
      </w:r>
      <w:r>
        <w:rPr>
          <w:rFonts w:ascii="宋体" w:hAnsi="宋体" w:cs="仿宋"/>
          <w:color w:val="000000"/>
          <w:szCs w:val="21"/>
          <w:highlight w:val="none"/>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（十五）租赁和商务服务业。从业人员</w:t>
      </w:r>
      <w:r>
        <w:rPr>
          <w:rFonts w:ascii="宋体" w:hAnsi="宋体" w:cs="仿宋"/>
          <w:color w:val="000000"/>
          <w:szCs w:val="21"/>
          <w:highlight w:val="none"/>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（十六）其他未列明行业。从业人员</w:t>
      </w:r>
      <w:r>
        <w:rPr>
          <w:rFonts w:ascii="宋体" w:hAnsi="宋体" w:cs="仿宋"/>
          <w:color w:val="000000"/>
          <w:szCs w:val="21"/>
          <w:highlight w:val="none"/>
        </w:rPr>
        <w:t>300人以下的为中小微型企业。其中，从业人员100人及以上的为中型企业；从业人员10人及以上的为小型企业；从业人员10人以下的为微型企业。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五、企业类型的划分以统计部门的统计数据为依据。</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六、本规定适用于在中华人民共和国境内依法设立的各类所有制和各种组织形式的企业。个体工商户和本规定以外的行业，参照本规定进行划型。</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八、本规定由工业和信息化部、国家统计局会同有关部门根据《国民经济行业分类》修订情况和企业发展变化情况适时修订。</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九、本规定由工业和信息化部、国家统计局会同有关部门负责解释。</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十、本规定自发布之日起执行，原国家经贸委、原国家计委、财政部和国家统计局</w:t>
      </w:r>
      <w:r>
        <w:rPr>
          <w:rFonts w:ascii="宋体" w:hAnsi="宋体" w:cs="仿宋"/>
          <w:color w:val="000000"/>
          <w:szCs w:val="21"/>
          <w:highlight w:val="none"/>
        </w:rPr>
        <w:t>2003年颁布的《中小企业标准暂行规定》同时废止。</w:t>
      </w:r>
    </w:p>
    <w:p>
      <w:pPr>
        <w:spacing w:line="276" w:lineRule="auto"/>
        <w:rPr>
          <w:rFonts w:ascii="宋体" w:hAnsi="宋体" w:cs="仿宋"/>
          <w:color w:val="000000"/>
          <w:szCs w:val="21"/>
          <w:highlight w:val="none"/>
        </w:rPr>
      </w:pPr>
      <w:r>
        <w:rPr>
          <w:rFonts w:ascii="宋体" w:hAnsi="宋体" w:cs="仿宋"/>
          <w:color w:val="000000"/>
          <w:szCs w:val="21"/>
          <w:highlight w:val="none"/>
        </w:rPr>
        <w:br w:type="page"/>
      </w:r>
    </w:p>
    <w:p>
      <w:pPr>
        <w:jc w:val="center"/>
        <w:outlineLvl w:val="0"/>
        <w:rPr>
          <w:rFonts w:ascii="宋体" w:hAnsi="宋体" w:cs="仿宋"/>
          <w:b/>
          <w:bCs/>
          <w:color w:val="000000"/>
          <w:sz w:val="24"/>
          <w:highlight w:val="none"/>
        </w:rPr>
      </w:pPr>
      <w:bookmarkStart w:id="124" w:name="_Toc86918442"/>
      <w:bookmarkStart w:id="125" w:name="_Toc27418"/>
      <w:bookmarkStart w:id="126" w:name="_Toc83405817"/>
      <w:r>
        <w:rPr>
          <w:rFonts w:hint="eastAsia" w:ascii="宋体" w:hAnsi="宋体" w:cs="仿宋"/>
          <w:b/>
          <w:bCs/>
          <w:color w:val="000000"/>
          <w:sz w:val="24"/>
          <w:highlight w:val="none"/>
        </w:rPr>
        <w:t>国家统计局关于印发《统计上大中小微型企业划分办法（</w:t>
      </w:r>
      <w:r>
        <w:rPr>
          <w:rFonts w:ascii="宋体" w:hAnsi="宋体" w:cs="仿宋"/>
          <w:b/>
          <w:bCs/>
          <w:color w:val="000000"/>
          <w:sz w:val="24"/>
          <w:highlight w:val="none"/>
        </w:rPr>
        <w:t>2017）》的通知</w:t>
      </w:r>
      <w:bookmarkEnd w:id="124"/>
      <w:bookmarkEnd w:id="125"/>
      <w:bookmarkEnd w:id="126"/>
    </w:p>
    <w:p>
      <w:pPr>
        <w:jc w:val="center"/>
        <w:rPr>
          <w:rFonts w:ascii="宋体" w:hAnsi="宋体" w:cs="仿宋"/>
          <w:b/>
          <w:bCs/>
          <w:color w:val="000000"/>
          <w:sz w:val="24"/>
          <w:highlight w:val="none"/>
        </w:rPr>
      </w:pPr>
    </w:p>
    <w:p>
      <w:pPr>
        <w:spacing w:line="276" w:lineRule="auto"/>
        <w:jc w:val="left"/>
        <w:rPr>
          <w:rFonts w:ascii="宋体" w:hAnsi="宋体" w:cs="仿宋"/>
          <w:color w:val="000000"/>
          <w:szCs w:val="21"/>
          <w:highlight w:val="none"/>
        </w:rPr>
      </w:pPr>
      <w:r>
        <w:rPr>
          <w:rFonts w:hint="eastAsia" w:ascii="宋体" w:hAnsi="宋体" w:cs="仿宋"/>
          <w:color w:val="000000"/>
          <w:szCs w:val="21"/>
          <w:highlight w:val="none"/>
        </w:rPr>
        <w:t>各省、自治区、直辖市统计局，新疆生产建设兵团统计局，国务院各有关部门，国家统计局各调查总队：</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《国民经济行业分类》（</w:t>
      </w:r>
      <w:r>
        <w:rPr>
          <w:rFonts w:ascii="宋体" w:hAnsi="宋体" w:cs="仿宋"/>
          <w:color w:val="000000"/>
          <w:szCs w:val="21"/>
          <w:highlight w:val="none"/>
        </w:rPr>
        <w:t>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附件：《统计上大中小微型企业划分办法（</w:t>
      </w:r>
      <w:r>
        <w:rPr>
          <w:rFonts w:ascii="宋体" w:hAnsi="宋体" w:cs="仿宋"/>
          <w:color w:val="000000"/>
          <w:szCs w:val="21"/>
          <w:highlight w:val="none"/>
        </w:rPr>
        <w:t>2017）》修订说明</w:t>
      </w:r>
    </w:p>
    <w:p>
      <w:pPr>
        <w:spacing w:line="276" w:lineRule="auto"/>
        <w:jc w:val="right"/>
        <w:rPr>
          <w:rFonts w:ascii="宋体" w:hAnsi="宋体" w:cs="仿宋"/>
          <w:color w:val="000000"/>
          <w:szCs w:val="21"/>
          <w:highlight w:val="none"/>
        </w:rPr>
      </w:pPr>
    </w:p>
    <w:p>
      <w:pPr>
        <w:spacing w:line="276" w:lineRule="auto"/>
        <w:jc w:val="right"/>
        <w:rPr>
          <w:rFonts w:ascii="宋体" w:hAnsi="宋体" w:cs="仿宋"/>
          <w:color w:val="000000"/>
          <w:szCs w:val="21"/>
          <w:highlight w:val="none"/>
        </w:rPr>
      </w:pPr>
      <w:r>
        <w:rPr>
          <w:rFonts w:hint="eastAsia" w:ascii="宋体" w:hAnsi="宋体" w:cs="仿宋"/>
          <w:color w:val="000000"/>
          <w:szCs w:val="21"/>
          <w:highlight w:val="none"/>
        </w:rPr>
        <w:t>国家统计局</w:t>
      </w:r>
    </w:p>
    <w:p>
      <w:pPr>
        <w:spacing w:line="276" w:lineRule="auto"/>
        <w:jc w:val="right"/>
        <w:rPr>
          <w:rFonts w:ascii="宋体" w:hAnsi="宋体" w:cs="仿宋"/>
          <w:color w:val="000000"/>
          <w:szCs w:val="21"/>
          <w:highlight w:val="none"/>
        </w:rPr>
      </w:pPr>
      <w:r>
        <w:rPr>
          <w:rFonts w:ascii="宋体" w:hAnsi="宋体" w:cs="仿宋"/>
          <w:color w:val="000000"/>
          <w:szCs w:val="21"/>
          <w:highlight w:val="none"/>
        </w:rPr>
        <w:t>2017年12月28日</w:t>
      </w:r>
    </w:p>
    <w:p>
      <w:pPr>
        <w:spacing w:line="276" w:lineRule="auto"/>
        <w:jc w:val="center"/>
        <w:rPr>
          <w:rFonts w:ascii="宋体" w:hAnsi="宋体" w:cs="仿宋"/>
          <w:color w:val="000000"/>
          <w:szCs w:val="21"/>
          <w:highlight w:val="none"/>
        </w:rPr>
      </w:pPr>
    </w:p>
    <w:p>
      <w:pPr>
        <w:spacing w:line="276" w:lineRule="auto"/>
        <w:jc w:val="center"/>
        <w:outlineLvl w:val="1"/>
        <w:rPr>
          <w:rFonts w:ascii="宋体" w:hAnsi="宋体" w:cs="仿宋"/>
          <w:color w:val="000000"/>
          <w:szCs w:val="21"/>
          <w:highlight w:val="none"/>
        </w:rPr>
      </w:pPr>
      <w:bookmarkStart w:id="127" w:name="_Toc16683"/>
      <w:bookmarkStart w:id="128" w:name="_Toc86918443"/>
      <w:bookmarkStart w:id="129" w:name="_Toc83405818"/>
      <w:r>
        <w:rPr>
          <w:rFonts w:hint="eastAsia" w:ascii="宋体" w:hAnsi="宋体" w:cs="仿宋"/>
          <w:color w:val="000000"/>
          <w:szCs w:val="21"/>
          <w:highlight w:val="none"/>
        </w:rPr>
        <w:t>统计上大中小微型企业划分办法（</w:t>
      </w:r>
      <w:r>
        <w:rPr>
          <w:rFonts w:ascii="宋体" w:hAnsi="宋体" w:cs="仿宋"/>
          <w:color w:val="000000"/>
          <w:szCs w:val="21"/>
          <w:highlight w:val="none"/>
        </w:rPr>
        <w:t>2017）</w:t>
      </w:r>
      <w:bookmarkEnd w:id="127"/>
      <w:bookmarkEnd w:id="128"/>
      <w:bookmarkEnd w:id="129"/>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一、根据工业和信息化部、国家统计局、国家发展改革委、财政部《关于印发中小企业划型标准规定的通知》（工信部联企业〔</w:t>
      </w:r>
      <w:r>
        <w:rPr>
          <w:rFonts w:ascii="宋体" w:hAnsi="宋体" w:cs="仿宋"/>
          <w:color w:val="000000"/>
          <w:szCs w:val="21"/>
          <w:highlight w:val="none"/>
        </w:rPr>
        <w:t>2011〕300号），以《国民经济行业分类》（GB/T4754-2017）为基础，结合统计工作的实际情况，制定本办法。</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二、本办法适用对象为在中华人民共和国境内依法设立的各种组织形式的法人企业或单位。个体工商户参照本办法进行划分。</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cs="仿宋"/>
          <w:color w:val="000000"/>
          <w:szCs w:val="21"/>
          <w:highlight w:val="none"/>
        </w:rPr>
        <w:t>15个行业门类以及社会工作行业大类。</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四、本办法按照行业门类、大类、中类和组合类别，依据从业人员、营业收入、资产总额等指标或替代指标，将我国的企业划分为大型、中型、小型、微型等四种类型。具体划分标准见附表。</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五、企业划分由政府综合统计部门根据统计年报每年确定一次，定报统计原则上不进行调整。</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六、本办法自印发之日起执行，国家统计局</w:t>
      </w:r>
      <w:r>
        <w:rPr>
          <w:rFonts w:ascii="宋体" w:hAnsi="宋体" w:cs="仿宋"/>
          <w:color w:val="000000"/>
          <w:szCs w:val="21"/>
          <w:highlight w:val="none"/>
        </w:rPr>
        <w:t>2011年印发的《统计上大中小微型企业划分办法》（国统字〔2011〕75号）同时废止。</w:t>
      </w:r>
    </w:p>
    <w:p>
      <w:pPr>
        <w:widowControl/>
        <w:spacing w:line="276" w:lineRule="auto"/>
        <w:jc w:val="left"/>
        <w:rPr>
          <w:rFonts w:ascii="宋体" w:hAnsi="宋体" w:cs="仿宋"/>
          <w:color w:val="000000"/>
          <w:szCs w:val="21"/>
          <w:highlight w:val="none"/>
        </w:rPr>
      </w:pPr>
      <w:r>
        <w:rPr>
          <w:rFonts w:hint="eastAsia" w:ascii="宋体" w:hAnsi="宋体" w:cs="仿宋"/>
          <w:color w:val="000000"/>
          <w:szCs w:val="21"/>
          <w:highlight w:val="none"/>
        </w:rPr>
        <w:t>附表</w:t>
      </w:r>
    </w:p>
    <w:p>
      <w:pPr>
        <w:widowControl/>
        <w:spacing w:line="330" w:lineRule="atLeast"/>
        <w:jc w:val="center"/>
        <w:outlineLvl w:val="1"/>
        <w:rPr>
          <w:rFonts w:ascii="宋体" w:hAnsi="宋体" w:cs="仿宋"/>
          <w:color w:val="000000"/>
          <w:szCs w:val="21"/>
          <w:highlight w:val="none"/>
        </w:rPr>
      </w:pPr>
      <w:bookmarkStart w:id="130" w:name="_Toc86918444"/>
      <w:bookmarkStart w:id="131" w:name="_Toc15275"/>
      <w:bookmarkStart w:id="132" w:name="_Toc83405819"/>
      <w:r>
        <w:rPr>
          <w:rFonts w:hint="eastAsia" w:ascii="宋体" w:hAnsi="宋体" w:cs="仿宋"/>
          <w:color w:val="000000"/>
          <w:szCs w:val="21"/>
          <w:highlight w:val="none"/>
        </w:rPr>
        <w:t>统计上大中小微型企业划分标准</w:t>
      </w:r>
      <w:bookmarkEnd w:id="130"/>
      <w:bookmarkEnd w:id="131"/>
      <w:bookmarkEnd w:id="132"/>
    </w:p>
    <w:tbl>
      <w:tblPr>
        <w:tblStyle w:val="23"/>
        <w:tblW w:w="8907" w:type="dxa"/>
        <w:jc w:val="center"/>
        <w:tblLayout w:type="fixed"/>
        <w:tblCellMar>
          <w:top w:w="0" w:type="dxa"/>
          <w:left w:w="108" w:type="dxa"/>
          <w:bottom w:w="0" w:type="dxa"/>
          <w:right w:w="108" w:type="dxa"/>
        </w:tblCellMar>
      </w:tblPr>
      <w:tblGrid>
        <w:gridCol w:w="1582"/>
        <w:gridCol w:w="1462"/>
        <w:gridCol w:w="838"/>
        <w:gridCol w:w="1087"/>
        <w:gridCol w:w="1563"/>
        <w:gridCol w:w="1425"/>
        <w:gridCol w:w="950"/>
      </w:tblGrid>
      <w:tr>
        <w:trPr>
          <w:trHeight w:val="622" w:hRule="exac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行业名称</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指标名称</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计量</w:t>
            </w:r>
          </w:p>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单位</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大型</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中型</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小型</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微型</w:t>
            </w:r>
          </w:p>
        </w:tc>
      </w:tr>
      <w:tr>
        <w:trPr>
          <w:trHeight w:val="397" w:hRule="exac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农、林、牧、渔业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Y≥20000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500≤Y＜20000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50≤Y＜500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Y＜50</w:t>
            </w:r>
          </w:p>
        </w:tc>
      </w:tr>
      <w:tr>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工业</w:t>
            </w:r>
            <w:r>
              <w:rPr>
                <w:rFonts w:ascii="宋体" w:hAnsi="宋体" w:cs="仿宋"/>
                <w:color w:val="000000"/>
                <w:sz w:val="15"/>
                <w:szCs w:val="15"/>
                <w:highlight w:val="none"/>
              </w:rPr>
              <w:t xml:space="preserve"> *</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300≤X＜1000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20≤X＜300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X＜20</w:t>
            </w:r>
          </w:p>
        </w:tc>
      </w:tr>
      <w:tr>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Y≥40000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2000≤Y＜40000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300≤Y＜2000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Y＜300</w:t>
            </w:r>
          </w:p>
        </w:tc>
      </w:tr>
      <w:tr>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建筑业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Y≥80000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6000≤Y＜80000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300≤Y＜6000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Y＜300</w:t>
            </w:r>
          </w:p>
        </w:tc>
      </w:tr>
      <w:tr>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资产总额</w:t>
            </w:r>
            <w:r>
              <w:rPr>
                <w:rFonts w:ascii="宋体" w:hAnsi="宋体" w:cs="仿宋"/>
                <w:color w:val="000000"/>
                <w:sz w:val="15"/>
                <w:szCs w:val="15"/>
                <w:highlight w:val="none"/>
              </w:rPr>
              <w:t>(Z)</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Z≥80000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5000≤Z＜80000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300≤Z＜5000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Z＜300</w:t>
            </w:r>
          </w:p>
        </w:tc>
      </w:tr>
      <w:tr>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批发业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X≥200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20≤X＜200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5≤X＜20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X＜5</w:t>
            </w:r>
          </w:p>
        </w:tc>
      </w:tr>
      <w:tr>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Y≥40000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5000≤Y＜40000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 w:leftChars="-1" w:hanging="1"/>
              <w:jc w:val="center"/>
              <w:rPr>
                <w:rFonts w:ascii="宋体" w:hAnsi="宋体" w:cs="仿宋"/>
                <w:color w:val="000000"/>
                <w:sz w:val="15"/>
                <w:szCs w:val="15"/>
                <w:highlight w:val="none"/>
              </w:rPr>
            </w:pPr>
            <w:r>
              <w:rPr>
                <w:rFonts w:ascii="宋体" w:hAnsi="宋体" w:cs="仿宋"/>
                <w:color w:val="000000"/>
                <w:sz w:val="15"/>
                <w:szCs w:val="15"/>
                <w:highlight w:val="none"/>
              </w:rPr>
              <w:t>1000≤Y＜5000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Y＜1000</w:t>
            </w:r>
          </w:p>
        </w:tc>
      </w:tr>
      <w:tr>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零售业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50≤X＜300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 w:leftChars="-1" w:hanging="1"/>
              <w:jc w:val="center"/>
              <w:rPr>
                <w:rFonts w:ascii="宋体" w:hAnsi="宋体" w:cs="仿宋"/>
                <w:color w:val="000000"/>
                <w:sz w:val="15"/>
                <w:szCs w:val="15"/>
                <w:highlight w:val="none"/>
              </w:rPr>
            </w:pPr>
            <w:r>
              <w:rPr>
                <w:rFonts w:ascii="宋体" w:hAnsi="宋体" w:cs="仿宋"/>
                <w:color w:val="000000"/>
                <w:sz w:val="15"/>
                <w:szCs w:val="15"/>
                <w:highlight w:val="none"/>
              </w:rPr>
              <w:t xml:space="preserve">10≤X＜50 </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w:t>
            </w:r>
          </w:p>
        </w:tc>
      </w:tr>
      <w:tr>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Y≥20000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500≤Y＜20000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 w:leftChars="-1" w:hanging="1"/>
              <w:jc w:val="center"/>
              <w:rPr>
                <w:rFonts w:ascii="宋体" w:hAnsi="宋体" w:cs="仿宋"/>
                <w:color w:val="000000"/>
                <w:sz w:val="15"/>
                <w:szCs w:val="15"/>
                <w:highlight w:val="none"/>
              </w:rPr>
            </w:pPr>
            <w:r>
              <w:rPr>
                <w:rFonts w:ascii="宋体" w:hAnsi="宋体" w:cs="仿宋"/>
                <w:color w:val="000000"/>
                <w:sz w:val="15"/>
                <w:szCs w:val="15"/>
                <w:highlight w:val="none"/>
              </w:rPr>
              <w:t xml:space="preserve">100≤Y＜500 </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w:t>
            </w:r>
          </w:p>
        </w:tc>
      </w:tr>
      <w:tr>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交通运输业</w:t>
            </w:r>
            <w:r>
              <w:rPr>
                <w:rFonts w:ascii="宋体" w:hAnsi="宋体" w:cs="仿宋"/>
                <w:color w:val="000000"/>
                <w:sz w:val="15"/>
                <w:szCs w:val="15"/>
                <w:highlight w:val="none"/>
              </w:rPr>
              <w:t xml:space="preserve"> *</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300≤X＜1000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20≤X＜300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X＜20</w:t>
            </w:r>
          </w:p>
        </w:tc>
      </w:tr>
      <w:tr>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Y≥30000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3000≤Y＜30000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200≤Y＜3000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Y＜200</w:t>
            </w:r>
          </w:p>
        </w:tc>
      </w:tr>
      <w:tr>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仓储业</w:t>
            </w:r>
            <w:r>
              <w:rPr>
                <w:rFonts w:ascii="宋体" w:hAnsi="宋体" w:cs="仿宋"/>
                <w:color w:val="000000"/>
                <w:sz w:val="15"/>
                <w:szCs w:val="15"/>
                <w:highlight w:val="none"/>
              </w:rPr>
              <w:t>*</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X≥200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宋体" w:hAnsi="宋体" w:cs="仿宋"/>
                <w:color w:val="000000"/>
                <w:sz w:val="15"/>
                <w:szCs w:val="15"/>
                <w:highlight w:val="none"/>
              </w:rPr>
            </w:pPr>
            <w:r>
              <w:rPr>
                <w:rFonts w:ascii="宋体" w:hAnsi="宋体" w:cs="仿宋"/>
                <w:color w:val="000000"/>
                <w:sz w:val="15"/>
                <w:szCs w:val="15"/>
                <w:highlight w:val="none"/>
              </w:rPr>
              <w:t>100≤X＜200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20≤X＜100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X＜20</w:t>
            </w:r>
          </w:p>
        </w:tc>
      </w:tr>
      <w:tr>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Y≥30000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1000≤Y＜30000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100≤Y＜1000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w:t>
            </w:r>
          </w:p>
        </w:tc>
      </w:tr>
      <w:tr>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邮政业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300≤X＜1000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20≤X＜300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X＜20</w:t>
            </w:r>
          </w:p>
        </w:tc>
      </w:tr>
      <w:tr>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Y≥30000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2000≤Y＜30000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100≤Y＜2000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w:t>
            </w:r>
          </w:p>
        </w:tc>
      </w:tr>
      <w:tr>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住宿业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宋体" w:hAnsi="宋体" w:cs="仿宋"/>
                <w:color w:val="000000"/>
                <w:sz w:val="15"/>
                <w:szCs w:val="15"/>
                <w:highlight w:val="none"/>
              </w:rPr>
            </w:pPr>
            <w:r>
              <w:rPr>
                <w:rFonts w:ascii="宋体" w:hAnsi="宋体" w:cs="仿宋"/>
                <w:color w:val="000000"/>
                <w:sz w:val="15"/>
                <w:szCs w:val="15"/>
                <w:highlight w:val="none"/>
              </w:rPr>
              <w:t xml:space="preserve">100≤X＜300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w:t>
            </w:r>
          </w:p>
        </w:tc>
      </w:tr>
      <w:tr>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2000≤Y＜10000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100≤Y＜2000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w:t>
            </w:r>
          </w:p>
        </w:tc>
      </w:tr>
      <w:tr>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餐饮业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宋体" w:hAnsi="宋体" w:cs="仿宋"/>
                <w:color w:val="000000"/>
                <w:sz w:val="15"/>
                <w:szCs w:val="15"/>
                <w:highlight w:val="none"/>
              </w:rPr>
            </w:pPr>
            <w:r>
              <w:rPr>
                <w:rFonts w:ascii="宋体" w:hAnsi="宋体" w:cs="仿宋"/>
                <w:color w:val="000000"/>
                <w:sz w:val="15"/>
                <w:szCs w:val="15"/>
                <w:highlight w:val="none"/>
              </w:rPr>
              <w:t xml:space="preserve">100≤X＜300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w:t>
            </w:r>
          </w:p>
        </w:tc>
      </w:tr>
      <w:tr>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2000≤Y＜10000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100≤Y＜2000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w:t>
            </w:r>
          </w:p>
        </w:tc>
      </w:tr>
      <w:tr>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信息传输业</w:t>
            </w:r>
            <w:r>
              <w:rPr>
                <w:rFonts w:ascii="宋体" w:hAnsi="宋体" w:cs="仿宋"/>
                <w:color w:val="000000"/>
                <w:sz w:val="15"/>
                <w:szCs w:val="15"/>
                <w:highlight w:val="none"/>
              </w:rPr>
              <w:t xml:space="preserve"> *</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X≥2000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100≤X＜2000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w:t>
            </w:r>
          </w:p>
        </w:tc>
      </w:tr>
      <w:tr>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1000≤Y＜100000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100≤Y＜1000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w:t>
            </w:r>
          </w:p>
        </w:tc>
      </w:tr>
      <w:tr>
        <w:trPr>
          <w:trHeight w:val="340"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软件和信息技术服务业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宋体" w:hAnsi="宋体" w:cs="仿宋"/>
                <w:color w:val="000000"/>
                <w:sz w:val="15"/>
                <w:szCs w:val="15"/>
                <w:highlight w:val="none"/>
              </w:rPr>
            </w:pPr>
            <w:r>
              <w:rPr>
                <w:rFonts w:ascii="宋体" w:hAnsi="宋体" w:cs="仿宋"/>
                <w:color w:val="000000"/>
                <w:sz w:val="15"/>
                <w:szCs w:val="15"/>
                <w:highlight w:val="none"/>
              </w:rPr>
              <w:t xml:space="preserve">100≤X＜300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w:t>
            </w:r>
          </w:p>
        </w:tc>
      </w:tr>
      <w:tr>
        <w:trPr>
          <w:trHeight w:val="340"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1000≤Y＜10000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50≤Y＜1000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Y＜50</w:t>
            </w:r>
          </w:p>
        </w:tc>
      </w:tr>
      <w:tr>
        <w:trPr>
          <w:trHeight w:val="340"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房地产开发经营</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Y≥200000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1000≤Y＜200000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100≤Y＜1000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Y＜100</w:t>
            </w:r>
          </w:p>
        </w:tc>
      </w:tr>
      <w:tr>
        <w:trPr>
          <w:trHeight w:val="340"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资产总额</w:t>
            </w:r>
            <w:r>
              <w:rPr>
                <w:rFonts w:ascii="宋体" w:hAnsi="宋体" w:cs="仿宋"/>
                <w:color w:val="000000"/>
                <w:sz w:val="15"/>
                <w:szCs w:val="15"/>
                <w:highlight w:val="none"/>
              </w:rPr>
              <w:t>(Z)</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Z≥10000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5000≤Z＜10000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2000≤Z＜5000   </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Z＜2000</w:t>
            </w:r>
          </w:p>
        </w:tc>
      </w:tr>
      <w:tr>
        <w:trPr>
          <w:trHeight w:val="340"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物业管理</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300≤X＜1000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100≤X＜300 </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X＜100</w:t>
            </w:r>
          </w:p>
        </w:tc>
      </w:tr>
      <w:tr>
        <w:trPr>
          <w:trHeight w:val="340"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营业收入</w:t>
            </w:r>
            <w:r>
              <w:rPr>
                <w:rFonts w:ascii="宋体" w:hAnsi="宋体" w:cs="仿宋"/>
                <w:color w:val="000000"/>
                <w:sz w:val="15"/>
                <w:szCs w:val="15"/>
                <w:highlight w:val="none"/>
              </w:rPr>
              <w:t>(Y)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Y≥5000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宋体" w:hAnsi="宋体" w:cs="仿宋"/>
                <w:color w:val="000000"/>
                <w:sz w:val="15"/>
                <w:szCs w:val="15"/>
                <w:highlight w:val="none"/>
              </w:rPr>
            </w:pPr>
            <w:r>
              <w:rPr>
                <w:rFonts w:ascii="宋体" w:hAnsi="宋体" w:cs="仿宋"/>
                <w:color w:val="000000"/>
                <w:sz w:val="15"/>
                <w:szCs w:val="15"/>
                <w:highlight w:val="none"/>
              </w:rPr>
              <w:t xml:space="preserve">1000≤Y＜5000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500≤Y＜1000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Y＜500</w:t>
            </w:r>
          </w:p>
        </w:tc>
      </w:tr>
      <w:tr>
        <w:trPr>
          <w:trHeight w:val="340"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租赁和商务服务业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宋体" w:hAnsi="宋体" w:cs="仿宋"/>
                <w:color w:val="000000"/>
                <w:sz w:val="15"/>
                <w:szCs w:val="15"/>
                <w:highlight w:val="none"/>
              </w:rPr>
            </w:pPr>
            <w:r>
              <w:rPr>
                <w:rFonts w:ascii="宋体" w:hAnsi="宋体" w:cs="仿宋"/>
                <w:color w:val="000000"/>
                <w:sz w:val="15"/>
                <w:szCs w:val="15"/>
                <w:highlight w:val="none"/>
              </w:rPr>
              <w:t xml:space="preserve">100≤X＜300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w:t>
            </w:r>
          </w:p>
        </w:tc>
      </w:tr>
      <w:tr>
        <w:trPr>
          <w:trHeight w:val="340"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仿宋"/>
                <w:color w:val="000000"/>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宋体" w:hAnsi="宋体" w:cs="仿宋"/>
                <w:color w:val="000000"/>
                <w:sz w:val="15"/>
                <w:szCs w:val="15"/>
                <w:highlight w:val="none"/>
              </w:rPr>
            </w:pPr>
            <w:r>
              <w:rPr>
                <w:rFonts w:hint="eastAsia" w:ascii="宋体" w:hAnsi="宋体" w:cs="仿宋"/>
                <w:color w:val="000000"/>
                <w:sz w:val="15"/>
                <w:szCs w:val="15"/>
                <w:highlight w:val="none"/>
              </w:rPr>
              <w:t>资产总额</w:t>
            </w:r>
            <w:r>
              <w:rPr>
                <w:rFonts w:ascii="宋体" w:hAnsi="宋体" w:cs="仿宋"/>
                <w:color w:val="000000"/>
                <w:sz w:val="15"/>
                <w:szCs w:val="15"/>
                <w:highlight w:val="none"/>
              </w:rPr>
              <w:t>(Z)</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Z≥120000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8000≤Z＜120000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100≤Z＜8000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Z＜100</w:t>
            </w:r>
          </w:p>
        </w:tc>
      </w:tr>
      <w:tr>
        <w:trPr>
          <w:trHeight w:val="397" w:hRule="exac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宋体" w:hAnsi="宋体" w:cs="仿宋"/>
                <w:color w:val="000000"/>
                <w:sz w:val="15"/>
                <w:szCs w:val="15"/>
                <w:highlight w:val="none"/>
              </w:rPr>
            </w:pPr>
            <w:r>
              <w:rPr>
                <w:rFonts w:hint="eastAsia" w:ascii="宋体" w:hAnsi="宋体" w:cs="仿宋"/>
                <w:color w:val="000000"/>
                <w:sz w:val="15"/>
                <w:szCs w:val="15"/>
                <w:highlight w:val="none"/>
              </w:rPr>
              <w:t>其他未列明行业</w:t>
            </w:r>
            <w:r>
              <w:rPr>
                <w:rFonts w:ascii="宋体" w:hAnsi="宋体" w:cs="仿宋"/>
                <w:color w:val="000000"/>
                <w:sz w:val="15"/>
                <w:szCs w:val="15"/>
                <w:highlight w:val="none"/>
              </w:rPr>
              <w:t xml:space="preserve"> *</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从业人员</w:t>
            </w:r>
            <w:r>
              <w:rPr>
                <w:rFonts w:ascii="宋体" w:hAnsi="宋体" w:cs="仿宋"/>
                <w:color w:val="000000"/>
                <w:sz w:val="15"/>
                <w:szCs w:val="15"/>
                <w:highlight w:val="none"/>
              </w:rPr>
              <w:t>(X)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hint="eastAsia" w:ascii="宋体" w:hAnsi="宋体" w:cs="仿宋"/>
                <w:color w:val="000000"/>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宋体" w:hAnsi="宋体" w:cs="仿宋"/>
                <w:color w:val="000000"/>
                <w:sz w:val="15"/>
                <w:szCs w:val="15"/>
                <w:highlight w:val="none"/>
              </w:rPr>
            </w:pPr>
            <w:r>
              <w:rPr>
                <w:rFonts w:ascii="宋体" w:hAnsi="宋体" w:cs="仿宋"/>
                <w:color w:val="000000"/>
                <w:sz w:val="15"/>
                <w:szCs w:val="15"/>
                <w:highlight w:val="none"/>
              </w:rPr>
              <w:t xml:space="preserve">100≤X＜300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仿宋"/>
                <w:color w:val="000000"/>
                <w:sz w:val="15"/>
                <w:szCs w:val="15"/>
                <w:highlight w:val="none"/>
              </w:rPr>
            </w:pPr>
            <w:r>
              <w:rPr>
                <w:rFonts w:ascii="宋体" w:hAnsi="宋体" w:cs="仿宋"/>
                <w:color w:val="000000"/>
                <w:sz w:val="15"/>
                <w:szCs w:val="15"/>
                <w:highlight w:val="none"/>
              </w:rPr>
              <w:t>X＜10</w:t>
            </w:r>
          </w:p>
        </w:tc>
      </w:tr>
    </w:tbl>
    <w:p>
      <w:pPr>
        <w:widowControl/>
        <w:spacing w:line="540" w:lineRule="exact"/>
        <w:rPr>
          <w:rFonts w:ascii="宋体" w:hAnsi="宋体" w:cs="仿宋"/>
          <w:color w:val="000000"/>
          <w:szCs w:val="21"/>
          <w:highlight w:val="none"/>
        </w:rPr>
      </w:pPr>
      <w:r>
        <w:rPr>
          <w:rFonts w:hint="eastAsia" w:ascii="宋体" w:hAnsi="宋体" w:cs="仿宋"/>
          <w:color w:val="000000"/>
          <w:szCs w:val="21"/>
          <w:highlight w:val="none"/>
        </w:rPr>
        <w:t>说明：</w:t>
      </w:r>
    </w:p>
    <w:p>
      <w:pPr>
        <w:widowControl/>
        <w:spacing w:line="540" w:lineRule="exact"/>
        <w:ind w:firstLine="420" w:firstLineChars="200"/>
        <w:rPr>
          <w:rFonts w:ascii="宋体" w:hAnsi="宋体" w:cs="仿宋"/>
          <w:color w:val="000000"/>
          <w:szCs w:val="21"/>
          <w:highlight w:val="none"/>
        </w:rPr>
      </w:pPr>
      <w:r>
        <w:rPr>
          <w:rFonts w:ascii="宋体" w:hAnsi="宋体" w:cs="仿宋"/>
          <w:color w:val="000000"/>
          <w:szCs w:val="21"/>
          <w:highlight w:val="none"/>
        </w:rPr>
        <w:t>1.大型、中型和小型企业须同时满足所列指标的下限，否则下划一档；微型企业只须满足所列指标中的一项即可。</w:t>
      </w:r>
    </w:p>
    <w:p>
      <w:pPr>
        <w:widowControl/>
        <w:spacing w:line="540" w:lineRule="exact"/>
        <w:ind w:firstLine="420" w:firstLineChars="200"/>
        <w:rPr>
          <w:rFonts w:ascii="宋体" w:hAnsi="宋体" w:cs="仿宋"/>
          <w:color w:val="000000"/>
          <w:szCs w:val="21"/>
          <w:highlight w:val="none"/>
        </w:rPr>
      </w:pPr>
      <w:r>
        <w:rPr>
          <w:rFonts w:ascii="宋体" w:hAnsi="宋体" w:cs="仿宋"/>
          <w:color w:val="000000"/>
          <w:szCs w:val="21"/>
          <w:highlight w:val="none"/>
        </w:rPr>
        <w:t>2.附表中各行业的范围以《国民经济行业分类》（GB/T4754-2017）为准。带*的项为行业组合类别，其中，工业包括采矿业，制造业，电力、热力、燃气及水生产和供应业；交通</w:t>
      </w:r>
      <w:r>
        <w:rPr>
          <w:rFonts w:hint="eastAsia" w:ascii="宋体" w:hAnsi="宋体" w:cs="仿宋"/>
          <w:color w:val="000000"/>
          <w:szCs w:val="21"/>
          <w:highlight w:val="none"/>
        </w:rPr>
        <w:t>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仿宋"/>
          <w:color w:val="00000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540" w:lineRule="exact"/>
        <w:ind w:firstLine="420" w:firstLineChars="200"/>
        <w:rPr>
          <w:rFonts w:ascii="宋体" w:hAnsi="宋体" w:cs="仿宋"/>
          <w:color w:val="000000"/>
          <w:szCs w:val="21"/>
          <w:highlight w:val="none"/>
        </w:rPr>
      </w:pPr>
      <w:r>
        <w:rPr>
          <w:rFonts w:ascii="宋体" w:hAnsi="宋体" w:cs="仿宋"/>
          <w:color w:val="00000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ascii="宋体" w:hAnsi="宋体" w:cs="仿宋"/>
          <w:color w:val="000000"/>
          <w:szCs w:val="21"/>
          <w:highlight w:val="none"/>
        </w:rPr>
      </w:pPr>
      <w:r>
        <w:rPr>
          <w:rFonts w:ascii="宋体" w:hAnsi="宋体" w:cs="仿宋"/>
          <w:color w:val="000000"/>
          <w:szCs w:val="21"/>
          <w:highlight w:val="none"/>
        </w:rPr>
        <w:br w:type="page"/>
      </w:r>
    </w:p>
    <w:p>
      <w:pPr>
        <w:spacing w:line="276" w:lineRule="auto"/>
        <w:jc w:val="center"/>
        <w:outlineLvl w:val="0"/>
        <w:rPr>
          <w:rFonts w:ascii="宋体" w:hAnsi="宋体" w:cs="仿宋"/>
          <w:b/>
          <w:bCs/>
          <w:color w:val="000000"/>
          <w:sz w:val="24"/>
          <w:highlight w:val="none"/>
        </w:rPr>
      </w:pPr>
      <w:bookmarkStart w:id="133" w:name="_Toc83405820"/>
      <w:bookmarkStart w:id="134" w:name="_Toc25092"/>
      <w:bookmarkStart w:id="135" w:name="_Toc86918445"/>
      <w:r>
        <w:rPr>
          <w:rFonts w:hint="eastAsia" w:ascii="宋体" w:hAnsi="宋体" w:cs="仿宋"/>
          <w:b/>
          <w:bCs/>
          <w:color w:val="000000"/>
          <w:sz w:val="24"/>
          <w:highlight w:val="none"/>
        </w:rPr>
        <w:t>关于促进残疾人就业政府采购政策的通知</w:t>
      </w:r>
      <w:bookmarkEnd w:id="133"/>
      <w:bookmarkEnd w:id="134"/>
      <w:bookmarkEnd w:id="135"/>
    </w:p>
    <w:p>
      <w:pPr>
        <w:spacing w:line="276" w:lineRule="auto"/>
        <w:jc w:val="center"/>
        <w:rPr>
          <w:rFonts w:ascii="宋体" w:hAnsi="宋体" w:cs="仿宋"/>
          <w:color w:val="000000"/>
          <w:sz w:val="22"/>
          <w:szCs w:val="22"/>
          <w:highlight w:val="none"/>
        </w:rPr>
      </w:pPr>
      <w:r>
        <w:rPr>
          <w:rFonts w:hint="eastAsia" w:ascii="宋体" w:hAnsi="宋体" w:cs="仿宋"/>
          <w:color w:val="000000"/>
          <w:sz w:val="22"/>
          <w:szCs w:val="22"/>
          <w:highlight w:val="none"/>
        </w:rPr>
        <w:t>财库〔</w:t>
      </w:r>
      <w:r>
        <w:rPr>
          <w:rFonts w:ascii="宋体" w:hAnsi="宋体" w:cs="仿宋"/>
          <w:color w:val="000000"/>
          <w:sz w:val="22"/>
          <w:szCs w:val="22"/>
          <w:highlight w:val="none"/>
        </w:rPr>
        <w:t>2017〕141号</w:t>
      </w:r>
    </w:p>
    <w:p>
      <w:pPr>
        <w:spacing w:line="276" w:lineRule="auto"/>
        <w:jc w:val="center"/>
        <w:rPr>
          <w:rFonts w:ascii="宋体" w:hAnsi="宋体" w:cs="仿宋"/>
          <w:color w:val="000000"/>
          <w:szCs w:val="21"/>
          <w:highlight w:val="none"/>
        </w:rPr>
      </w:pPr>
    </w:p>
    <w:p>
      <w:pPr>
        <w:spacing w:line="276" w:lineRule="auto"/>
        <w:jc w:val="left"/>
        <w:rPr>
          <w:rFonts w:ascii="宋体" w:hAnsi="宋体" w:cs="仿宋"/>
          <w:color w:val="000000"/>
          <w:szCs w:val="21"/>
          <w:highlight w:val="none"/>
        </w:rPr>
      </w:pPr>
      <w:r>
        <w:rPr>
          <w:rFonts w:hint="eastAsia" w:ascii="宋体" w:hAnsi="宋体" w:cs="仿宋"/>
          <w:color w:val="000000"/>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为了发挥政府采购促进残疾人就业的作用，进一步保障残疾人权益，依照《政府采购法》、《残疾人保障法》等法律法规及相关规定，现就促进残疾人就业政府采购政策通知如下：</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一、享受政府采购支持政策的残疾人福利性单位应当同时满足以下条件：</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（一）安置的残疾人占本单位在职职工人数的比例不低于</w:t>
      </w:r>
      <w:r>
        <w:rPr>
          <w:rFonts w:ascii="宋体" w:hAnsi="宋体" w:cs="仿宋"/>
          <w:color w:val="000000"/>
          <w:szCs w:val="21"/>
          <w:highlight w:val="none"/>
        </w:rPr>
        <w:t>25%（含25%），并且安置的残疾人人数不少于10人（含10人）；</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（二）依法与安置的每位残疾人签订了一年以上（含一年）的劳动合同或服务协议；</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（三）为安置的每位残疾人按月足额缴纳了基本养老保险、基本医疗保险、失业保险、工伤保险和生育保险等社会保险费；</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（四）通过银行等金融机构向安置的每位残疾人，按月支付了不低于单位所在区县适用的经省级人民政府批准的月最低工资标准的工资；</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（五）提供本单位制造的货物、承担的工程或者服务（以下简称产品），或者提供其他残疾人福利性单位制造的货物（不包括使用非残疾人福利性单位注册商标的货物）。</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前款所称残疾人是指法定劳动年龄内，持有《中华人民共和国残疾人证》或者《中华人民共和国残疾军人证（</w:t>
      </w:r>
      <w:r>
        <w:rPr>
          <w:rFonts w:ascii="宋体" w:hAnsi="宋体" w:cs="仿宋"/>
          <w:color w:val="000000"/>
          <w:szCs w:val="21"/>
          <w:highlight w:val="none"/>
        </w:rPr>
        <w:t>1至8级）》的自然人，包括具有劳动条件和劳动意愿的精神残疾人。在职职工人数是指与残疾人福利性单位建立劳动关系并依法签订劳动合同或者服务协议的雇员人数。</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中标、成交供应商为残疾人福利性单位的，采购人或者其委托的采购代理机构应当随中标、成交结果同时公告其《残疾人福利性单位声明函》，接受社会监督。</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供应商提供的《残疾人福利性单位声明函》与事实不符的，依照《政府采购法》第七十七条第一款的规定追究法律责任。</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四、采购人采购公开招标数额标准以上的货物或者服务，因落实促进残疾人就业政策的需要，依法履行有关报批程序后，可采用公开招标以外的采购方式。</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spacing w:line="276" w:lineRule="auto"/>
        <w:ind w:firstLine="420" w:firstLineChars="200"/>
        <w:jc w:val="left"/>
        <w:rPr>
          <w:rFonts w:ascii="宋体" w:hAnsi="宋体" w:cs="仿宋"/>
          <w:color w:val="000000"/>
          <w:szCs w:val="21"/>
          <w:highlight w:val="none"/>
        </w:rPr>
      </w:pPr>
      <w:r>
        <w:rPr>
          <w:rFonts w:hint="eastAsia" w:ascii="宋体" w:hAnsi="宋体" w:cs="仿宋"/>
          <w:color w:val="000000"/>
          <w:szCs w:val="21"/>
          <w:highlight w:val="none"/>
        </w:rPr>
        <w:t>七、本通知自</w:t>
      </w:r>
      <w:r>
        <w:rPr>
          <w:rFonts w:ascii="宋体" w:hAnsi="宋体" w:cs="仿宋"/>
          <w:color w:val="000000"/>
          <w:szCs w:val="21"/>
          <w:highlight w:val="none"/>
        </w:rPr>
        <w:t>2017年10月1日起执行。</w:t>
      </w:r>
    </w:p>
    <w:p>
      <w:pPr>
        <w:spacing w:line="276" w:lineRule="auto"/>
        <w:ind w:firstLine="420" w:firstLineChars="200"/>
        <w:jc w:val="right"/>
        <w:rPr>
          <w:rFonts w:ascii="宋体" w:hAnsi="宋体" w:cs="仿宋"/>
          <w:color w:val="000000"/>
          <w:szCs w:val="21"/>
          <w:highlight w:val="none"/>
        </w:rPr>
      </w:pPr>
      <w:r>
        <w:rPr>
          <w:rFonts w:hint="eastAsia" w:ascii="宋体" w:hAnsi="宋体" w:cs="仿宋"/>
          <w:color w:val="000000"/>
          <w:szCs w:val="21"/>
          <w:highlight w:val="none"/>
        </w:rPr>
        <w:t>财政部</w:t>
      </w:r>
      <w:r>
        <w:rPr>
          <w:rFonts w:ascii="宋体" w:hAnsi="宋体" w:cs="仿宋"/>
          <w:color w:val="000000"/>
          <w:szCs w:val="21"/>
          <w:highlight w:val="none"/>
        </w:rPr>
        <w:t xml:space="preserve"> </w:t>
      </w:r>
      <w:r>
        <w:rPr>
          <w:rFonts w:hint="eastAsia" w:ascii="宋体" w:hAnsi="宋体" w:cs="仿宋"/>
          <w:color w:val="000000"/>
          <w:szCs w:val="21"/>
          <w:highlight w:val="none"/>
        </w:rPr>
        <w:t>民政部</w:t>
      </w:r>
      <w:r>
        <w:rPr>
          <w:rFonts w:ascii="宋体" w:hAnsi="宋体" w:cs="仿宋"/>
          <w:color w:val="000000"/>
          <w:szCs w:val="21"/>
          <w:highlight w:val="none"/>
        </w:rPr>
        <w:t xml:space="preserve"> </w:t>
      </w:r>
      <w:r>
        <w:rPr>
          <w:rFonts w:hint="eastAsia" w:ascii="宋体" w:hAnsi="宋体" w:cs="仿宋"/>
          <w:color w:val="000000"/>
          <w:szCs w:val="21"/>
          <w:highlight w:val="none"/>
        </w:rPr>
        <w:t>中国残疾人联合会</w:t>
      </w:r>
    </w:p>
    <w:p>
      <w:pPr>
        <w:spacing w:line="276" w:lineRule="auto"/>
        <w:ind w:firstLine="420" w:firstLineChars="200"/>
        <w:jc w:val="right"/>
        <w:rPr>
          <w:rFonts w:ascii="宋体" w:hAnsi="宋体" w:cs="仿宋"/>
          <w:color w:val="000000"/>
          <w:szCs w:val="21"/>
          <w:highlight w:val="none"/>
        </w:rPr>
      </w:pPr>
      <w:r>
        <w:rPr>
          <w:rFonts w:ascii="宋体" w:hAnsi="宋体" w:cs="仿宋"/>
          <w:color w:val="000000"/>
          <w:szCs w:val="21"/>
          <w:highlight w:val="none"/>
        </w:rPr>
        <w:t>2017年8月22日</w:t>
      </w:r>
    </w:p>
    <w:p>
      <w:pPr>
        <w:spacing w:line="276" w:lineRule="auto"/>
        <w:rPr>
          <w:rFonts w:ascii="宋体" w:hAnsi="宋体"/>
          <w:highlight w:val="none"/>
        </w:rPr>
      </w:pPr>
    </w:p>
    <w:p>
      <w:pPr>
        <w:rPr>
          <w:highlight w:val="none"/>
        </w:rPr>
      </w:pPr>
    </w:p>
    <w:sectPr>
      <w:headerReference r:id="rId7" w:type="first"/>
      <w:headerReference r:id="rId5" w:type="default"/>
      <w:footerReference r:id="rId8" w:type="default"/>
      <w:head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panose1 w:val="02010600030101010101"/>
    <w:charset w:val="88"/>
    <w:family w:val="modern"/>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200001FF"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长城仿宋">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66</w:t>
    </w:r>
    <w:r>
      <w:rPr>
        <w:lang w:val="zh-CN"/>
      </w:rPr>
      <w:fldChar w:fldCharType="end"/>
    </w:r>
  </w:p>
  <w:p>
    <w:pPr>
      <w:pStyle w:val="14"/>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136" type="#_x0000_t136" style="position:absolute;left:0pt;margin-left:0pt;margin-top:0pt;height:50pt;width:50pt;visibility:hidden;z-index:251660288;mso-width-relative:page;mso-height-relative:page;" coordsize="21600,21600">
          <v:path/>
          <v:fill focussize="0,0"/>
          <v:stroke/>
          <v:imagedata o:title=""/>
          <o:lock v:ext="edit" selection="t" text="f"/>
          <v:textpath on="t" fitshape="t" fitpath="t" trim="t" xscale="f" string="" style="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136" type="#_x0000_t136" style="position:absolute;left:0pt;margin-left:0pt;margin-top:0pt;height:50pt;width:50pt;visibility:hidden;z-index:251659264;mso-width-relative:page;mso-height-relative:page;" coordsize="21600,21600">
          <v:path/>
          <v:fill focussize="0,0"/>
          <v:stroke/>
          <v:imagedata o:title=""/>
          <o:lock v:ext="edit" selection="t" text="f"/>
          <v:textpath on="t" fitshape="t" fitpath="t" trim="t" xscale="f" string="" style="font-size:36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136" type="#_x0000_t136" style="position:absolute;left:0pt;margin-left:0pt;margin-top:0pt;height:50pt;width:50pt;visibility:hidden;z-index:251660288;mso-width-relative:page;mso-height-relative:page;" coordsize="21600,21600">
          <v:path/>
          <v:fill focussize="0,0"/>
          <v:stroke/>
          <v:imagedata o:title=""/>
          <o:lock v:ext="edit" selection="t" text="f"/>
          <v:textpath on="t" fitshape="t" fitpath="t" trim="t" xscale="f" string="" style="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CCE2F"/>
    <w:multiLevelType w:val="singleLevel"/>
    <w:tmpl w:val="CDACCE2F"/>
    <w:lvl w:ilvl="0" w:tentative="0">
      <w:start w:val="5"/>
      <w:numFmt w:val="chineseCounting"/>
      <w:suff w:val="space"/>
      <w:lvlText w:val="第%1章"/>
      <w:lvlJc w:val="left"/>
      <w:rPr>
        <w:rFonts w:hint="eastAsia"/>
      </w:rPr>
    </w:lvl>
  </w:abstractNum>
  <w:abstractNum w:abstractNumId="1">
    <w:nsid w:val="06D54DEB"/>
    <w:multiLevelType w:val="multilevel"/>
    <w:tmpl w:val="06D54DEB"/>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79A2F44"/>
    <w:multiLevelType w:val="multilevel"/>
    <w:tmpl w:val="779A2F44"/>
    <w:lvl w:ilvl="0" w:tentative="0">
      <w:start w:val="1"/>
      <w:numFmt w:val="chineseCountingThousand"/>
      <w:lvlText w:val="%1、"/>
      <w:lvlJc w:val="left"/>
      <w:pPr>
        <w:tabs>
          <w:tab w:val="left" w:pos="945"/>
        </w:tabs>
        <w:ind w:left="94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ngtangtang">
    <w15:presenceInfo w15:providerId="None" w15:userId="tangtang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32"/>
    <w:rsid w:val="000267C2"/>
    <w:rsid w:val="000477CB"/>
    <w:rsid w:val="00050831"/>
    <w:rsid w:val="0005343E"/>
    <w:rsid w:val="0006221A"/>
    <w:rsid w:val="000742A9"/>
    <w:rsid w:val="000F4FA1"/>
    <w:rsid w:val="0013060D"/>
    <w:rsid w:val="00142559"/>
    <w:rsid w:val="0017677E"/>
    <w:rsid w:val="001929C1"/>
    <w:rsid w:val="001B6309"/>
    <w:rsid w:val="001C0AF2"/>
    <w:rsid w:val="001C2035"/>
    <w:rsid w:val="001F3D79"/>
    <w:rsid w:val="002074C1"/>
    <w:rsid w:val="0021393F"/>
    <w:rsid w:val="00221A3F"/>
    <w:rsid w:val="00267510"/>
    <w:rsid w:val="002A54F4"/>
    <w:rsid w:val="002B403B"/>
    <w:rsid w:val="002C695D"/>
    <w:rsid w:val="002C75DF"/>
    <w:rsid w:val="00333206"/>
    <w:rsid w:val="0036448E"/>
    <w:rsid w:val="0037739A"/>
    <w:rsid w:val="003973D0"/>
    <w:rsid w:val="003B560C"/>
    <w:rsid w:val="003C0FA3"/>
    <w:rsid w:val="003C6175"/>
    <w:rsid w:val="003E16BA"/>
    <w:rsid w:val="003E25F7"/>
    <w:rsid w:val="00466FFA"/>
    <w:rsid w:val="004745EB"/>
    <w:rsid w:val="004910F1"/>
    <w:rsid w:val="00522266"/>
    <w:rsid w:val="00561DB6"/>
    <w:rsid w:val="00572E92"/>
    <w:rsid w:val="00581D9F"/>
    <w:rsid w:val="00582431"/>
    <w:rsid w:val="005B0CFA"/>
    <w:rsid w:val="005C0ED5"/>
    <w:rsid w:val="005C2AF0"/>
    <w:rsid w:val="005E2ACF"/>
    <w:rsid w:val="0060339C"/>
    <w:rsid w:val="00620E42"/>
    <w:rsid w:val="00634F8B"/>
    <w:rsid w:val="00664620"/>
    <w:rsid w:val="00667B16"/>
    <w:rsid w:val="006702D7"/>
    <w:rsid w:val="006A268C"/>
    <w:rsid w:val="006F0FE2"/>
    <w:rsid w:val="007318E4"/>
    <w:rsid w:val="00787DC0"/>
    <w:rsid w:val="007A64FD"/>
    <w:rsid w:val="007D1437"/>
    <w:rsid w:val="007D32B7"/>
    <w:rsid w:val="007F4E8D"/>
    <w:rsid w:val="00806EEB"/>
    <w:rsid w:val="00831797"/>
    <w:rsid w:val="008B0228"/>
    <w:rsid w:val="008B3406"/>
    <w:rsid w:val="008F51ED"/>
    <w:rsid w:val="00933CA6"/>
    <w:rsid w:val="00934E22"/>
    <w:rsid w:val="009375F3"/>
    <w:rsid w:val="00972009"/>
    <w:rsid w:val="009729C5"/>
    <w:rsid w:val="009A072F"/>
    <w:rsid w:val="009B4A95"/>
    <w:rsid w:val="009B6E32"/>
    <w:rsid w:val="009C3ECE"/>
    <w:rsid w:val="009C49CE"/>
    <w:rsid w:val="009D2C1D"/>
    <w:rsid w:val="00A31AFA"/>
    <w:rsid w:val="00A32BBE"/>
    <w:rsid w:val="00A47090"/>
    <w:rsid w:val="00A55A57"/>
    <w:rsid w:val="00A77911"/>
    <w:rsid w:val="00A90B58"/>
    <w:rsid w:val="00A97AB6"/>
    <w:rsid w:val="00AF5E75"/>
    <w:rsid w:val="00B0020A"/>
    <w:rsid w:val="00B06FCC"/>
    <w:rsid w:val="00B35760"/>
    <w:rsid w:val="00B55C56"/>
    <w:rsid w:val="00BB4BCE"/>
    <w:rsid w:val="00BD0D9F"/>
    <w:rsid w:val="00BE6A73"/>
    <w:rsid w:val="00C16C0E"/>
    <w:rsid w:val="00C60C52"/>
    <w:rsid w:val="00C86281"/>
    <w:rsid w:val="00C86A90"/>
    <w:rsid w:val="00C94594"/>
    <w:rsid w:val="00CC1079"/>
    <w:rsid w:val="00CC725B"/>
    <w:rsid w:val="00CD0BD4"/>
    <w:rsid w:val="00D0328D"/>
    <w:rsid w:val="00D127E4"/>
    <w:rsid w:val="00D144BF"/>
    <w:rsid w:val="00D37E2F"/>
    <w:rsid w:val="00D530B8"/>
    <w:rsid w:val="00D77835"/>
    <w:rsid w:val="00DC6677"/>
    <w:rsid w:val="00DC6716"/>
    <w:rsid w:val="00DF5862"/>
    <w:rsid w:val="00E41428"/>
    <w:rsid w:val="00E57138"/>
    <w:rsid w:val="00E756DA"/>
    <w:rsid w:val="00EA43BD"/>
    <w:rsid w:val="00F02A93"/>
    <w:rsid w:val="00F41140"/>
    <w:rsid w:val="00F91EA5"/>
    <w:rsid w:val="00FA76BA"/>
    <w:rsid w:val="00FB373E"/>
    <w:rsid w:val="00FD68A8"/>
    <w:rsid w:val="00FF5E30"/>
    <w:rsid w:val="01414FFB"/>
    <w:rsid w:val="0164355B"/>
    <w:rsid w:val="01D101FA"/>
    <w:rsid w:val="02195EEE"/>
    <w:rsid w:val="030D354D"/>
    <w:rsid w:val="03324E90"/>
    <w:rsid w:val="03407E5B"/>
    <w:rsid w:val="03716B3C"/>
    <w:rsid w:val="03EF1DE4"/>
    <w:rsid w:val="043F37B4"/>
    <w:rsid w:val="04EE2E28"/>
    <w:rsid w:val="056E27BA"/>
    <w:rsid w:val="05794769"/>
    <w:rsid w:val="05AA21AC"/>
    <w:rsid w:val="05D87390"/>
    <w:rsid w:val="05E519E1"/>
    <w:rsid w:val="06295EFB"/>
    <w:rsid w:val="0643234E"/>
    <w:rsid w:val="06CC2AE7"/>
    <w:rsid w:val="06E112F1"/>
    <w:rsid w:val="070C6620"/>
    <w:rsid w:val="073D61A0"/>
    <w:rsid w:val="074341F5"/>
    <w:rsid w:val="07A96B83"/>
    <w:rsid w:val="07D965DD"/>
    <w:rsid w:val="07DD13D0"/>
    <w:rsid w:val="07EE664A"/>
    <w:rsid w:val="08A54A5C"/>
    <w:rsid w:val="0AF47EFD"/>
    <w:rsid w:val="0B1D7429"/>
    <w:rsid w:val="0C106011"/>
    <w:rsid w:val="0C16786B"/>
    <w:rsid w:val="0C8D4629"/>
    <w:rsid w:val="0C953B6F"/>
    <w:rsid w:val="0CB341D2"/>
    <w:rsid w:val="0D095866"/>
    <w:rsid w:val="0D7E7410"/>
    <w:rsid w:val="0DAD643E"/>
    <w:rsid w:val="0DC245C3"/>
    <w:rsid w:val="0E9E206F"/>
    <w:rsid w:val="0EA27066"/>
    <w:rsid w:val="0F1E6892"/>
    <w:rsid w:val="0F6D2EC8"/>
    <w:rsid w:val="0F8E4C8B"/>
    <w:rsid w:val="0FB526C6"/>
    <w:rsid w:val="104B38CE"/>
    <w:rsid w:val="10C34D3A"/>
    <w:rsid w:val="117C6D46"/>
    <w:rsid w:val="11974E57"/>
    <w:rsid w:val="11A67505"/>
    <w:rsid w:val="11CF199D"/>
    <w:rsid w:val="11E21C63"/>
    <w:rsid w:val="11E76C01"/>
    <w:rsid w:val="126055A1"/>
    <w:rsid w:val="129C3CC2"/>
    <w:rsid w:val="1324518D"/>
    <w:rsid w:val="132B6CFD"/>
    <w:rsid w:val="13353455"/>
    <w:rsid w:val="13F04065"/>
    <w:rsid w:val="14427A78"/>
    <w:rsid w:val="1446725F"/>
    <w:rsid w:val="14760B5C"/>
    <w:rsid w:val="1560526A"/>
    <w:rsid w:val="15DA2D29"/>
    <w:rsid w:val="163202BF"/>
    <w:rsid w:val="16396F59"/>
    <w:rsid w:val="16DC0A69"/>
    <w:rsid w:val="172253E0"/>
    <w:rsid w:val="173D58DF"/>
    <w:rsid w:val="178D223B"/>
    <w:rsid w:val="181A4F9B"/>
    <w:rsid w:val="187B299E"/>
    <w:rsid w:val="18BA7C3B"/>
    <w:rsid w:val="18E12C19"/>
    <w:rsid w:val="18F6192B"/>
    <w:rsid w:val="18FD5AB6"/>
    <w:rsid w:val="19141585"/>
    <w:rsid w:val="19732447"/>
    <w:rsid w:val="1A2A3CB1"/>
    <w:rsid w:val="1A2D2511"/>
    <w:rsid w:val="1AC3656F"/>
    <w:rsid w:val="1B3B2015"/>
    <w:rsid w:val="1B6A08C5"/>
    <w:rsid w:val="1B794F23"/>
    <w:rsid w:val="1BC256BC"/>
    <w:rsid w:val="1C73715A"/>
    <w:rsid w:val="1C8A2CEB"/>
    <w:rsid w:val="1CBF43A4"/>
    <w:rsid w:val="1EF9313E"/>
    <w:rsid w:val="1F217740"/>
    <w:rsid w:val="1F7F413F"/>
    <w:rsid w:val="1F954E7C"/>
    <w:rsid w:val="1FFC410C"/>
    <w:rsid w:val="216B5AB1"/>
    <w:rsid w:val="21731A2F"/>
    <w:rsid w:val="21D209DD"/>
    <w:rsid w:val="21F47004"/>
    <w:rsid w:val="2207638A"/>
    <w:rsid w:val="221F2D84"/>
    <w:rsid w:val="223F58B9"/>
    <w:rsid w:val="22D81CC8"/>
    <w:rsid w:val="231D7337"/>
    <w:rsid w:val="23247C7D"/>
    <w:rsid w:val="23C53E26"/>
    <w:rsid w:val="24414F97"/>
    <w:rsid w:val="244471D9"/>
    <w:rsid w:val="24F22176"/>
    <w:rsid w:val="25635AAC"/>
    <w:rsid w:val="258335CE"/>
    <w:rsid w:val="259C5292"/>
    <w:rsid w:val="261025E6"/>
    <w:rsid w:val="2683697A"/>
    <w:rsid w:val="26D7167E"/>
    <w:rsid w:val="273B2EBE"/>
    <w:rsid w:val="2751555D"/>
    <w:rsid w:val="27600752"/>
    <w:rsid w:val="277A61C2"/>
    <w:rsid w:val="284C2172"/>
    <w:rsid w:val="28CC2244"/>
    <w:rsid w:val="28E93ABC"/>
    <w:rsid w:val="290F7E4C"/>
    <w:rsid w:val="291B4C61"/>
    <w:rsid w:val="294F1923"/>
    <w:rsid w:val="2A241DF3"/>
    <w:rsid w:val="2A2A6B19"/>
    <w:rsid w:val="2A3C3099"/>
    <w:rsid w:val="2A4A2C91"/>
    <w:rsid w:val="2ACE70DB"/>
    <w:rsid w:val="2B1C21FE"/>
    <w:rsid w:val="2B6474CC"/>
    <w:rsid w:val="2CC349B7"/>
    <w:rsid w:val="2CCF78AF"/>
    <w:rsid w:val="2CD50A72"/>
    <w:rsid w:val="2D2632E7"/>
    <w:rsid w:val="2D726191"/>
    <w:rsid w:val="2E1C372A"/>
    <w:rsid w:val="2E2F64CD"/>
    <w:rsid w:val="2E5E08D7"/>
    <w:rsid w:val="2E77459B"/>
    <w:rsid w:val="2E7A60C6"/>
    <w:rsid w:val="2EEA6295"/>
    <w:rsid w:val="2F23261A"/>
    <w:rsid w:val="2F626C3C"/>
    <w:rsid w:val="301927F0"/>
    <w:rsid w:val="31F33DBA"/>
    <w:rsid w:val="32307571"/>
    <w:rsid w:val="32FA4357"/>
    <w:rsid w:val="332069A2"/>
    <w:rsid w:val="332434BC"/>
    <w:rsid w:val="33AA456D"/>
    <w:rsid w:val="33BF4063"/>
    <w:rsid w:val="33C54ED4"/>
    <w:rsid w:val="340F5FD8"/>
    <w:rsid w:val="34A3099B"/>
    <w:rsid w:val="34D43545"/>
    <w:rsid w:val="34E82015"/>
    <w:rsid w:val="351825A3"/>
    <w:rsid w:val="360A412C"/>
    <w:rsid w:val="36134133"/>
    <w:rsid w:val="36303C71"/>
    <w:rsid w:val="36366BB5"/>
    <w:rsid w:val="36877A56"/>
    <w:rsid w:val="36C24DEB"/>
    <w:rsid w:val="379832A6"/>
    <w:rsid w:val="37A41090"/>
    <w:rsid w:val="37A677F5"/>
    <w:rsid w:val="37AE1D1B"/>
    <w:rsid w:val="383443F5"/>
    <w:rsid w:val="38442E63"/>
    <w:rsid w:val="39183C99"/>
    <w:rsid w:val="391E3BC3"/>
    <w:rsid w:val="398E7214"/>
    <w:rsid w:val="39FE2FFC"/>
    <w:rsid w:val="3A570F3F"/>
    <w:rsid w:val="3AF52F6F"/>
    <w:rsid w:val="3AF87BB2"/>
    <w:rsid w:val="3BE2213A"/>
    <w:rsid w:val="3C076579"/>
    <w:rsid w:val="3C1373CB"/>
    <w:rsid w:val="3C3640AB"/>
    <w:rsid w:val="3CC15F94"/>
    <w:rsid w:val="3CD84602"/>
    <w:rsid w:val="3D6917BE"/>
    <w:rsid w:val="3DBE6E5D"/>
    <w:rsid w:val="3E657DEE"/>
    <w:rsid w:val="3E6C14E1"/>
    <w:rsid w:val="3EBD67C2"/>
    <w:rsid w:val="3F1A4607"/>
    <w:rsid w:val="3F45623C"/>
    <w:rsid w:val="3F520C27"/>
    <w:rsid w:val="3F87704C"/>
    <w:rsid w:val="3F966989"/>
    <w:rsid w:val="3FD40D6F"/>
    <w:rsid w:val="4012338C"/>
    <w:rsid w:val="403E36E4"/>
    <w:rsid w:val="406E23DA"/>
    <w:rsid w:val="410F7FB7"/>
    <w:rsid w:val="416A1DDD"/>
    <w:rsid w:val="42401156"/>
    <w:rsid w:val="424D5D38"/>
    <w:rsid w:val="42677004"/>
    <w:rsid w:val="42776573"/>
    <w:rsid w:val="42A603A5"/>
    <w:rsid w:val="434D22B4"/>
    <w:rsid w:val="43571CEB"/>
    <w:rsid w:val="43885172"/>
    <w:rsid w:val="43C51F6E"/>
    <w:rsid w:val="43F50136"/>
    <w:rsid w:val="44266ECE"/>
    <w:rsid w:val="442F67D6"/>
    <w:rsid w:val="449875D0"/>
    <w:rsid w:val="44BE4EA1"/>
    <w:rsid w:val="450A6CF7"/>
    <w:rsid w:val="451756C4"/>
    <w:rsid w:val="452F3CD8"/>
    <w:rsid w:val="456971B1"/>
    <w:rsid w:val="458F6591"/>
    <w:rsid w:val="45910517"/>
    <w:rsid w:val="45CE308E"/>
    <w:rsid w:val="45DE31BC"/>
    <w:rsid w:val="45EC21DA"/>
    <w:rsid w:val="46284E81"/>
    <w:rsid w:val="474777D8"/>
    <w:rsid w:val="4787144E"/>
    <w:rsid w:val="47985756"/>
    <w:rsid w:val="47A24BE9"/>
    <w:rsid w:val="47C41B6B"/>
    <w:rsid w:val="47C95903"/>
    <w:rsid w:val="48006DC6"/>
    <w:rsid w:val="48112C6F"/>
    <w:rsid w:val="482B516C"/>
    <w:rsid w:val="48FB4769"/>
    <w:rsid w:val="49210847"/>
    <w:rsid w:val="49405DF0"/>
    <w:rsid w:val="4961781A"/>
    <w:rsid w:val="49947CE3"/>
    <w:rsid w:val="4A2A042B"/>
    <w:rsid w:val="4B1507FA"/>
    <w:rsid w:val="4B20159A"/>
    <w:rsid w:val="4C273D43"/>
    <w:rsid w:val="4C4929C6"/>
    <w:rsid w:val="4C916C03"/>
    <w:rsid w:val="4CF34AA3"/>
    <w:rsid w:val="4D0263DD"/>
    <w:rsid w:val="4D264A95"/>
    <w:rsid w:val="4D5E28B8"/>
    <w:rsid w:val="4D804118"/>
    <w:rsid w:val="4D8D2512"/>
    <w:rsid w:val="4E86461C"/>
    <w:rsid w:val="4F3A06E3"/>
    <w:rsid w:val="4F3A497A"/>
    <w:rsid w:val="4F5134E9"/>
    <w:rsid w:val="4F6543BC"/>
    <w:rsid w:val="4FAE6976"/>
    <w:rsid w:val="50394F17"/>
    <w:rsid w:val="505F79AC"/>
    <w:rsid w:val="50F14747"/>
    <w:rsid w:val="513F620E"/>
    <w:rsid w:val="52426AAD"/>
    <w:rsid w:val="52974CA5"/>
    <w:rsid w:val="52D15244"/>
    <w:rsid w:val="52FA77A7"/>
    <w:rsid w:val="54BA3CF6"/>
    <w:rsid w:val="550F4E4A"/>
    <w:rsid w:val="554F7AB1"/>
    <w:rsid w:val="55527F40"/>
    <w:rsid w:val="556302CF"/>
    <w:rsid w:val="55A22331"/>
    <w:rsid w:val="55BA6626"/>
    <w:rsid w:val="55FF3455"/>
    <w:rsid w:val="56650B83"/>
    <w:rsid w:val="56D9186B"/>
    <w:rsid w:val="57172CD0"/>
    <w:rsid w:val="57647A27"/>
    <w:rsid w:val="58843722"/>
    <w:rsid w:val="588817D8"/>
    <w:rsid w:val="58907723"/>
    <w:rsid w:val="58BB28B9"/>
    <w:rsid w:val="5A195BDD"/>
    <w:rsid w:val="5A2919C0"/>
    <w:rsid w:val="5A506987"/>
    <w:rsid w:val="5A514B40"/>
    <w:rsid w:val="5A516622"/>
    <w:rsid w:val="5B633469"/>
    <w:rsid w:val="5BA642B4"/>
    <w:rsid w:val="5BB02D3A"/>
    <w:rsid w:val="5BC85839"/>
    <w:rsid w:val="5BCB6A65"/>
    <w:rsid w:val="5C421D5F"/>
    <w:rsid w:val="5C527408"/>
    <w:rsid w:val="5CBF3AC0"/>
    <w:rsid w:val="5DEA0B29"/>
    <w:rsid w:val="5E062532"/>
    <w:rsid w:val="5E184359"/>
    <w:rsid w:val="5EA27053"/>
    <w:rsid w:val="5EEC49AB"/>
    <w:rsid w:val="5F1F3E12"/>
    <w:rsid w:val="5F4B39E8"/>
    <w:rsid w:val="5FD9468D"/>
    <w:rsid w:val="60037C38"/>
    <w:rsid w:val="60193FBC"/>
    <w:rsid w:val="6053324E"/>
    <w:rsid w:val="605A32D0"/>
    <w:rsid w:val="60CF1C28"/>
    <w:rsid w:val="60D80718"/>
    <w:rsid w:val="61124995"/>
    <w:rsid w:val="611C3140"/>
    <w:rsid w:val="617F3326"/>
    <w:rsid w:val="619B5A8F"/>
    <w:rsid w:val="61A51ACB"/>
    <w:rsid w:val="62396E84"/>
    <w:rsid w:val="62B169CD"/>
    <w:rsid w:val="62C105CE"/>
    <w:rsid w:val="62C64637"/>
    <w:rsid w:val="62D60D65"/>
    <w:rsid w:val="62EE293A"/>
    <w:rsid w:val="633C2A8A"/>
    <w:rsid w:val="636869DA"/>
    <w:rsid w:val="63853C06"/>
    <w:rsid w:val="63926A5A"/>
    <w:rsid w:val="6403566C"/>
    <w:rsid w:val="64B264FC"/>
    <w:rsid w:val="64B56202"/>
    <w:rsid w:val="65CF0A7E"/>
    <w:rsid w:val="66316409"/>
    <w:rsid w:val="66C977CC"/>
    <w:rsid w:val="670921B7"/>
    <w:rsid w:val="671127BA"/>
    <w:rsid w:val="6757358F"/>
    <w:rsid w:val="67DE02AE"/>
    <w:rsid w:val="681913A9"/>
    <w:rsid w:val="68424A6F"/>
    <w:rsid w:val="690B20E5"/>
    <w:rsid w:val="698008E5"/>
    <w:rsid w:val="698375BC"/>
    <w:rsid w:val="69C94F90"/>
    <w:rsid w:val="69ED0557"/>
    <w:rsid w:val="6A4C6975"/>
    <w:rsid w:val="6A561ACB"/>
    <w:rsid w:val="6A6A4C51"/>
    <w:rsid w:val="6AD96E91"/>
    <w:rsid w:val="6B5E6142"/>
    <w:rsid w:val="6C0C180E"/>
    <w:rsid w:val="6C1A2C58"/>
    <w:rsid w:val="6C3A1031"/>
    <w:rsid w:val="6CDE7DD8"/>
    <w:rsid w:val="6D074BC4"/>
    <w:rsid w:val="6D2829C8"/>
    <w:rsid w:val="6DED2325"/>
    <w:rsid w:val="6E0F25AF"/>
    <w:rsid w:val="6E32263E"/>
    <w:rsid w:val="6E3524FF"/>
    <w:rsid w:val="6E5F3A14"/>
    <w:rsid w:val="6EAA6280"/>
    <w:rsid w:val="6F131251"/>
    <w:rsid w:val="6F93426E"/>
    <w:rsid w:val="6FA456D8"/>
    <w:rsid w:val="703A5A2F"/>
    <w:rsid w:val="70901A5B"/>
    <w:rsid w:val="70FA7C38"/>
    <w:rsid w:val="7143272F"/>
    <w:rsid w:val="716213C9"/>
    <w:rsid w:val="71694E11"/>
    <w:rsid w:val="71E762AF"/>
    <w:rsid w:val="727E18CC"/>
    <w:rsid w:val="73931D12"/>
    <w:rsid w:val="73BC70DD"/>
    <w:rsid w:val="741E5814"/>
    <w:rsid w:val="742C639A"/>
    <w:rsid w:val="747C741E"/>
    <w:rsid w:val="7489057F"/>
    <w:rsid w:val="74B859C9"/>
    <w:rsid w:val="74D72378"/>
    <w:rsid w:val="74EB2ED3"/>
    <w:rsid w:val="75026E36"/>
    <w:rsid w:val="751B7A2D"/>
    <w:rsid w:val="75240B64"/>
    <w:rsid w:val="75B41189"/>
    <w:rsid w:val="75CD5F22"/>
    <w:rsid w:val="75FF40E7"/>
    <w:rsid w:val="767222C9"/>
    <w:rsid w:val="768C68BE"/>
    <w:rsid w:val="76B877B2"/>
    <w:rsid w:val="77365DA7"/>
    <w:rsid w:val="7757A6F7"/>
    <w:rsid w:val="780F786F"/>
    <w:rsid w:val="78107634"/>
    <w:rsid w:val="784E6647"/>
    <w:rsid w:val="78516B74"/>
    <w:rsid w:val="786FE847"/>
    <w:rsid w:val="78973C4F"/>
    <w:rsid w:val="78C25180"/>
    <w:rsid w:val="790F2BB2"/>
    <w:rsid w:val="7954692D"/>
    <w:rsid w:val="798658C7"/>
    <w:rsid w:val="79A82339"/>
    <w:rsid w:val="7A013FD1"/>
    <w:rsid w:val="7A4775C1"/>
    <w:rsid w:val="7AE75736"/>
    <w:rsid w:val="7B3B1936"/>
    <w:rsid w:val="7BAC5FA7"/>
    <w:rsid w:val="7C2A0DF9"/>
    <w:rsid w:val="7CF00398"/>
    <w:rsid w:val="7D14731C"/>
    <w:rsid w:val="7D854796"/>
    <w:rsid w:val="7DAC0E57"/>
    <w:rsid w:val="7DBF4966"/>
    <w:rsid w:val="7E4D67BE"/>
    <w:rsid w:val="7E7027B2"/>
    <w:rsid w:val="7E7027E5"/>
    <w:rsid w:val="7EB519C1"/>
    <w:rsid w:val="7F2770AD"/>
    <w:rsid w:val="7FB816D5"/>
    <w:rsid w:val="7FC120A3"/>
    <w:rsid w:val="87FFA36D"/>
    <w:rsid w:val="9DFBB8DF"/>
    <w:rsid w:val="B3FEF4EF"/>
    <w:rsid w:val="BFBF9A20"/>
    <w:rsid w:val="DEB82DAB"/>
    <w:rsid w:val="EAE9027F"/>
    <w:rsid w:val="ED5BD809"/>
    <w:rsid w:val="EFBEDD48"/>
    <w:rsid w:val="F8FDFAB0"/>
    <w:rsid w:val="FDFE4CA1"/>
    <w:rsid w:val="FEF98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30"/>
    <w:qFormat/>
    <w:uiPriority w:val="0"/>
    <w:pPr>
      <w:spacing w:line="360" w:lineRule="auto"/>
      <w:jc w:val="center"/>
      <w:outlineLvl w:val="1"/>
    </w:pPr>
    <w:rPr>
      <w:rFonts w:ascii="黑体" w:hAnsi="宋体" w:eastAsia="黑体"/>
      <w:sz w:val="28"/>
      <w:szCs w:val="21"/>
    </w:rPr>
  </w:style>
  <w:style w:type="paragraph" w:styleId="5">
    <w:name w:val="heading 3"/>
    <w:basedOn w:val="1"/>
    <w:next w:val="1"/>
    <w:link w:val="31"/>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32"/>
    <w:qFormat/>
    <w:uiPriority w:val="9"/>
    <w:pPr>
      <w:keepNext/>
      <w:keepLines/>
      <w:spacing w:before="280" w:after="290" w:line="376" w:lineRule="auto"/>
      <w:outlineLvl w:val="3"/>
    </w:pPr>
    <w:rPr>
      <w:rFonts w:ascii="Calibri Light" w:hAnsi="Calibri Light"/>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unhideWhenUsed/>
    <w:qFormat/>
    <w:uiPriority w:val="0"/>
    <w:pPr>
      <w:spacing w:after="120"/>
    </w:pPr>
    <w:rPr>
      <w:szCs w:val="22"/>
    </w:rPr>
  </w:style>
  <w:style w:type="paragraph" w:styleId="7">
    <w:name w:val="Normal Indent"/>
    <w:basedOn w:val="1"/>
    <w:link w:val="42"/>
    <w:qFormat/>
    <w:uiPriority w:val="0"/>
    <w:pPr>
      <w:ind w:firstLine="420" w:firstLineChars="200"/>
    </w:pPr>
    <w:rPr>
      <w:szCs w:val="20"/>
    </w:rPr>
  </w:style>
  <w:style w:type="paragraph" w:styleId="8">
    <w:name w:val="Document Map"/>
    <w:basedOn w:val="1"/>
    <w:link w:val="34"/>
    <w:unhideWhenUsed/>
    <w:qFormat/>
    <w:uiPriority w:val="99"/>
    <w:rPr>
      <w:rFonts w:ascii="宋体"/>
      <w:sz w:val="18"/>
      <w:szCs w:val="18"/>
    </w:rPr>
  </w:style>
  <w:style w:type="paragraph" w:styleId="9">
    <w:name w:val="annotation text"/>
    <w:basedOn w:val="1"/>
    <w:link w:val="35"/>
    <w:unhideWhenUsed/>
    <w:qFormat/>
    <w:uiPriority w:val="99"/>
    <w:pPr>
      <w:jc w:val="left"/>
    </w:pPr>
    <w:rPr>
      <w:kern w:val="0"/>
      <w:sz w:val="20"/>
    </w:rPr>
  </w:style>
  <w:style w:type="paragraph" w:styleId="10">
    <w:name w:val="Body Text Indent"/>
    <w:basedOn w:val="1"/>
    <w:qFormat/>
    <w:uiPriority w:val="0"/>
    <w:pPr>
      <w:spacing w:line="360" w:lineRule="auto"/>
      <w:ind w:firstLine="420" w:firstLineChars="200"/>
    </w:pPr>
  </w:style>
  <w:style w:type="paragraph" w:styleId="11">
    <w:name w:val="toc 3"/>
    <w:basedOn w:val="1"/>
    <w:next w:val="1"/>
    <w:unhideWhenUsed/>
    <w:qFormat/>
    <w:uiPriority w:val="39"/>
    <w:pPr>
      <w:ind w:left="840" w:leftChars="400"/>
    </w:pPr>
  </w:style>
  <w:style w:type="paragraph" w:styleId="12">
    <w:name w:val="Plain Text"/>
    <w:basedOn w:val="1"/>
    <w:link w:val="36"/>
    <w:unhideWhenUsed/>
    <w:qFormat/>
    <w:uiPriority w:val="99"/>
    <w:rPr>
      <w:rFonts w:ascii="宋体" w:hAnsi="Courier New"/>
      <w:szCs w:val="20"/>
    </w:rPr>
  </w:style>
  <w:style w:type="paragraph" w:styleId="13">
    <w:name w:val="Balloon Text"/>
    <w:basedOn w:val="1"/>
    <w:link w:val="37"/>
    <w:unhideWhenUsed/>
    <w:qFormat/>
    <w:uiPriority w:val="99"/>
    <w:rPr>
      <w:kern w:val="0"/>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jc w:val="center"/>
    </w:pPr>
    <w:rPr>
      <w:b/>
      <w:sz w:val="30"/>
      <w:szCs w:val="30"/>
    </w:rPr>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link w:val="38"/>
    <w:qFormat/>
    <w:uiPriority w:val="10"/>
    <w:pPr>
      <w:spacing w:before="240" w:after="60"/>
      <w:jc w:val="center"/>
      <w:outlineLvl w:val="0"/>
    </w:pPr>
    <w:rPr>
      <w:rFonts w:ascii="Cambria" w:hAnsi="Cambria"/>
      <w:b/>
      <w:bCs/>
      <w:sz w:val="32"/>
      <w:szCs w:val="32"/>
    </w:rPr>
  </w:style>
  <w:style w:type="paragraph" w:styleId="20">
    <w:name w:val="annotation subject"/>
    <w:basedOn w:val="9"/>
    <w:next w:val="9"/>
    <w:link w:val="39"/>
    <w:unhideWhenUsed/>
    <w:qFormat/>
    <w:uiPriority w:val="99"/>
    <w:rPr>
      <w:b/>
      <w:bCs/>
    </w:rPr>
  </w:style>
  <w:style w:type="paragraph" w:styleId="21">
    <w:name w:val="Body Text First Indent"/>
    <w:basedOn w:val="2"/>
    <w:link w:val="56"/>
    <w:semiHidden/>
    <w:unhideWhenUsed/>
    <w:qFormat/>
    <w:uiPriority w:val="99"/>
    <w:pPr>
      <w:ind w:firstLine="420" w:firstLineChars="100"/>
    </w:pPr>
    <w:rPr>
      <w:szCs w:val="24"/>
    </w:rPr>
  </w:style>
  <w:style w:type="paragraph" w:styleId="22">
    <w:name w:val="Body Text First Indent 2"/>
    <w:basedOn w:val="10"/>
    <w:qFormat/>
    <w:uiPriority w:val="0"/>
    <w:pPr>
      <w:ind w:firstLine="420"/>
    </w:p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qFormat/>
    <w:uiPriority w:val="99"/>
    <w:rPr>
      <w:sz w:val="21"/>
      <w:szCs w:val="21"/>
    </w:rPr>
  </w:style>
  <w:style w:type="character" w:customStyle="1" w:styleId="28">
    <w:name w:val="页眉 字符"/>
    <w:basedOn w:val="24"/>
    <w:link w:val="15"/>
    <w:qFormat/>
    <w:uiPriority w:val="0"/>
    <w:rPr>
      <w:sz w:val="18"/>
      <w:szCs w:val="18"/>
    </w:rPr>
  </w:style>
  <w:style w:type="character" w:customStyle="1" w:styleId="29">
    <w:name w:val="页脚 字符"/>
    <w:basedOn w:val="24"/>
    <w:link w:val="14"/>
    <w:qFormat/>
    <w:uiPriority w:val="99"/>
    <w:rPr>
      <w:sz w:val="18"/>
      <w:szCs w:val="18"/>
    </w:rPr>
  </w:style>
  <w:style w:type="character" w:customStyle="1" w:styleId="30">
    <w:name w:val="标题 2 字符"/>
    <w:basedOn w:val="24"/>
    <w:link w:val="4"/>
    <w:qFormat/>
    <w:uiPriority w:val="0"/>
    <w:rPr>
      <w:rFonts w:ascii="黑体" w:hAnsi="宋体" w:eastAsia="黑体" w:cs="Times New Roman"/>
      <w:kern w:val="0"/>
      <w:sz w:val="28"/>
      <w:szCs w:val="21"/>
    </w:rPr>
  </w:style>
  <w:style w:type="character" w:customStyle="1" w:styleId="31">
    <w:name w:val="标题 3 字符"/>
    <w:basedOn w:val="24"/>
    <w:link w:val="5"/>
    <w:qFormat/>
    <w:uiPriority w:val="0"/>
    <w:rPr>
      <w:rFonts w:ascii="Times New Roman" w:hAnsi="Times New Roman" w:eastAsia="宋体" w:cs="Times New Roman"/>
      <w:b/>
      <w:bCs/>
      <w:kern w:val="0"/>
      <w:sz w:val="32"/>
      <w:szCs w:val="32"/>
    </w:rPr>
  </w:style>
  <w:style w:type="character" w:customStyle="1" w:styleId="32">
    <w:name w:val="标题 4 字符"/>
    <w:basedOn w:val="24"/>
    <w:link w:val="6"/>
    <w:qFormat/>
    <w:uiPriority w:val="9"/>
    <w:rPr>
      <w:rFonts w:ascii="Calibri Light" w:hAnsi="Calibri Light" w:eastAsia="宋体" w:cs="Times New Roman"/>
      <w:b/>
      <w:bCs/>
      <w:kern w:val="0"/>
      <w:sz w:val="28"/>
      <w:szCs w:val="28"/>
    </w:rPr>
  </w:style>
  <w:style w:type="character" w:customStyle="1" w:styleId="33">
    <w:name w:val="正文文本 字符"/>
    <w:basedOn w:val="24"/>
    <w:link w:val="2"/>
    <w:qFormat/>
    <w:uiPriority w:val="0"/>
    <w:rPr>
      <w:rFonts w:ascii="Times New Roman" w:hAnsi="Times New Roman" w:eastAsia="宋体" w:cs="Times New Roman"/>
    </w:rPr>
  </w:style>
  <w:style w:type="character" w:customStyle="1" w:styleId="34">
    <w:name w:val="文档结构图 字符"/>
    <w:basedOn w:val="24"/>
    <w:link w:val="8"/>
    <w:qFormat/>
    <w:uiPriority w:val="99"/>
    <w:rPr>
      <w:rFonts w:ascii="宋体" w:hAnsi="Times New Roman" w:eastAsia="宋体" w:cs="Times New Roman"/>
      <w:sz w:val="18"/>
      <w:szCs w:val="18"/>
    </w:rPr>
  </w:style>
  <w:style w:type="character" w:customStyle="1" w:styleId="35">
    <w:name w:val="批注文字 字符"/>
    <w:basedOn w:val="24"/>
    <w:link w:val="9"/>
    <w:qFormat/>
    <w:uiPriority w:val="99"/>
    <w:rPr>
      <w:rFonts w:ascii="Times New Roman" w:hAnsi="Times New Roman" w:eastAsia="宋体" w:cs="Times New Roman"/>
      <w:kern w:val="0"/>
      <w:sz w:val="20"/>
      <w:szCs w:val="24"/>
    </w:rPr>
  </w:style>
  <w:style w:type="character" w:customStyle="1" w:styleId="36">
    <w:name w:val="纯文本 字符"/>
    <w:basedOn w:val="24"/>
    <w:link w:val="12"/>
    <w:qFormat/>
    <w:uiPriority w:val="99"/>
    <w:rPr>
      <w:rFonts w:ascii="宋体" w:hAnsi="Courier New" w:eastAsia="宋体" w:cs="Times New Roman"/>
      <w:szCs w:val="20"/>
    </w:rPr>
  </w:style>
  <w:style w:type="character" w:customStyle="1" w:styleId="37">
    <w:name w:val="批注框文本 字符"/>
    <w:basedOn w:val="24"/>
    <w:link w:val="13"/>
    <w:qFormat/>
    <w:uiPriority w:val="99"/>
    <w:rPr>
      <w:rFonts w:ascii="Times New Roman" w:hAnsi="Times New Roman" w:eastAsia="宋体" w:cs="Times New Roman"/>
      <w:kern w:val="0"/>
      <w:sz w:val="18"/>
      <w:szCs w:val="18"/>
    </w:rPr>
  </w:style>
  <w:style w:type="character" w:customStyle="1" w:styleId="38">
    <w:name w:val="标题 字符"/>
    <w:basedOn w:val="24"/>
    <w:link w:val="19"/>
    <w:qFormat/>
    <w:uiPriority w:val="10"/>
    <w:rPr>
      <w:rFonts w:ascii="Cambria" w:hAnsi="Cambria" w:eastAsia="宋体" w:cs="Times New Roman"/>
      <w:b/>
      <w:bCs/>
      <w:sz w:val="32"/>
      <w:szCs w:val="32"/>
    </w:rPr>
  </w:style>
  <w:style w:type="character" w:customStyle="1" w:styleId="39">
    <w:name w:val="批注主题 字符"/>
    <w:basedOn w:val="35"/>
    <w:link w:val="20"/>
    <w:qFormat/>
    <w:uiPriority w:val="99"/>
    <w:rPr>
      <w:rFonts w:ascii="Times New Roman" w:hAnsi="Times New Roman" w:eastAsia="宋体" w:cs="Times New Roman"/>
      <w:b/>
      <w:bCs/>
      <w:kern w:val="0"/>
      <w:sz w:val="20"/>
      <w:szCs w:val="24"/>
    </w:rPr>
  </w:style>
  <w:style w:type="character" w:customStyle="1" w:styleId="40">
    <w:name w:val="批注文字 Char1"/>
    <w:qFormat/>
    <w:uiPriority w:val="0"/>
    <w:rPr>
      <w:kern w:val="2"/>
      <w:sz w:val="21"/>
      <w:szCs w:val="24"/>
    </w:rPr>
  </w:style>
  <w:style w:type="character" w:customStyle="1" w:styleId="41">
    <w:name w:val="Hyperlink.0"/>
    <w:qFormat/>
    <w:uiPriority w:val="0"/>
    <w:rPr>
      <w:rFonts w:ascii="宋体" w:hAnsi="宋体" w:eastAsia="宋体" w:cs="宋体"/>
      <w:lang w:val="en-US" w:eastAsia="zh-TW"/>
    </w:rPr>
  </w:style>
  <w:style w:type="character" w:customStyle="1" w:styleId="42">
    <w:name w:val="正文缩进 字符"/>
    <w:link w:val="7"/>
    <w:qFormat/>
    <w:uiPriority w:val="0"/>
    <w:rPr>
      <w:rFonts w:ascii="Times New Roman" w:hAnsi="Times New Roman" w:eastAsia="宋体" w:cs="Times New Roman"/>
      <w:szCs w:val="20"/>
    </w:rPr>
  </w:style>
  <w:style w:type="character" w:customStyle="1" w:styleId="43">
    <w:name w:val="标题 Char1"/>
    <w:qFormat/>
    <w:uiPriority w:val="10"/>
    <w:rPr>
      <w:rFonts w:ascii="Cambria" w:hAnsi="Cambria" w:cs="Times New Roman"/>
      <w:b/>
      <w:bCs/>
      <w:kern w:val="2"/>
      <w:sz w:val="32"/>
      <w:szCs w:val="32"/>
    </w:rPr>
  </w:style>
  <w:style w:type="character" w:customStyle="1" w:styleId="44">
    <w:name w:val="z-窗体顶端 Char"/>
    <w:link w:val="45"/>
    <w:qFormat/>
    <w:uiPriority w:val="0"/>
    <w:rPr>
      <w:rFonts w:ascii="宋体"/>
      <w:b/>
      <w:bCs/>
      <w:sz w:val="28"/>
    </w:rPr>
  </w:style>
  <w:style w:type="paragraph" w:customStyle="1" w:styleId="45">
    <w:name w:val="z-窗体顶端1"/>
    <w:basedOn w:val="1"/>
    <w:next w:val="1"/>
    <w:link w:val="44"/>
    <w:qFormat/>
    <w:uiPriority w:val="0"/>
    <w:pPr>
      <w:widowControl/>
      <w:spacing w:line="360" w:lineRule="auto"/>
      <w:jc w:val="center"/>
    </w:pPr>
    <w:rPr>
      <w:rFonts w:ascii="宋体" w:hAnsiTheme="minorHAnsi" w:eastAsiaTheme="minorEastAsia" w:cstheme="minorBidi"/>
      <w:b/>
      <w:bCs/>
      <w:sz w:val="28"/>
      <w:szCs w:val="22"/>
    </w:rPr>
  </w:style>
  <w:style w:type="paragraph" w:styleId="46">
    <w:name w:val="List Paragraph"/>
    <w:basedOn w:val="1"/>
    <w:qFormat/>
    <w:uiPriority w:val="34"/>
    <w:pPr>
      <w:ind w:firstLine="420" w:firstLineChars="200"/>
    </w:pPr>
  </w:style>
  <w:style w:type="paragraph" w:customStyle="1" w:styleId="47">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48">
    <w:name w:val="Char"/>
    <w:basedOn w:val="1"/>
    <w:qFormat/>
    <w:uiPriority w:val="0"/>
    <w:pPr>
      <w:widowControl/>
      <w:spacing w:after="160" w:line="240" w:lineRule="exact"/>
      <w:jc w:val="left"/>
    </w:pPr>
  </w:style>
  <w:style w:type="paragraph" w:customStyle="1" w:styleId="49">
    <w:name w:val="USE 1"/>
    <w:basedOn w:val="1"/>
    <w:qFormat/>
    <w:uiPriority w:val="0"/>
    <w:pPr>
      <w:spacing w:line="200" w:lineRule="atLeast"/>
      <w:jc w:val="left"/>
    </w:pPr>
    <w:rPr>
      <w:rFonts w:ascii="宋体" w:hAnsi="宋体"/>
      <w:b/>
      <w:sz w:val="24"/>
      <w:szCs w:val="28"/>
    </w:rPr>
  </w:style>
  <w:style w:type="paragraph" w:customStyle="1" w:styleId="5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列出段落1"/>
    <w:basedOn w:val="1"/>
    <w:qFormat/>
    <w:uiPriority w:val="34"/>
    <w:pPr>
      <w:ind w:firstLine="420" w:firstLineChars="200"/>
    </w:pPr>
    <w:rPr>
      <w:rFonts w:ascii="Calibri" w:hAnsi="Calibri"/>
    </w:rPr>
  </w:style>
  <w:style w:type="paragraph" w:customStyle="1" w:styleId="52">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5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列表模式"/>
    <w:basedOn w:val="1"/>
    <w:qFormat/>
    <w:uiPriority w:val="0"/>
    <w:pPr>
      <w:tabs>
        <w:tab w:val="left" w:pos="960"/>
        <w:tab w:val="left" w:pos="1470"/>
      </w:tabs>
      <w:spacing w:line="360" w:lineRule="auto"/>
      <w:ind w:left="1470" w:hanging="420"/>
    </w:pPr>
    <w:rPr>
      <w:sz w:val="24"/>
      <w:szCs w:val="20"/>
    </w:rPr>
  </w:style>
  <w:style w:type="character" w:customStyle="1" w:styleId="56">
    <w:name w:val="正文文本首行缩进 字符"/>
    <w:basedOn w:val="33"/>
    <w:link w:val="21"/>
    <w:semiHidden/>
    <w:qFormat/>
    <w:uiPriority w:val="99"/>
    <w:rPr>
      <w:rFonts w:ascii="Times New Roman" w:hAnsi="Times New Roman" w:eastAsia="宋体" w:cs="Times New Roman"/>
      <w:szCs w:val="24"/>
    </w:rPr>
  </w:style>
  <w:style w:type="paragraph" w:customStyle="1" w:styleId="57">
    <w:name w:val="p0"/>
    <w:basedOn w:val="1"/>
    <w:qFormat/>
    <w:uiPriority w:val="0"/>
    <w:rPr>
      <w:rFonts w:ascii="Calibri" w:hAnsi="Calibri" w:cs="宋体"/>
      <w:szCs w:val="21"/>
    </w:rPr>
  </w:style>
  <w:style w:type="paragraph" w:customStyle="1" w:styleId="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9">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7123</Words>
  <Characters>40604</Characters>
  <Lines>338</Lines>
  <Paragraphs>95</Paragraphs>
  <TotalTime>7</TotalTime>
  <ScaleCrop>false</ScaleCrop>
  <LinksUpToDate>false</LinksUpToDate>
  <CharactersWithSpaces>47632</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2021-10-15T08:57:00Z</dcterms:created>
  <dc:creator>魏天寿</dc:creator>
  <cp:lastModifiedBy>tangtangtang</cp:lastModifiedBy>
  <cp:lastPrinted>2021-12-07T10:06:00Z</cp:lastPrinted>
  <dcterms:modified xsi:type="dcterms:W3CDTF">2023-02-27T14:18:15Z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15C7DC3D929A6729274BFC638A0B3D34_43</vt:lpwstr>
  </property>
</Properties>
</file>