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cs="宋体"/>
          <w:color w:val="auto"/>
          <w:kern w:val="0"/>
          <w:sz w:val="28"/>
          <w:szCs w:val="28"/>
          <w:highlight w:val="none"/>
        </w:rPr>
      </w:pPr>
    </w:p>
    <w:p>
      <w:pPr>
        <w:jc w:val="center"/>
        <w:rPr>
          <w:b/>
          <w:color w:val="auto"/>
          <w:sz w:val="72"/>
          <w:szCs w:val="72"/>
          <w:highlight w:val="none"/>
        </w:rPr>
      </w:pPr>
    </w:p>
    <w:p>
      <w:pPr>
        <w:jc w:val="center"/>
        <w:rPr>
          <w:b/>
          <w:color w:val="auto"/>
          <w:sz w:val="72"/>
          <w:szCs w:val="72"/>
          <w:highlight w:val="none"/>
        </w:rPr>
      </w:pPr>
    </w:p>
    <w:p>
      <w:pPr>
        <w:jc w:val="center"/>
        <w:rPr>
          <w:b/>
          <w:color w:val="auto"/>
          <w:sz w:val="72"/>
          <w:szCs w:val="72"/>
          <w:highlight w:val="none"/>
        </w:rPr>
      </w:pPr>
      <w:r>
        <w:rPr>
          <w:rFonts w:hint="eastAsia"/>
          <w:b/>
          <w:color w:val="auto"/>
          <w:sz w:val="72"/>
          <w:szCs w:val="72"/>
          <w:highlight w:val="none"/>
        </w:rPr>
        <w:t>简易招标文件</w:t>
      </w:r>
    </w:p>
    <w:p>
      <w:pPr>
        <w:rPr>
          <w:color w:val="auto"/>
          <w:highlight w:val="none"/>
        </w:rPr>
      </w:pPr>
    </w:p>
    <w:p>
      <w:pPr>
        <w:rPr>
          <w:b/>
          <w:color w:val="auto"/>
          <w:sz w:val="44"/>
          <w:highlight w:val="none"/>
        </w:rPr>
      </w:pPr>
    </w:p>
    <w:p>
      <w:pPr>
        <w:ind w:firstLine="361" w:firstLineChars="100"/>
        <w:rPr>
          <w:rFonts w:hint="default" w:eastAsia="宋体"/>
          <w:b/>
          <w:color w:val="auto"/>
          <w:sz w:val="36"/>
          <w:szCs w:val="36"/>
          <w:highlight w:val="yellow"/>
          <w:lang w:val="en-US" w:eastAsia="zh-CN"/>
        </w:rPr>
      </w:pPr>
      <w:r>
        <w:rPr>
          <w:rFonts w:hint="eastAsia"/>
          <w:b/>
          <w:color w:val="auto"/>
          <w:sz w:val="36"/>
          <w:szCs w:val="36"/>
          <w:highlight w:val="none"/>
        </w:rPr>
        <w:t>招标编号：</w:t>
      </w:r>
      <w:r>
        <w:rPr>
          <w:b/>
          <w:color w:val="auto"/>
          <w:sz w:val="36"/>
          <w:szCs w:val="36"/>
          <w:highlight w:val="none"/>
        </w:rPr>
        <w:t xml:space="preserve"> </w:t>
      </w:r>
      <w:r>
        <w:rPr>
          <w:rFonts w:hint="eastAsia"/>
          <w:b/>
          <w:color w:val="auto"/>
          <w:sz w:val="36"/>
          <w:szCs w:val="36"/>
          <w:highlight w:val="none"/>
        </w:rPr>
        <w:t>QH202</w:t>
      </w:r>
      <w:r>
        <w:rPr>
          <w:rFonts w:hint="eastAsia"/>
          <w:b/>
          <w:color w:val="auto"/>
          <w:sz w:val="36"/>
          <w:szCs w:val="36"/>
          <w:highlight w:val="none"/>
          <w:lang w:val="en-US" w:eastAsia="zh-CN"/>
        </w:rPr>
        <w:t>2015</w:t>
      </w:r>
    </w:p>
    <w:p>
      <w:pPr>
        <w:ind w:firstLine="723" w:firstLineChars="200"/>
        <w:rPr>
          <w:b/>
          <w:color w:val="auto"/>
          <w:sz w:val="36"/>
          <w:szCs w:val="36"/>
          <w:highlight w:val="none"/>
        </w:rPr>
      </w:pPr>
    </w:p>
    <w:p>
      <w:pPr>
        <w:ind w:firstLine="361" w:firstLineChars="100"/>
        <w:rPr>
          <w:b/>
          <w:color w:val="auto"/>
          <w:sz w:val="36"/>
          <w:szCs w:val="36"/>
          <w:highlight w:val="none"/>
        </w:rPr>
      </w:pPr>
      <w:r>
        <w:rPr>
          <w:rFonts w:hint="eastAsia"/>
          <w:b/>
          <w:color w:val="auto"/>
          <w:sz w:val="36"/>
          <w:szCs w:val="36"/>
          <w:highlight w:val="none"/>
        </w:rPr>
        <w:t>招标项目：</w:t>
      </w:r>
      <w:r>
        <w:rPr>
          <w:rFonts w:hint="eastAsia"/>
          <w:b/>
          <w:color w:val="auto"/>
          <w:sz w:val="36"/>
          <w:szCs w:val="36"/>
          <w:highlight w:val="none"/>
          <w:lang w:eastAsia="zh-CN"/>
        </w:rPr>
        <w:t>智慧前海视频云平台二期</w:t>
      </w:r>
      <w:r>
        <w:rPr>
          <w:rFonts w:hint="eastAsia"/>
          <w:b/>
          <w:color w:val="auto"/>
          <w:sz w:val="36"/>
          <w:szCs w:val="36"/>
          <w:highlight w:val="none"/>
        </w:rPr>
        <w:t>项目</w:t>
      </w:r>
      <w:r>
        <w:rPr>
          <w:rFonts w:hint="eastAsia"/>
          <w:b/>
          <w:color w:val="auto"/>
          <w:sz w:val="36"/>
          <w:szCs w:val="36"/>
          <w:highlight w:val="none"/>
          <w:lang w:val="en-US" w:eastAsia="zh-CN"/>
        </w:rPr>
        <w:t>监理服务</w:t>
      </w:r>
    </w:p>
    <w:p>
      <w:pPr>
        <w:ind w:firstLine="3264" w:firstLineChars="739"/>
        <w:rPr>
          <w:b/>
          <w:color w:val="auto"/>
          <w:sz w:val="44"/>
          <w:highlight w:val="none"/>
        </w:rPr>
      </w:pPr>
    </w:p>
    <w:p>
      <w:pPr>
        <w:ind w:firstLine="442" w:firstLineChars="100"/>
        <w:rPr>
          <w:b/>
          <w:color w:val="auto"/>
          <w:sz w:val="44"/>
          <w:highlight w:val="none"/>
        </w:rPr>
      </w:pPr>
    </w:p>
    <w:p>
      <w:pPr>
        <w:ind w:left="1260" w:leftChars="600" w:firstLine="1855" w:firstLineChars="420"/>
        <w:rPr>
          <w:b/>
          <w:color w:val="auto"/>
          <w:sz w:val="44"/>
          <w:highlight w:val="none"/>
        </w:rPr>
      </w:pPr>
    </w:p>
    <w:p>
      <w:pPr>
        <w:rPr>
          <w:b/>
          <w:color w:val="auto"/>
          <w:sz w:val="44"/>
          <w:highlight w:val="none"/>
        </w:rPr>
      </w:pPr>
    </w:p>
    <w:p>
      <w:pPr>
        <w:rPr>
          <w:b/>
          <w:color w:val="auto"/>
          <w:sz w:val="44"/>
          <w:highlight w:val="none"/>
        </w:rPr>
      </w:pPr>
    </w:p>
    <w:p>
      <w:pPr>
        <w:jc w:val="center"/>
        <w:rPr>
          <w:b/>
          <w:color w:val="auto"/>
          <w:sz w:val="36"/>
          <w:szCs w:val="36"/>
          <w:highlight w:val="none"/>
        </w:rPr>
      </w:pPr>
      <w:r>
        <w:rPr>
          <w:rFonts w:hint="eastAsia"/>
          <w:b/>
          <w:color w:val="auto"/>
          <w:sz w:val="36"/>
          <w:szCs w:val="36"/>
          <w:highlight w:val="none"/>
        </w:rPr>
        <w:t>深圳市前海深港现代服务业合作区管理局</w:t>
      </w:r>
    </w:p>
    <w:p>
      <w:pPr>
        <w:jc w:val="center"/>
        <w:rPr>
          <w:color w:val="auto"/>
          <w:sz w:val="36"/>
          <w:szCs w:val="36"/>
          <w:highlight w:val="none"/>
        </w:rPr>
      </w:pPr>
    </w:p>
    <w:p>
      <w:pPr>
        <w:jc w:val="center"/>
        <w:rPr>
          <w:b/>
          <w:color w:val="auto"/>
          <w:sz w:val="44"/>
          <w:highlight w:val="none"/>
        </w:rPr>
      </w:pPr>
      <w:r>
        <w:rPr>
          <w:rFonts w:hint="eastAsia"/>
          <w:b/>
          <w:color w:val="auto"/>
          <w:sz w:val="44"/>
          <w:highlight w:val="none"/>
        </w:rPr>
        <w:t>20</w:t>
      </w:r>
      <w:r>
        <w:rPr>
          <w:b/>
          <w:color w:val="auto"/>
          <w:sz w:val="44"/>
          <w:highlight w:val="none"/>
        </w:rPr>
        <w:t>2</w:t>
      </w:r>
      <w:r>
        <w:rPr>
          <w:rFonts w:hint="eastAsia"/>
          <w:b/>
          <w:color w:val="auto"/>
          <w:sz w:val="44"/>
          <w:highlight w:val="none"/>
          <w:lang w:val="en-US" w:eastAsia="zh-CN"/>
        </w:rPr>
        <w:t>2</w:t>
      </w:r>
      <w:r>
        <w:rPr>
          <w:rFonts w:hint="eastAsia"/>
          <w:b/>
          <w:color w:val="auto"/>
          <w:sz w:val="44"/>
          <w:highlight w:val="none"/>
        </w:rPr>
        <w:t>年</w:t>
      </w:r>
      <w:r>
        <w:rPr>
          <w:rFonts w:hint="eastAsia"/>
          <w:b/>
          <w:color w:val="auto"/>
          <w:sz w:val="44"/>
          <w:highlight w:val="none"/>
          <w:lang w:val="en-US" w:eastAsia="zh-CN"/>
        </w:rPr>
        <w:t>7</w:t>
      </w:r>
      <w:r>
        <w:rPr>
          <w:rFonts w:hint="eastAsia"/>
          <w:b/>
          <w:color w:val="auto"/>
          <w:sz w:val="44"/>
          <w:highlight w:val="none"/>
        </w:rPr>
        <w:t>月</w:t>
      </w:r>
    </w:p>
    <w:p>
      <w:pPr>
        <w:pStyle w:val="14"/>
        <w:rPr>
          <w:color w:val="auto"/>
          <w:highlight w:val="none"/>
        </w:rPr>
      </w:pPr>
    </w:p>
    <w:p>
      <w:pPr>
        <w:pStyle w:val="14"/>
        <w:jc w:val="both"/>
        <w:rPr>
          <w:color w:val="auto"/>
          <w:highlight w:val="none"/>
        </w:rPr>
      </w:pPr>
    </w:p>
    <w:p>
      <w:pPr>
        <w:rPr>
          <w:color w:val="auto"/>
          <w:highlight w:val="none"/>
        </w:rPr>
      </w:pPr>
    </w:p>
    <w:p>
      <w:pPr>
        <w:pStyle w:val="14"/>
        <w:rPr>
          <w:color w:val="auto"/>
          <w:sz w:val="48"/>
          <w:szCs w:val="48"/>
          <w:highlight w:val="none"/>
        </w:rPr>
      </w:pPr>
    </w:p>
    <w:p>
      <w:pPr>
        <w:jc w:val="center"/>
        <w:rPr>
          <w:rFonts w:hint="eastAsia" w:ascii="黑体" w:eastAsia="黑体"/>
          <w:sz w:val="36"/>
          <w:szCs w:val="36"/>
        </w:rPr>
      </w:pPr>
      <w:r>
        <w:rPr>
          <w:rFonts w:hint="eastAsia" w:ascii="黑体" w:eastAsia="黑体"/>
          <w:sz w:val="36"/>
          <w:szCs w:val="36"/>
        </w:rPr>
        <w:t>特别警示条款</w:t>
      </w:r>
    </w:p>
    <w:p>
      <w:pPr>
        <w:snapToGrid w:val="0"/>
        <w:spacing w:line="400" w:lineRule="exact"/>
        <w:ind w:firstLine="411" w:firstLineChars="196"/>
        <w:rPr>
          <w:rFonts w:hint="eastAsia" w:ascii="宋体" w:hAnsi="宋体"/>
          <w:szCs w:val="21"/>
        </w:rPr>
      </w:pP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400" w:lineRule="exact"/>
        <w:ind w:firstLine="411" w:firstLineChars="196"/>
        <w:rPr>
          <w:rFonts w:hint="eastAsia" w:ascii="宋体" w:hAnsi="宋体"/>
          <w:szCs w:val="21"/>
        </w:rPr>
      </w:pPr>
      <w:r>
        <w:rPr>
          <w:rFonts w:hint="eastAsia" w:ascii="宋体" w:hAnsi="宋体"/>
          <w:szCs w:val="21"/>
        </w:rPr>
        <w:t>（一）在采购活动中应当回避而未回避的；</w:t>
      </w:r>
    </w:p>
    <w:p>
      <w:pPr>
        <w:snapToGrid w:val="0"/>
        <w:spacing w:line="400" w:lineRule="exact"/>
        <w:ind w:firstLine="411" w:firstLineChars="196"/>
        <w:rPr>
          <w:rFonts w:hint="eastAsia" w:ascii="宋体" w:hAnsi="宋体"/>
          <w:szCs w:val="21"/>
        </w:rPr>
      </w:pPr>
      <w:r>
        <w:rPr>
          <w:rFonts w:hint="eastAsia" w:ascii="宋体" w:hAnsi="宋体"/>
          <w:szCs w:val="21"/>
        </w:rPr>
        <w:t>（二）未按本条例规定签订、履行采购合同，造成严重后果的；</w:t>
      </w:r>
    </w:p>
    <w:p>
      <w:pPr>
        <w:snapToGrid w:val="0"/>
        <w:spacing w:line="400" w:lineRule="exact"/>
        <w:ind w:firstLine="411" w:firstLineChars="196"/>
        <w:rPr>
          <w:rFonts w:hint="eastAsia" w:ascii="宋体" w:hAnsi="宋体"/>
          <w:szCs w:val="21"/>
        </w:rPr>
      </w:pPr>
      <w:r>
        <w:rPr>
          <w:rFonts w:hint="eastAsia" w:ascii="宋体" w:hAnsi="宋体"/>
          <w:szCs w:val="21"/>
        </w:rPr>
        <w:t>（三）隐瞒真实情况，提供虚假资料的；</w:t>
      </w:r>
    </w:p>
    <w:p>
      <w:pPr>
        <w:snapToGrid w:val="0"/>
        <w:spacing w:line="400" w:lineRule="exact"/>
        <w:ind w:firstLine="411" w:firstLineChars="196"/>
        <w:rPr>
          <w:rFonts w:hint="eastAsia" w:ascii="宋体" w:hAnsi="宋体"/>
          <w:szCs w:val="21"/>
        </w:rPr>
      </w:pPr>
      <w:r>
        <w:rPr>
          <w:rFonts w:hint="eastAsia" w:ascii="宋体" w:hAnsi="宋体"/>
          <w:szCs w:val="21"/>
        </w:rPr>
        <w:t>（四）以非法手段排斥其他供应商参与竞争的；</w:t>
      </w:r>
    </w:p>
    <w:p>
      <w:pPr>
        <w:snapToGrid w:val="0"/>
        <w:spacing w:line="400" w:lineRule="exact"/>
        <w:ind w:firstLine="411" w:firstLineChars="196"/>
        <w:rPr>
          <w:rFonts w:hint="eastAsia" w:ascii="宋体" w:hAnsi="宋体"/>
          <w:szCs w:val="21"/>
        </w:rPr>
      </w:pPr>
      <w:r>
        <w:rPr>
          <w:rFonts w:hint="eastAsia" w:ascii="宋体" w:hAnsi="宋体"/>
          <w:szCs w:val="21"/>
        </w:rPr>
        <w:t>（五）与其他采购参加人串通投标的；</w:t>
      </w:r>
    </w:p>
    <w:p>
      <w:pPr>
        <w:snapToGrid w:val="0"/>
        <w:spacing w:line="400" w:lineRule="exact"/>
        <w:ind w:firstLine="411" w:firstLineChars="196"/>
        <w:rPr>
          <w:rFonts w:hint="eastAsia" w:ascii="宋体" w:hAnsi="宋体"/>
          <w:szCs w:val="21"/>
        </w:rPr>
      </w:pPr>
      <w:r>
        <w:rPr>
          <w:rFonts w:hint="eastAsia" w:ascii="宋体" w:hAnsi="宋体"/>
          <w:szCs w:val="21"/>
        </w:rPr>
        <w:t>（六）恶意投诉的；</w:t>
      </w:r>
    </w:p>
    <w:p>
      <w:pPr>
        <w:snapToGrid w:val="0"/>
        <w:spacing w:line="400" w:lineRule="exact"/>
        <w:ind w:firstLine="411" w:firstLineChars="196"/>
        <w:rPr>
          <w:rFonts w:hint="eastAsia" w:ascii="宋体" w:hAnsi="宋体"/>
          <w:szCs w:val="21"/>
        </w:rPr>
      </w:pPr>
      <w:r>
        <w:rPr>
          <w:rFonts w:hint="eastAsia" w:ascii="宋体" w:hAnsi="宋体"/>
          <w:szCs w:val="21"/>
        </w:rPr>
        <w:t>（七）向采购项目相关人行贿或者提供其他不当利益的；</w:t>
      </w:r>
    </w:p>
    <w:p>
      <w:pPr>
        <w:snapToGrid w:val="0"/>
        <w:spacing w:line="400" w:lineRule="exact"/>
        <w:ind w:firstLine="411" w:firstLineChars="196"/>
        <w:rPr>
          <w:rFonts w:hint="eastAsia" w:ascii="宋体" w:hAnsi="宋体"/>
          <w:szCs w:val="21"/>
        </w:rPr>
      </w:pPr>
      <w:r>
        <w:rPr>
          <w:rFonts w:hint="eastAsia" w:ascii="宋体" w:hAnsi="宋体"/>
          <w:szCs w:val="21"/>
        </w:rPr>
        <w:t>（八）阻碍、抗拒主管部门监督检查的；</w:t>
      </w:r>
    </w:p>
    <w:p>
      <w:pPr>
        <w:snapToGrid w:val="0"/>
        <w:spacing w:line="400" w:lineRule="exact"/>
        <w:ind w:firstLine="411" w:firstLineChars="196"/>
        <w:rPr>
          <w:rFonts w:hint="eastAsia" w:ascii="宋体" w:hAnsi="宋体"/>
          <w:szCs w:val="21"/>
        </w:rPr>
      </w:pPr>
      <w:r>
        <w:rPr>
          <w:rFonts w:hint="eastAsia" w:ascii="宋体" w:hAnsi="宋体"/>
          <w:szCs w:val="21"/>
        </w:rPr>
        <w:t>（九）其他违反本条例规定的行为。</w:t>
      </w:r>
    </w:p>
    <w:p>
      <w:pPr>
        <w:snapToGrid w:val="0"/>
        <w:spacing w:line="400" w:lineRule="exact"/>
        <w:ind w:firstLine="411" w:firstLineChars="196"/>
        <w:rPr>
          <w:rFonts w:hint="eastAsia" w:ascii="宋体" w:hAnsi="宋体"/>
          <w:szCs w:val="21"/>
        </w:rPr>
      </w:pPr>
      <w:r>
        <w:rPr>
          <w:rFonts w:hint="eastAsia" w:ascii="宋体" w:hAnsi="宋体"/>
          <w:szCs w:val="21"/>
        </w:rPr>
        <w:t>《深圳经济特区政府采购条例实施细则》第七十六条  供应商有下列行为之一的，由主管部门记入供应商诚信档案并作出以下处罚：</w:t>
      </w:r>
    </w:p>
    <w:p>
      <w:pPr>
        <w:snapToGrid w:val="0"/>
        <w:spacing w:line="400" w:lineRule="exact"/>
        <w:ind w:firstLine="411" w:firstLineChars="196"/>
        <w:rPr>
          <w:rFonts w:hint="eastAsia" w:ascii="宋体" w:hAnsi="宋体"/>
          <w:szCs w:val="21"/>
        </w:rPr>
      </w:pPr>
      <w:r>
        <w:rPr>
          <w:rFonts w:hint="eastAsia" w:ascii="宋体" w:hAnsi="宋体"/>
          <w:szCs w:val="21"/>
        </w:rPr>
        <w:t>（一）违法行为属于采购条例第五十七条第（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元以上五百万元以下的，处以采购金额千分之二十的罚款，三年内禁止其参与本市政府采购。</w:t>
      </w:r>
    </w:p>
    <w:p>
      <w:pPr>
        <w:snapToGrid w:val="0"/>
        <w:spacing w:line="400" w:lineRule="exact"/>
        <w:ind w:firstLine="411" w:firstLineChars="196"/>
        <w:rPr>
          <w:rFonts w:hint="eastAsia" w:ascii="宋体" w:hAnsi="宋体"/>
          <w:szCs w:val="21"/>
        </w:rPr>
      </w:pPr>
      <w:r>
        <w:rPr>
          <w:rFonts w:hint="eastAsia" w:ascii="宋体" w:hAnsi="宋体"/>
          <w:szCs w:val="21"/>
        </w:rPr>
        <w:t>（二）违法行为属于采购条例第五十七条第（五）、（七）项情形，涉及的采购金额累计在一百万元以下，处以采购金额千分之十五的罚款，两年内禁止其参与本市政府采购；涉及的采购金额累计在一百万元以上两百万元以下的，处以采购金额千分之二十的罚款，三年内禁止其参与本市政府采购。</w:t>
      </w:r>
    </w:p>
    <w:p>
      <w:pPr>
        <w:snapToGrid w:val="0"/>
        <w:spacing w:line="400" w:lineRule="exact"/>
        <w:ind w:firstLine="411" w:firstLineChars="196"/>
        <w:rPr>
          <w:rFonts w:hint="eastAsia" w:ascii="宋体" w:hAnsi="宋体"/>
          <w:szCs w:val="21"/>
        </w:rPr>
      </w:pPr>
      <w:r>
        <w:rPr>
          <w:rFonts w:hint="eastAsia" w:ascii="宋体" w:hAnsi="宋体"/>
          <w:szCs w:val="21"/>
        </w:rPr>
        <w:t>《深圳经济特区政府采购条例实施细则》第七十七条  供应商有下列行为之一的，属于情节严重，由市场监管部门依法吊销其营业执照，主管部门取消其参与本市政府采购的资格，并作出以下处罚：</w:t>
      </w:r>
    </w:p>
    <w:p>
      <w:pPr>
        <w:snapToGrid w:val="0"/>
        <w:spacing w:line="400" w:lineRule="exact"/>
        <w:ind w:firstLine="411" w:firstLineChars="196"/>
        <w:rPr>
          <w:rFonts w:hint="eastAsia" w:ascii="宋体" w:hAnsi="宋体"/>
          <w:szCs w:val="21"/>
        </w:rPr>
      </w:pPr>
      <w:r>
        <w:rPr>
          <w:rFonts w:hint="eastAsia" w:ascii="宋体" w:hAnsi="宋体"/>
          <w:szCs w:val="21"/>
        </w:rPr>
        <w:t>（一）违法行为属于采购条例第五十七条第（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napToGrid w:val="0"/>
        <w:spacing w:line="400" w:lineRule="exact"/>
        <w:ind w:firstLine="411" w:firstLineChars="196"/>
        <w:rPr>
          <w:rFonts w:hint="eastAsia" w:ascii="宋体" w:hAnsi="宋体"/>
          <w:szCs w:val="21"/>
        </w:rPr>
      </w:pPr>
      <w:r>
        <w:rPr>
          <w:rFonts w:hint="eastAsia" w:ascii="宋体" w:hAnsi="宋体"/>
          <w:szCs w:val="21"/>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napToGrid w:val="0"/>
        <w:spacing w:line="400" w:lineRule="exact"/>
        <w:ind w:firstLine="411" w:firstLineChars="196"/>
        <w:rPr>
          <w:rFonts w:hint="eastAsia" w:ascii="宋体" w:hAnsi="宋体"/>
          <w:szCs w:val="21"/>
        </w:rPr>
      </w:pPr>
      <w:r>
        <w:rPr>
          <w:rFonts w:hint="eastAsia" w:ascii="宋体" w:hAnsi="宋体"/>
          <w:szCs w:val="21"/>
        </w:rPr>
        <w:t>《深圳经济特区政府采购条例实施细则》第七十九条  供应商有下列情形之一的，属于采购条例所称的串通投标行为，按照采购条例第五十七条有关规定处理：</w:t>
      </w:r>
    </w:p>
    <w:p>
      <w:pPr>
        <w:snapToGrid w:val="0"/>
        <w:spacing w:line="400" w:lineRule="exact"/>
        <w:ind w:firstLine="411" w:firstLineChars="196"/>
        <w:rPr>
          <w:rFonts w:hint="eastAsia" w:ascii="宋体" w:hAnsi="宋体"/>
          <w:szCs w:val="21"/>
        </w:rPr>
      </w:pPr>
      <w:r>
        <w:rPr>
          <w:rFonts w:hint="eastAsia" w:ascii="宋体" w:hAnsi="宋体"/>
          <w:szCs w:val="21"/>
        </w:rPr>
        <w:t>（一）投标供应商之间相互约定给予未中标的供应商利益补偿。</w:t>
      </w:r>
    </w:p>
    <w:p>
      <w:pPr>
        <w:snapToGrid w:val="0"/>
        <w:spacing w:line="400" w:lineRule="exact"/>
        <w:ind w:firstLine="411" w:firstLineChars="196"/>
        <w:rPr>
          <w:rFonts w:hint="eastAsia"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napToGrid w:val="0"/>
        <w:spacing w:line="400" w:lineRule="exact"/>
        <w:ind w:firstLine="411" w:firstLineChars="196"/>
        <w:rPr>
          <w:rFonts w:hint="eastAsia" w:ascii="宋体" w:hAnsi="宋体"/>
          <w:szCs w:val="21"/>
        </w:rPr>
      </w:pPr>
      <w:r>
        <w:rPr>
          <w:rFonts w:hint="eastAsia" w:ascii="宋体" w:hAnsi="宋体"/>
          <w:szCs w:val="21"/>
        </w:rPr>
        <w:t>（三）不同投标供应商的投标文件由同一单位或者同一人编制，或者由同一人分阶段参与编制的。</w:t>
      </w:r>
    </w:p>
    <w:p>
      <w:pPr>
        <w:snapToGrid w:val="0"/>
        <w:spacing w:line="400" w:lineRule="exact"/>
        <w:ind w:firstLine="411" w:firstLineChars="196"/>
        <w:rPr>
          <w:rFonts w:hint="eastAsia" w:ascii="宋体" w:hAnsi="宋体"/>
          <w:szCs w:val="21"/>
        </w:rPr>
      </w:pPr>
      <w:r>
        <w:rPr>
          <w:rFonts w:hint="eastAsia" w:ascii="宋体" w:hAnsi="宋体"/>
          <w:szCs w:val="21"/>
        </w:rPr>
        <w:t>（四）不同投标供应商的投标文件或部分投标文件相互混装。</w:t>
      </w:r>
    </w:p>
    <w:p>
      <w:pPr>
        <w:snapToGrid w:val="0"/>
        <w:spacing w:line="400" w:lineRule="exact"/>
        <w:ind w:firstLine="411" w:firstLineChars="196"/>
        <w:rPr>
          <w:rFonts w:hint="eastAsia" w:ascii="宋体" w:hAnsi="宋体"/>
          <w:szCs w:val="21"/>
        </w:rPr>
      </w:pPr>
      <w:r>
        <w:rPr>
          <w:rFonts w:hint="eastAsia" w:ascii="宋体" w:hAnsi="宋体"/>
          <w:szCs w:val="21"/>
        </w:rPr>
        <w:t>（五）不同投标供应商的投标文件内容存在非正常一致。</w:t>
      </w:r>
    </w:p>
    <w:p>
      <w:pPr>
        <w:snapToGrid w:val="0"/>
        <w:spacing w:line="400" w:lineRule="exact"/>
        <w:ind w:firstLine="411" w:firstLineChars="196"/>
        <w:rPr>
          <w:rFonts w:hint="eastAsia" w:ascii="宋体" w:hAnsi="宋体"/>
          <w:szCs w:val="21"/>
        </w:rPr>
      </w:pPr>
      <w:r>
        <w:rPr>
          <w:rFonts w:hint="eastAsia" w:ascii="宋体" w:hAnsi="宋体"/>
          <w:szCs w:val="21"/>
        </w:rPr>
        <w:t>（六）由同一单位工作人员为两家以上（含两家）供应商进行同一项投标活动的。</w:t>
      </w:r>
    </w:p>
    <w:p>
      <w:pPr>
        <w:snapToGrid w:val="0"/>
        <w:spacing w:line="400" w:lineRule="exact"/>
        <w:ind w:firstLine="411" w:firstLineChars="196"/>
        <w:rPr>
          <w:rFonts w:hint="eastAsia" w:ascii="宋体" w:hAnsi="宋体"/>
          <w:szCs w:val="21"/>
        </w:rPr>
      </w:pPr>
      <w:r>
        <w:rPr>
          <w:rFonts w:hint="eastAsia" w:ascii="宋体" w:hAnsi="宋体"/>
          <w:szCs w:val="21"/>
        </w:rPr>
        <w:t>（七）主管部门依照法律、法规认定的其他情形。</w:t>
      </w:r>
    </w:p>
    <w:p>
      <w:pPr>
        <w:snapToGrid w:val="0"/>
        <w:spacing w:line="400" w:lineRule="exact"/>
        <w:ind w:firstLine="411" w:firstLineChars="196"/>
        <w:rPr>
          <w:rFonts w:hint="eastAsia" w:ascii="宋体" w:hAnsi="宋体"/>
          <w:szCs w:val="21"/>
        </w:rPr>
      </w:pPr>
      <w:r>
        <w:rPr>
          <w:rFonts w:hint="eastAsia" w:ascii="宋体" w:hAnsi="宋体"/>
          <w:szCs w:val="21"/>
        </w:rPr>
        <w:t>《深圳经济特区政府采购条例实施细则》第八十一条  供应商有下列情形之一的，属于隐瞒真实情况，提供虚假资料，按照采购条例第五十七条的有关规定处理：</w:t>
      </w:r>
    </w:p>
    <w:p>
      <w:pPr>
        <w:snapToGrid w:val="0"/>
        <w:spacing w:line="400" w:lineRule="exact"/>
        <w:ind w:firstLine="411" w:firstLineChars="196"/>
        <w:rPr>
          <w:rFonts w:hint="eastAsia" w:ascii="宋体" w:hAnsi="宋体"/>
          <w:szCs w:val="21"/>
        </w:rPr>
      </w:pPr>
      <w:r>
        <w:rPr>
          <w:rFonts w:hint="eastAsia" w:ascii="宋体" w:hAnsi="宋体"/>
          <w:szCs w:val="21"/>
        </w:rPr>
        <w:t>（一）通过转让或者租借等方式从其他单位获取资格或者资质证书投标的。</w:t>
      </w:r>
    </w:p>
    <w:p>
      <w:pPr>
        <w:snapToGrid w:val="0"/>
        <w:spacing w:line="400" w:lineRule="exact"/>
        <w:ind w:firstLine="411" w:firstLineChars="196"/>
        <w:rPr>
          <w:rFonts w:hint="eastAsia" w:ascii="宋体" w:hAnsi="宋体"/>
          <w:szCs w:val="21"/>
        </w:rPr>
      </w:pPr>
      <w:r>
        <w:rPr>
          <w:rFonts w:hint="eastAsia" w:ascii="宋体" w:hAnsi="宋体"/>
          <w:szCs w:val="21"/>
        </w:rPr>
        <w:t>（二）由其他单位或者其他单位负责人在投标供应商编制的投标文件上加盖印章或者签字的。</w:t>
      </w:r>
    </w:p>
    <w:p>
      <w:pPr>
        <w:snapToGrid w:val="0"/>
        <w:spacing w:line="400" w:lineRule="exact"/>
        <w:ind w:firstLine="411" w:firstLineChars="196"/>
        <w:rPr>
          <w:rFonts w:hint="eastAsia" w:ascii="宋体" w:hAnsi="宋体"/>
          <w:szCs w:val="21"/>
        </w:rPr>
      </w:pPr>
      <w:r>
        <w:rPr>
          <w:rFonts w:hint="eastAsia" w:ascii="宋体" w:hAnsi="宋体"/>
          <w:szCs w:val="21"/>
        </w:rPr>
        <w:t>（三）项目负责人或者主要技术人员不是本单位人员的。</w:t>
      </w:r>
    </w:p>
    <w:p>
      <w:pPr>
        <w:snapToGrid w:val="0"/>
        <w:spacing w:line="400" w:lineRule="exact"/>
        <w:ind w:firstLine="411" w:firstLineChars="196"/>
        <w:rPr>
          <w:rFonts w:hint="eastAsia" w:ascii="宋体" w:hAnsi="宋体"/>
          <w:szCs w:val="21"/>
        </w:rPr>
      </w:pPr>
      <w:r>
        <w:rPr>
          <w:rFonts w:hint="eastAsia" w:ascii="宋体" w:hAnsi="宋体"/>
          <w:szCs w:val="21"/>
        </w:rPr>
        <w:t>（四）投标保证金不是从投标供应商基本账户转出的。</w:t>
      </w:r>
    </w:p>
    <w:p>
      <w:pPr>
        <w:snapToGrid w:val="0"/>
        <w:spacing w:line="400" w:lineRule="exact"/>
        <w:ind w:firstLine="411" w:firstLineChars="196"/>
        <w:rPr>
          <w:rFonts w:hint="eastAsia" w:ascii="宋体" w:hAnsi="宋体"/>
          <w:szCs w:val="21"/>
        </w:rPr>
      </w:pPr>
      <w:r>
        <w:rPr>
          <w:rFonts w:hint="eastAsia" w:ascii="宋体" w:hAnsi="宋体"/>
          <w:szCs w:val="21"/>
        </w:rPr>
        <w:t>（五）其他隐瞒真实情况、提供虚假资料的行为。</w:t>
      </w:r>
    </w:p>
    <w:p>
      <w:pPr>
        <w:snapToGrid w:val="0"/>
        <w:spacing w:line="400" w:lineRule="exact"/>
        <w:ind w:firstLine="411" w:firstLineChars="196"/>
        <w:rPr>
          <w:rFonts w:hint="eastAsia" w:ascii="宋体" w:hAnsi="宋体"/>
          <w:szCs w:val="21"/>
        </w:rPr>
      </w:pPr>
      <w:bookmarkStart w:id="0" w:name="_Toc464197209"/>
      <w:bookmarkStart w:id="1" w:name="_Toc2029974599"/>
      <w:bookmarkStart w:id="2" w:name="_Toc28531"/>
      <w:r>
        <w:rPr>
          <w:rFonts w:hint="eastAsia" w:ascii="宋体" w:hAnsi="宋体"/>
          <w:szCs w:val="21"/>
        </w:rPr>
        <w:t>投标供应商不能提供项目负责人或者主要技术人员的劳动合同、社会保险等劳动关系证明材料的，视为存在前款第（三）项规定的情形。</w:t>
      </w:r>
      <w:bookmarkEnd w:id="0"/>
      <w:bookmarkEnd w:id="1"/>
      <w:bookmarkEnd w:id="2"/>
    </w:p>
    <w:p>
      <w:pPr>
        <w:pStyle w:val="14"/>
        <w:rPr>
          <w:rFonts w:hint="eastAsia" w:ascii="宋体" w:eastAsia="宋体"/>
          <w:sz w:val="21"/>
        </w:rPr>
      </w:pPr>
    </w:p>
    <w:p>
      <w:pPr>
        <w:pStyle w:val="14"/>
        <w:rPr>
          <w:rFonts w:hint="eastAsia" w:ascii="宋体" w:eastAsia="宋体"/>
          <w:sz w:val="21"/>
        </w:rPr>
      </w:pPr>
    </w:p>
    <w:p>
      <w:pPr>
        <w:pStyle w:val="14"/>
        <w:rPr>
          <w:rFonts w:hint="eastAsia" w:ascii="宋体" w:eastAsia="宋体"/>
          <w:sz w:val="21"/>
        </w:rPr>
      </w:pPr>
    </w:p>
    <w:p>
      <w:pPr>
        <w:pStyle w:val="14"/>
        <w:rPr>
          <w:rFonts w:hint="eastAsia" w:ascii="宋体" w:eastAsia="宋体"/>
          <w:sz w:val="21"/>
        </w:rPr>
      </w:pPr>
    </w:p>
    <w:p>
      <w:pPr>
        <w:pStyle w:val="14"/>
        <w:rPr>
          <w:rFonts w:hint="eastAsia" w:ascii="宋体" w:eastAsia="宋体"/>
          <w:sz w:val="21"/>
        </w:rPr>
      </w:pPr>
    </w:p>
    <w:p>
      <w:pPr>
        <w:pStyle w:val="14"/>
        <w:rPr>
          <w:rFonts w:hint="eastAsia" w:ascii="宋体" w:eastAsia="宋体"/>
          <w:sz w:val="21"/>
        </w:rPr>
      </w:pPr>
    </w:p>
    <w:p>
      <w:pPr>
        <w:pStyle w:val="14"/>
        <w:rPr>
          <w:rFonts w:hint="eastAsia" w:ascii="宋体" w:eastAsia="宋体"/>
          <w:sz w:val="21"/>
        </w:rPr>
      </w:pPr>
    </w:p>
    <w:p>
      <w:pPr>
        <w:pStyle w:val="14"/>
        <w:rPr>
          <w:rFonts w:hint="eastAsia" w:ascii="宋体" w:eastAsia="宋体"/>
          <w:sz w:val="21"/>
        </w:rPr>
      </w:pPr>
    </w:p>
    <w:p>
      <w:pPr>
        <w:pStyle w:val="14"/>
        <w:rPr>
          <w:rFonts w:hint="eastAsia" w:ascii="宋体" w:eastAsia="宋体"/>
          <w:sz w:val="21"/>
        </w:rPr>
      </w:pPr>
    </w:p>
    <w:p>
      <w:pPr>
        <w:pStyle w:val="14"/>
        <w:rPr>
          <w:rFonts w:hint="eastAsia" w:ascii="宋体" w:eastAsia="宋体"/>
          <w:sz w:val="21"/>
        </w:rPr>
      </w:pPr>
    </w:p>
    <w:p>
      <w:pPr>
        <w:pStyle w:val="14"/>
        <w:rPr>
          <w:rFonts w:hint="eastAsia" w:ascii="宋体" w:eastAsia="宋体"/>
          <w:sz w:val="21"/>
        </w:rPr>
      </w:pPr>
    </w:p>
    <w:p>
      <w:pPr>
        <w:pStyle w:val="14"/>
        <w:rPr>
          <w:rFonts w:hint="eastAsia" w:ascii="宋体" w:eastAsia="宋体"/>
          <w:sz w:val="21"/>
        </w:rPr>
      </w:pPr>
    </w:p>
    <w:p>
      <w:pPr>
        <w:pStyle w:val="14"/>
        <w:rPr>
          <w:rFonts w:hint="eastAsia" w:ascii="宋体" w:eastAsia="宋体"/>
          <w:sz w:val="21"/>
        </w:rPr>
      </w:pPr>
    </w:p>
    <w:p>
      <w:pPr>
        <w:pStyle w:val="14"/>
        <w:rPr>
          <w:rFonts w:hint="eastAsia" w:ascii="宋体" w:eastAsia="宋体"/>
          <w:sz w:val="21"/>
        </w:rPr>
      </w:pPr>
    </w:p>
    <w:p>
      <w:pPr>
        <w:pStyle w:val="14"/>
        <w:rPr>
          <w:color w:val="auto"/>
          <w:sz w:val="48"/>
          <w:szCs w:val="48"/>
          <w:highlight w:val="none"/>
        </w:rPr>
      </w:pPr>
      <w:r>
        <w:rPr>
          <w:rFonts w:hint="eastAsia"/>
          <w:color w:val="auto"/>
          <w:sz w:val="48"/>
          <w:szCs w:val="48"/>
          <w:highlight w:val="none"/>
        </w:rPr>
        <w:t>目 录</w:t>
      </w:r>
    </w:p>
    <w:p>
      <w:pPr>
        <w:spacing w:line="480" w:lineRule="exact"/>
        <w:rPr>
          <w:rFonts w:hint="eastAsia" w:asciiTheme="minorEastAsia" w:hAnsiTheme="minorEastAsia" w:eastAsiaTheme="minorEastAsia" w:cstheme="minorEastAsia"/>
          <w:color w:val="auto"/>
          <w:sz w:val="28"/>
          <w:szCs w:val="28"/>
          <w:highlight w:val="none"/>
        </w:rPr>
      </w:pP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val="0"/>
          <w:color w:val="auto"/>
          <w:sz w:val="28"/>
          <w:szCs w:val="28"/>
          <w:highlight w:val="none"/>
        </w:rPr>
        <w:fldChar w:fldCharType="begin"/>
      </w:r>
      <w:r>
        <w:rPr>
          <w:rFonts w:hint="eastAsia" w:asciiTheme="minorEastAsia" w:hAnsiTheme="minorEastAsia" w:eastAsiaTheme="minorEastAsia" w:cstheme="minorEastAsia"/>
          <w:b w:val="0"/>
          <w:bCs w:val="0"/>
          <w:color w:val="auto"/>
          <w:sz w:val="28"/>
          <w:szCs w:val="28"/>
          <w:highlight w:val="none"/>
        </w:rPr>
        <w:instrText xml:space="preserve"> TOC \o "1-3" \h \z \u </w:instrText>
      </w:r>
      <w:r>
        <w:rPr>
          <w:rFonts w:hint="eastAsia" w:asciiTheme="minorEastAsia" w:hAnsiTheme="minorEastAsia" w:eastAsiaTheme="minorEastAsia" w:cstheme="minorEastAsia"/>
          <w:b w:val="0"/>
          <w:bCs w:val="0"/>
          <w:color w:val="auto"/>
          <w:sz w:val="28"/>
          <w:szCs w:val="28"/>
          <w:highlight w:val="none"/>
        </w:rPr>
        <w:fldChar w:fldCharType="separate"/>
      </w: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_Toc24771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第一章 招标邀请书</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_Toc24771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_Toc27047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第二章 投标须知</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_Toc27047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4</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_Toc6132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第三章 评标程序</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_Toc6132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7</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_Toc30095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rPr>
        <w:t xml:space="preserve">第四章 </w:t>
      </w:r>
      <w:r>
        <w:rPr>
          <w:rFonts w:hint="eastAsia" w:asciiTheme="minorEastAsia" w:hAnsiTheme="minorEastAsia" w:eastAsiaTheme="minorEastAsia" w:cstheme="minorEastAsia"/>
          <w:b w:val="0"/>
          <w:bCs/>
          <w:sz w:val="28"/>
          <w:szCs w:val="28"/>
          <w:highlight w:val="none"/>
        </w:rPr>
        <w:t>合同</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_Toc30095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9</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_Toc6378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第</w:t>
      </w:r>
      <w:r>
        <w:rPr>
          <w:rFonts w:hint="eastAsia" w:asciiTheme="minorEastAsia" w:hAnsiTheme="minorEastAsia" w:eastAsiaTheme="minorEastAsia" w:cstheme="minorEastAsia"/>
          <w:b w:val="0"/>
          <w:bCs/>
          <w:sz w:val="28"/>
          <w:szCs w:val="28"/>
          <w:highlight w:val="none"/>
          <w:lang w:val="en-US" w:eastAsia="zh-CN"/>
        </w:rPr>
        <w:t>一</w:t>
      </w:r>
      <w:r>
        <w:rPr>
          <w:rFonts w:hint="eastAsia" w:asciiTheme="minorEastAsia" w:hAnsiTheme="minorEastAsia" w:eastAsiaTheme="minorEastAsia" w:cstheme="minorEastAsia"/>
          <w:b w:val="0"/>
          <w:bCs/>
          <w:sz w:val="28"/>
          <w:szCs w:val="28"/>
          <w:highlight w:val="none"/>
        </w:rPr>
        <w:t xml:space="preserve">部分  </w:t>
      </w:r>
      <w:r>
        <w:rPr>
          <w:rFonts w:hint="eastAsia" w:asciiTheme="minorEastAsia" w:hAnsiTheme="minorEastAsia" w:eastAsiaTheme="minorEastAsia" w:cstheme="minorEastAsia"/>
          <w:b w:val="0"/>
          <w:bCs/>
          <w:sz w:val="28"/>
          <w:szCs w:val="28"/>
          <w:highlight w:val="none"/>
          <w:lang w:val="en-US" w:eastAsia="zh-CN"/>
        </w:rPr>
        <w:t>合同书</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_Toc6378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10</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_Toc22856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一、工程概况</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_Toc22856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10</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_Toc15375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二、词语含义</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_Toc15375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10</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_Toc32385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三、组成本合同的文件</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_Toc32385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10</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_Toc13190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四、工程监理服务范围</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_Toc13190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10</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_Toc10585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五、工程监理服务期限</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_Toc10585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11</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_Toc11113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六、工程监理服务酬金</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_Toc11113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11</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_Toc21523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七、付款方式</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_Toc21523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11</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_Toc313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八、总监理工程师</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_Toc313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12</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_Toc10569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九、双方承诺</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_Toc10569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12</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_Toc29632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十、其他</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_Toc29632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12</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_Toc6354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第二部分  通用条件</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_Toc6354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13</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_Toc30439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一、定义与解释</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_Toc30439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13</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_Toc9398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二、监理人的义务</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_Toc9398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14</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_Toc29519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1、监理的服务范围</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_Toc29519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14</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_Toc12004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2、项目管理要求</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_Toc12004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15</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_Toc14259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3、项目技术要求</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_Toc14259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15</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_Toc5518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4、服务要求</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_Toc5518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16</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_Toc21083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三、委托人的义务</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_Toc21083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22</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_Toc6986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四、违约责任</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_Toc6986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23</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_Toc31530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五、监理服务酬金的计取与支付</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_Toc31530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24</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_Toc16756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六、监理合同生效、变更与终止</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_Toc16756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24</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_Toc15113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七、争议解决</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_Toc15113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26</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_Toc11874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八、其他</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_Toc11874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26</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_Toc9149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第三部分  专用条件</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_Toc9149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28</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_Toc18021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一、定义与解释</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_Toc18021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28</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_Toc17266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二、监理人义务</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_Toc17266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28</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_Toc5552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三、委托人义务</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_Toc5552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29</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_Toc6517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四、违约责任</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_Toc6517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30</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_Toc23195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五、监理服务酬金的计取与支付</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_Toc23195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30</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_Toc15865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六、监理合同生效、变更与终止</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_Toc15865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31</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_Toc15069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七、争议解决</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_Toc15069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32</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_Toc15586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八、其他</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_Toc15586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32</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_Toc17329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九、补充条款</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_Toc17329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33</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_Toc28725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第</w:t>
      </w:r>
      <w:r>
        <w:rPr>
          <w:rFonts w:hint="eastAsia" w:asciiTheme="minorEastAsia" w:hAnsiTheme="minorEastAsia" w:eastAsiaTheme="minorEastAsia" w:cstheme="minorEastAsia"/>
          <w:b w:val="0"/>
          <w:bCs/>
          <w:sz w:val="28"/>
          <w:szCs w:val="28"/>
          <w:highlight w:val="none"/>
          <w:lang w:val="en-US" w:eastAsia="zh-CN"/>
        </w:rPr>
        <w:t>四</w:t>
      </w:r>
      <w:r>
        <w:rPr>
          <w:rFonts w:hint="eastAsia" w:asciiTheme="minorEastAsia" w:hAnsiTheme="minorEastAsia" w:eastAsiaTheme="minorEastAsia" w:cstheme="minorEastAsia"/>
          <w:b w:val="0"/>
          <w:bCs/>
          <w:sz w:val="28"/>
          <w:szCs w:val="28"/>
          <w:highlight w:val="none"/>
        </w:rPr>
        <w:t xml:space="preserve">部分  </w:t>
      </w:r>
      <w:r>
        <w:rPr>
          <w:rFonts w:hint="eastAsia" w:asciiTheme="minorEastAsia" w:hAnsiTheme="minorEastAsia" w:eastAsiaTheme="minorEastAsia" w:cstheme="minorEastAsia"/>
          <w:b w:val="0"/>
          <w:bCs/>
          <w:sz w:val="28"/>
          <w:szCs w:val="28"/>
          <w:highlight w:val="none"/>
          <w:lang w:val="en-US" w:eastAsia="zh-CN"/>
        </w:rPr>
        <w:t>保密协议</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_Toc28725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39</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_Toc21227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rPr>
        <w:t xml:space="preserve">第五章 </w:t>
      </w:r>
      <w:r>
        <w:rPr>
          <w:rFonts w:hint="eastAsia" w:asciiTheme="minorEastAsia" w:hAnsiTheme="minorEastAsia" w:eastAsiaTheme="minorEastAsia" w:cstheme="minorEastAsia"/>
          <w:b w:val="0"/>
          <w:bCs/>
          <w:sz w:val="28"/>
          <w:szCs w:val="28"/>
          <w:highlight w:val="none"/>
        </w:rPr>
        <w:t>服务技术要求和商务要求</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_Toc21227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43</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_Toc13368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lang w:eastAsia="zh-CN"/>
        </w:rPr>
        <w:t>一、</w:t>
      </w:r>
      <w:r>
        <w:rPr>
          <w:rFonts w:hint="eastAsia" w:asciiTheme="minorEastAsia" w:hAnsiTheme="minorEastAsia" w:eastAsiaTheme="minorEastAsia" w:cstheme="minorEastAsia"/>
          <w:b w:val="0"/>
          <w:bCs/>
          <w:sz w:val="28"/>
          <w:szCs w:val="28"/>
          <w:highlight w:val="none"/>
        </w:rPr>
        <w:t>项目背景及项目整体情况</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_Toc13368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43</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firstLine="280" w:firstLineChars="10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_Toc15342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kern w:val="2"/>
          <w:sz w:val="28"/>
          <w:szCs w:val="28"/>
          <w:highlight w:val="none"/>
          <w:lang w:eastAsia="zh-CN"/>
        </w:rPr>
        <w:t>（一）</w:t>
      </w:r>
      <w:r>
        <w:rPr>
          <w:rFonts w:hint="eastAsia" w:asciiTheme="minorEastAsia" w:hAnsiTheme="minorEastAsia" w:eastAsiaTheme="minorEastAsia" w:cstheme="minorEastAsia"/>
          <w:b w:val="0"/>
          <w:bCs/>
          <w:kern w:val="2"/>
          <w:sz w:val="28"/>
          <w:szCs w:val="28"/>
          <w:highlight w:val="none"/>
        </w:rPr>
        <w:t>项目背景</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_Toc15342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43</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lang w:val="en-US" w:eastAsia="zh-CN"/>
        </w:rPr>
        <w:t xml:space="preserve">   </w:t>
      </w: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_Toc2599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kern w:val="0"/>
          <w:sz w:val="28"/>
          <w:szCs w:val="28"/>
          <w:highlight w:val="none"/>
          <w:lang w:eastAsia="zh-CN"/>
        </w:rPr>
        <w:t>二、</w:t>
      </w:r>
      <w:r>
        <w:rPr>
          <w:rFonts w:hint="eastAsia" w:asciiTheme="minorEastAsia" w:hAnsiTheme="minorEastAsia" w:eastAsiaTheme="minorEastAsia" w:cstheme="minorEastAsia"/>
          <w:b w:val="0"/>
          <w:bCs/>
          <w:kern w:val="0"/>
          <w:sz w:val="28"/>
          <w:szCs w:val="28"/>
          <w:highlight w:val="none"/>
        </w:rPr>
        <w:t>项目目的及建设目标</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_Toc2599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43</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firstLine="280" w:firstLineChars="10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_Toc30427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kern w:val="2"/>
          <w:sz w:val="28"/>
          <w:szCs w:val="28"/>
          <w:highlight w:val="none"/>
          <w:lang w:eastAsia="zh-CN"/>
        </w:rPr>
        <w:t>（一）</w:t>
      </w:r>
      <w:r>
        <w:rPr>
          <w:rFonts w:hint="eastAsia" w:asciiTheme="minorEastAsia" w:hAnsiTheme="minorEastAsia" w:eastAsiaTheme="minorEastAsia" w:cstheme="minorEastAsia"/>
          <w:b w:val="0"/>
          <w:bCs/>
          <w:kern w:val="2"/>
          <w:sz w:val="28"/>
          <w:szCs w:val="28"/>
          <w:highlight w:val="none"/>
        </w:rPr>
        <w:t>项目目的</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_Toc30427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43</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firstLine="280" w:firstLineChars="10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_Toc21588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lang w:eastAsia="zh-CN"/>
        </w:rPr>
        <w:t>（二）</w:t>
      </w:r>
      <w:r>
        <w:rPr>
          <w:rFonts w:hint="eastAsia" w:asciiTheme="minorEastAsia" w:hAnsiTheme="minorEastAsia" w:eastAsiaTheme="minorEastAsia" w:cstheme="minorEastAsia"/>
          <w:b w:val="0"/>
          <w:bCs/>
          <w:sz w:val="28"/>
          <w:szCs w:val="28"/>
          <w:highlight w:val="none"/>
        </w:rPr>
        <w:t>建设目标</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_Toc21588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43</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lang w:val="en-US" w:eastAsia="zh-CN"/>
        </w:rPr>
        <w:t xml:space="preserve">   </w:t>
      </w: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_Toc5148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kern w:val="0"/>
          <w:sz w:val="28"/>
          <w:szCs w:val="28"/>
          <w:highlight w:val="none"/>
          <w:lang w:eastAsia="zh-CN"/>
        </w:rPr>
        <w:t>三、</w:t>
      </w:r>
      <w:r>
        <w:rPr>
          <w:rFonts w:hint="eastAsia" w:asciiTheme="minorEastAsia" w:hAnsiTheme="minorEastAsia" w:eastAsiaTheme="minorEastAsia" w:cstheme="minorEastAsia"/>
          <w:b w:val="0"/>
          <w:bCs/>
          <w:kern w:val="0"/>
          <w:sz w:val="28"/>
          <w:szCs w:val="28"/>
          <w:highlight w:val="none"/>
        </w:rPr>
        <w:t>项目所依据及参考的标准</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_Toc5148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44</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lang w:val="en-US" w:eastAsia="zh-CN"/>
        </w:rPr>
        <w:t xml:space="preserve">   </w:t>
      </w: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_Toc17241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kern w:val="0"/>
          <w:sz w:val="28"/>
          <w:szCs w:val="28"/>
          <w:highlight w:val="none"/>
          <w:lang w:eastAsia="zh-CN"/>
        </w:rPr>
        <w:t>四、技术要求</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_Toc17241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44</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firstLine="280" w:firstLineChars="10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_Toc17493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lang w:eastAsia="zh-CN"/>
        </w:rPr>
        <w:t>（一）</w:t>
      </w:r>
      <w:r>
        <w:rPr>
          <w:rFonts w:hint="eastAsia" w:asciiTheme="minorEastAsia" w:hAnsiTheme="minorEastAsia" w:eastAsiaTheme="minorEastAsia" w:cstheme="minorEastAsia"/>
          <w:b w:val="0"/>
          <w:bCs/>
          <w:sz w:val="28"/>
          <w:szCs w:val="28"/>
          <w:highlight w:val="none"/>
        </w:rPr>
        <w:t>监理的服务范围</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_Toc17493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44</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firstLine="280" w:firstLineChars="10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_Toc17908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lang w:eastAsia="zh-CN"/>
        </w:rPr>
        <w:t>（二）</w:t>
      </w:r>
      <w:r>
        <w:rPr>
          <w:rFonts w:hint="eastAsia" w:asciiTheme="minorEastAsia" w:hAnsiTheme="minorEastAsia" w:eastAsiaTheme="minorEastAsia" w:cstheme="minorEastAsia"/>
          <w:b w:val="0"/>
          <w:bCs/>
          <w:sz w:val="28"/>
          <w:szCs w:val="28"/>
          <w:highlight w:val="none"/>
        </w:rPr>
        <w:t>监理的服务内容</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_Toc17908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45</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firstLine="280" w:firstLineChars="10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_Toc24913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lang w:eastAsia="zh-CN"/>
        </w:rPr>
        <w:t>（三）</w:t>
      </w:r>
      <w:r>
        <w:rPr>
          <w:rFonts w:hint="eastAsia" w:asciiTheme="minorEastAsia" w:hAnsiTheme="minorEastAsia" w:eastAsiaTheme="minorEastAsia" w:cstheme="minorEastAsia"/>
          <w:b w:val="0"/>
          <w:bCs/>
          <w:sz w:val="28"/>
          <w:szCs w:val="28"/>
          <w:highlight w:val="none"/>
        </w:rPr>
        <w:t>项目管理要求</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_Toc24913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45</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firstLine="280" w:firstLineChars="10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_Toc25794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lang w:eastAsia="zh-CN"/>
        </w:rPr>
        <w:t>（四）</w:t>
      </w:r>
      <w:r>
        <w:rPr>
          <w:rFonts w:hint="eastAsia" w:asciiTheme="minorEastAsia" w:hAnsiTheme="minorEastAsia" w:eastAsiaTheme="minorEastAsia" w:cstheme="minorEastAsia"/>
          <w:b w:val="0"/>
          <w:bCs/>
          <w:sz w:val="28"/>
          <w:szCs w:val="28"/>
          <w:highlight w:val="none"/>
        </w:rPr>
        <w:t>项目技术要求</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_Toc25794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46</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firstLine="280" w:firstLineChars="10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_Toc30533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lang w:eastAsia="zh-CN"/>
        </w:rPr>
        <w:t>（五）</w:t>
      </w:r>
      <w:r>
        <w:rPr>
          <w:rFonts w:hint="eastAsia" w:asciiTheme="minorEastAsia" w:hAnsiTheme="minorEastAsia" w:eastAsiaTheme="minorEastAsia" w:cstheme="minorEastAsia"/>
          <w:b w:val="0"/>
          <w:bCs/>
          <w:sz w:val="28"/>
          <w:szCs w:val="28"/>
          <w:highlight w:val="none"/>
        </w:rPr>
        <w:t>服务要求</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_Toc30533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46</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lang w:val="en-US" w:eastAsia="zh-CN"/>
        </w:rPr>
        <w:t xml:space="preserve">   </w:t>
      </w: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_Toc20713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kern w:val="0"/>
          <w:sz w:val="28"/>
          <w:szCs w:val="28"/>
          <w:highlight w:val="none"/>
          <w:lang w:eastAsia="zh-CN"/>
        </w:rPr>
        <w:t>五、</w:t>
      </w:r>
      <w:r>
        <w:rPr>
          <w:rFonts w:hint="eastAsia" w:asciiTheme="minorEastAsia" w:hAnsiTheme="minorEastAsia" w:eastAsiaTheme="minorEastAsia" w:cstheme="minorEastAsia"/>
          <w:b w:val="0"/>
          <w:bCs/>
          <w:kern w:val="0"/>
          <w:sz w:val="28"/>
          <w:szCs w:val="28"/>
          <w:highlight w:val="none"/>
        </w:rPr>
        <w:t>商务要求</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_Toc20713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51</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firstLine="280" w:firstLineChars="10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_Toc6500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lang w:eastAsia="zh-CN"/>
        </w:rPr>
        <w:t>（一）</w:t>
      </w:r>
      <w:r>
        <w:rPr>
          <w:rFonts w:hint="eastAsia" w:asciiTheme="minorEastAsia" w:hAnsiTheme="minorEastAsia" w:eastAsiaTheme="minorEastAsia" w:cstheme="minorEastAsia"/>
          <w:b w:val="0"/>
          <w:bCs/>
          <w:sz w:val="28"/>
          <w:szCs w:val="28"/>
          <w:highlight w:val="none"/>
        </w:rPr>
        <w:t>报价要求及合同期限</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_Toc6500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51</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firstLine="280" w:firstLineChars="10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_Toc25837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lang w:eastAsia="zh-CN"/>
        </w:rPr>
        <w:t>（二）</w:t>
      </w:r>
      <w:r>
        <w:rPr>
          <w:rFonts w:hint="eastAsia" w:asciiTheme="minorEastAsia" w:hAnsiTheme="minorEastAsia" w:eastAsiaTheme="minorEastAsia" w:cstheme="minorEastAsia"/>
          <w:b w:val="0"/>
          <w:bCs/>
          <w:sz w:val="28"/>
          <w:szCs w:val="28"/>
          <w:highlight w:val="none"/>
        </w:rPr>
        <w:t>付款方式</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_Toc25837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52</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exact"/>
        <w:ind w:firstLine="280" w:firstLineChars="10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_Toc25558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lang w:eastAsia="zh-CN"/>
        </w:rPr>
        <w:t>（三）</w:t>
      </w:r>
      <w:r>
        <w:rPr>
          <w:rFonts w:hint="eastAsia" w:asciiTheme="minorEastAsia" w:hAnsiTheme="minorEastAsia" w:eastAsiaTheme="minorEastAsia" w:cstheme="minorEastAsia"/>
          <w:b w:val="0"/>
          <w:bCs/>
          <w:sz w:val="28"/>
          <w:szCs w:val="28"/>
          <w:highlight w:val="none"/>
        </w:rPr>
        <w:t>关于现场踏勘</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_Toc25558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52</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lang w:val="en-US" w:eastAsia="zh-CN"/>
        </w:rPr>
        <w:t xml:space="preserve">   </w:t>
      </w: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_Toc24201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lang w:val="en-US" w:eastAsia="zh-CN"/>
        </w:rPr>
        <w:t>六、成果归属</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_Toc24201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53</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lang w:val="en-US" w:eastAsia="zh-CN"/>
        </w:rPr>
        <w:t xml:space="preserve">   </w:t>
      </w: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_Toc14926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lang w:val="en-US" w:eastAsia="zh-CN"/>
        </w:rPr>
        <w:t>七、</w:t>
      </w:r>
      <w:r>
        <w:rPr>
          <w:rFonts w:hint="eastAsia" w:asciiTheme="minorEastAsia" w:hAnsiTheme="minorEastAsia" w:eastAsiaTheme="minorEastAsia" w:cstheme="minorEastAsia"/>
          <w:b w:val="0"/>
          <w:bCs/>
          <w:sz w:val="28"/>
          <w:szCs w:val="28"/>
          <w:highlight w:val="none"/>
        </w:rPr>
        <w:t>保密条款</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_Toc14926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53</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lang w:val="en-US" w:eastAsia="zh-CN"/>
        </w:rPr>
        <w:t xml:space="preserve">   </w:t>
      </w: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_Toc20349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kern w:val="44"/>
          <w:sz w:val="28"/>
          <w:szCs w:val="28"/>
          <w:highlight w:val="none"/>
          <w:lang w:val="en-US" w:eastAsia="zh-CN"/>
        </w:rPr>
        <w:t>八、</w:t>
      </w:r>
      <w:r>
        <w:rPr>
          <w:rFonts w:hint="eastAsia" w:asciiTheme="minorEastAsia" w:hAnsiTheme="minorEastAsia" w:eastAsiaTheme="minorEastAsia" w:cstheme="minorEastAsia"/>
          <w:b w:val="0"/>
          <w:bCs/>
          <w:kern w:val="44"/>
          <w:sz w:val="28"/>
          <w:szCs w:val="28"/>
          <w:highlight w:val="none"/>
        </w:rPr>
        <w:t>违约责任</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_Toc20349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54</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_Toc31783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第六章 附件</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_Toc31783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55</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_Toc16502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（一）投标人资格证明文件</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_Toc16502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55</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_Toc6341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（二）投标响应书</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_Toc6341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58</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_Toc14277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（三）开标一览表</w:t>
      </w:r>
      <w:r>
        <w:rPr>
          <w:rFonts w:hint="eastAsia" w:asciiTheme="minorEastAsia" w:hAnsiTheme="minorEastAsia" w:eastAsiaTheme="minorEastAsia" w:cstheme="minorEastAsia"/>
          <w:b w:val="0"/>
          <w:bCs/>
          <w:sz w:val="28"/>
          <w:szCs w:val="28"/>
          <w:highlight w:val="none"/>
          <w:lang w:eastAsia="zh-CN"/>
        </w:rPr>
        <w:t>（</w:t>
      </w:r>
      <w:r>
        <w:rPr>
          <w:rFonts w:hint="eastAsia" w:asciiTheme="minorEastAsia" w:hAnsiTheme="minorEastAsia" w:eastAsiaTheme="minorEastAsia" w:cstheme="minorEastAsia"/>
          <w:b w:val="0"/>
          <w:bCs/>
          <w:sz w:val="28"/>
          <w:szCs w:val="28"/>
          <w:highlight w:val="none"/>
          <w:lang w:val="en-US" w:eastAsia="zh-CN"/>
        </w:rPr>
        <w:t>报价表</w:t>
      </w:r>
      <w:r>
        <w:rPr>
          <w:rFonts w:hint="eastAsia" w:asciiTheme="minorEastAsia" w:hAnsiTheme="minorEastAsia" w:eastAsiaTheme="minorEastAsia" w:cstheme="minorEastAsia"/>
          <w:b w:val="0"/>
          <w:bCs/>
          <w:sz w:val="28"/>
          <w:szCs w:val="28"/>
          <w:highlight w:val="none"/>
          <w:lang w:eastAsia="zh-CN"/>
        </w:rPr>
        <w:t>）</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_Toc14277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59</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_Toc27594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（四）公司主营业务介绍</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_Toc27594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61</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_Toc19845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（五）同类项目主要业绩一览表</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_Toc19845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62</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_Toc20771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（六）项目负责人和团队人员情况表</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_Toc20771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63</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_Toc20646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（七）实施方案</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_Toc20646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64</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_Toc21686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（八）投标人诚信承诺函</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_Toc21686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65</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_Toc7082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（九）用户需求响应表</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_Toc7082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66</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_Toc5506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（十）投标人认为需提供的其它文件及评分所需证明文件</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_Toc5506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80</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exact"/>
        <w:textAlignment w:val="auto"/>
      </w:pPr>
      <w:r>
        <w:rPr>
          <w:rFonts w:hint="eastAsia" w:asciiTheme="minorEastAsia" w:hAnsiTheme="minorEastAsia" w:eastAsiaTheme="minorEastAsia" w:cstheme="minorEastAsia"/>
          <w:b w:val="0"/>
          <w:bCs/>
          <w:color w:val="auto"/>
          <w:sz w:val="28"/>
          <w:szCs w:val="28"/>
          <w:highlight w:val="none"/>
        </w:rPr>
        <w:fldChar w:fldCharType="begin"/>
      </w:r>
      <w:r>
        <w:rPr>
          <w:rFonts w:hint="eastAsia" w:asciiTheme="minorEastAsia" w:hAnsiTheme="minorEastAsia" w:eastAsiaTheme="minorEastAsia" w:cstheme="minorEastAsia"/>
          <w:b w:val="0"/>
          <w:bCs/>
          <w:sz w:val="28"/>
          <w:szCs w:val="28"/>
          <w:highlight w:val="none"/>
        </w:rPr>
        <w:instrText xml:space="preserve"> HYPERLINK \l _Toc29333 </w:instrText>
      </w:r>
      <w:r>
        <w:rPr>
          <w:rFonts w:hint="eastAsia" w:asciiTheme="minorEastAsia" w:hAnsiTheme="minorEastAsia" w:eastAsiaTheme="minorEastAsia" w:cstheme="minorEastAsia"/>
          <w:b w:val="0"/>
          <w:bCs/>
          <w:sz w:val="28"/>
          <w:szCs w:val="28"/>
          <w:highlight w:val="none"/>
        </w:rPr>
        <w:fldChar w:fldCharType="separate"/>
      </w:r>
      <w:r>
        <w:rPr>
          <w:rFonts w:hint="eastAsia" w:asciiTheme="minorEastAsia" w:hAnsiTheme="minorEastAsia" w:eastAsiaTheme="minorEastAsia" w:cstheme="minorEastAsia"/>
          <w:b w:val="0"/>
          <w:bCs/>
          <w:sz w:val="28"/>
          <w:szCs w:val="28"/>
          <w:highlight w:val="none"/>
        </w:rPr>
        <w:t>第七章 招标项目评分表</w:t>
      </w:r>
      <w:r>
        <w:rPr>
          <w:rFonts w:hint="eastAsia" w:asciiTheme="minorEastAsia" w:hAnsiTheme="minorEastAsia" w:eastAsiaTheme="minorEastAsia" w:cstheme="minorEastAsia"/>
          <w:b w:val="0"/>
          <w:bCs/>
          <w:sz w:val="28"/>
          <w:szCs w:val="28"/>
        </w:rPr>
        <w:tab/>
      </w:r>
      <w:r>
        <w:rPr>
          <w:rFonts w:hint="eastAsia" w:asciiTheme="minorEastAsia" w:hAnsiTheme="minorEastAsia" w:eastAsiaTheme="minorEastAsia" w:cstheme="minorEastAsia"/>
          <w:b w:val="0"/>
          <w:bCs/>
          <w:sz w:val="28"/>
          <w:szCs w:val="28"/>
        </w:rPr>
        <w:fldChar w:fldCharType="begin"/>
      </w:r>
      <w:r>
        <w:rPr>
          <w:rFonts w:hint="eastAsia" w:asciiTheme="minorEastAsia" w:hAnsiTheme="minorEastAsia" w:eastAsiaTheme="minorEastAsia" w:cstheme="minorEastAsia"/>
          <w:b w:val="0"/>
          <w:bCs/>
          <w:sz w:val="28"/>
          <w:szCs w:val="28"/>
        </w:rPr>
        <w:instrText xml:space="preserve"> PAGEREF _Toc29333 \h </w:instrText>
      </w:r>
      <w:r>
        <w:rPr>
          <w:rFonts w:hint="eastAsia" w:asciiTheme="minorEastAsia" w:hAnsiTheme="minorEastAsia" w:eastAsiaTheme="minorEastAsia" w:cstheme="minorEastAsia"/>
          <w:b w:val="0"/>
          <w:bCs/>
          <w:sz w:val="28"/>
          <w:szCs w:val="28"/>
        </w:rPr>
        <w:fldChar w:fldCharType="separate"/>
      </w:r>
      <w:r>
        <w:rPr>
          <w:rFonts w:hint="eastAsia" w:asciiTheme="minorEastAsia" w:hAnsiTheme="minorEastAsia" w:eastAsiaTheme="minorEastAsia" w:cstheme="minorEastAsia"/>
          <w:b w:val="0"/>
          <w:bCs/>
          <w:sz w:val="28"/>
          <w:szCs w:val="28"/>
        </w:rPr>
        <w:t>98</w:t>
      </w:r>
      <w:r>
        <w:rPr>
          <w:rFonts w:hint="eastAsia" w:asciiTheme="minorEastAsia" w:hAnsiTheme="minorEastAsia" w:eastAsiaTheme="minorEastAsia" w:cstheme="minorEastAsia"/>
          <w:b w:val="0"/>
          <w:bCs/>
          <w:sz w:val="28"/>
          <w:szCs w:val="28"/>
        </w:rPr>
        <w:fldChar w:fldCharType="end"/>
      </w:r>
      <w:r>
        <w:rPr>
          <w:rFonts w:hint="eastAsia" w:asciiTheme="minorEastAsia" w:hAnsiTheme="minorEastAsia" w:eastAsiaTheme="minorEastAsia" w:cstheme="minorEastAsia"/>
          <w:b w:val="0"/>
          <w:bCs/>
          <w:color w:val="auto"/>
          <w:sz w:val="28"/>
          <w:szCs w:val="28"/>
          <w:highlight w:val="none"/>
        </w:rPr>
        <w:fldChar w:fldCharType="end"/>
      </w:r>
    </w:p>
    <w:p>
      <w:pPr>
        <w:pStyle w:val="6"/>
        <w:spacing w:line="480" w:lineRule="exact"/>
        <w:jc w:val="both"/>
        <w:rPr>
          <w:rFonts w:ascii="仿宋" w:hAnsi="仿宋" w:eastAsia="仿宋"/>
          <w:bCs/>
          <w:color w:val="auto"/>
          <w:szCs w:val="28"/>
          <w:highlight w:val="none"/>
        </w:rPr>
      </w:pPr>
      <w:r>
        <w:rPr>
          <w:rFonts w:hint="eastAsia" w:asciiTheme="minorEastAsia" w:hAnsiTheme="minorEastAsia" w:eastAsiaTheme="minorEastAsia" w:cstheme="minorEastAsia"/>
          <w:b w:val="0"/>
          <w:bCs w:val="0"/>
          <w:color w:val="auto"/>
          <w:sz w:val="28"/>
          <w:szCs w:val="28"/>
          <w:highlight w:val="none"/>
        </w:rPr>
        <w:fldChar w:fldCharType="end"/>
      </w:r>
    </w:p>
    <w:p>
      <w:pPr>
        <w:spacing w:line="360" w:lineRule="auto"/>
        <w:jc w:val="center"/>
        <w:outlineLvl w:val="0"/>
        <w:rPr>
          <w:color w:val="auto"/>
          <w:highlight w:val="none"/>
        </w:rPr>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bookmarkStart w:id="3" w:name="_Toc21468"/>
      <w:bookmarkStart w:id="4" w:name="_Toc27894"/>
      <w:bookmarkStart w:id="5" w:name="_Toc4722"/>
      <w:bookmarkStart w:id="6" w:name="_Toc77523175"/>
      <w:bookmarkStart w:id="7" w:name="_Toc51746093"/>
    </w:p>
    <w:p>
      <w:pPr>
        <w:spacing w:line="360" w:lineRule="auto"/>
        <w:jc w:val="center"/>
        <w:outlineLvl w:val="0"/>
        <w:rPr>
          <w:b/>
          <w:bCs/>
          <w:color w:val="auto"/>
          <w:sz w:val="32"/>
          <w:highlight w:val="none"/>
        </w:rPr>
      </w:pPr>
      <w:bookmarkStart w:id="8" w:name="_Toc27516"/>
      <w:bookmarkStart w:id="9" w:name="_Toc3196"/>
      <w:bookmarkStart w:id="10" w:name="_Toc5777"/>
      <w:bookmarkStart w:id="11" w:name="_Toc24771"/>
      <w:bookmarkStart w:id="12" w:name="_Toc8997"/>
      <w:r>
        <w:rPr>
          <w:rFonts w:hint="eastAsia"/>
          <w:b/>
          <w:bCs/>
          <w:color w:val="auto"/>
          <w:sz w:val="32"/>
          <w:highlight w:val="none"/>
        </w:rPr>
        <w:t>第一章 招标邀请书</w:t>
      </w:r>
      <w:bookmarkEnd w:id="3"/>
      <w:bookmarkEnd w:id="4"/>
      <w:bookmarkEnd w:id="5"/>
      <w:bookmarkEnd w:id="6"/>
      <w:bookmarkEnd w:id="7"/>
      <w:bookmarkEnd w:id="8"/>
      <w:bookmarkEnd w:id="9"/>
      <w:bookmarkEnd w:id="10"/>
      <w:bookmarkEnd w:id="11"/>
      <w:bookmarkEnd w:id="12"/>
    </w:p>
    <w:p>
      <w:pPr>
        <w:ind w:firstLine="420" w:firstLineChars="200"/>
        <w:rPr>
          <w:color w:val="auto"/>
          <w:szCs w:val="21"/>
          <w:highlight w:val="none"/>
        </w:rPr>
      </w:pPr>
      <w:r>
        <w:rPr>
          <w:rFonts w:hint="eastAsia"/>
          <w:color w:val="auto"/>
          <w:szCs w:val="21"/>
          <w:highlight w:val="none"/>
        </w:rPr>
        <w:t>深圳市前海深港现代服务业合作区管理局就</w:t>
      </w:r>
      <w:r>
        <w:rPr>
          <w:rFonts w:hint="eastAsia"/>
          <w:color w:val="auto"/>
          <w:highlight w:val="none"/>
          <w:u w:val="single"/>
          <w:lang w:eastAsia="zh-CN"/>
        </w:rPr>
        <w:t>智慧前海视频云平台二期项目监理服务</w:t>
      </w:r>
      <w:r>
        <w:rPr>
          <w:rFonts w:hint="eastAsia"/>
          <w:color w:val="auto"/>
          <w:szCs w:val="21"/>
          <w:highlight w:val="none"/>
        </w:rPr>
        <w:t>采用公开征集供应商简易招标方式，欢迎符合投标人资格要求的专业供应商积极参加投标。</w:t>
      </w:r>
    </w:p>
    <w:p>
      <w:pPr>
        <w:ind w:firstLine="420" w:firstLineChars="200"/>
        <w:rPr>
          <w:color w:val="auto"/>
          <w:szCs w:val="21"/>
          <w:highlight w:val="none"/>
        </w:rPr>
      </w:pPr>
    </w:p>
    <w:tbl>
      <w:tblPr>
        <w:tblStyle w:val="19"/>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165"/>
      </w:tblGrid>
      <w:tr>
        <w:trPr>
          <w:cantSplit/>
          <w:trHeight w:val="20" w:hRule="atLeast"/>
        </w:trPr>
        <w:tc>
          <w:tcPr>
            <w:tcW w:w="1668" w:type="dxa"/>
          </w:tcPr>
          <w:p>
            <w:pPr>
              <w:keepNext w:val="0"/>
              <w:keepLines w:val="0"/>
              <w:suppressLineNumbers w:val="0"/>
              <w:spacing w:before="0" w:beforeAutospacing="0" w:after="60" w:afterAutospacing="0" w:line="360" w:lineRule="auto"/>
              <w:ind w:left="0" w:right="0"/>
              <w:rPr>
                <w:rFonts w:hint="default"/>
                <w:color w:val="auto"/>
                <w:szCs w:val="21"/>
                <w:highlight w:val="none"/>
              </w:rPr>
            </w:pPr>
            <w:r>
              <w:rPr>
                <w:rFonts w:hint="eastAsia"/>
                <w:color w:val="auto"/>
                <w:szCs w:val="21"/>
                <w:highlight w:val="none"/>
              </w:rPr>
              <w:t>招标文件编号</w:t>
            </w:r>
          </w:p>
        </w:tc>
        <w:tc>
          <w:tcPr>
            <w:tcW w:w="7165" w:type="dxa"/>
          </w:tcPr>
          <w:p>
            <w:pPr>
              <w:keepNext w:val="0"/>
              <w:keepLines w:val="0"/>
              <w:suppressLineNumbers w:val="0"/>
              <w:spacing w:before="0" w:beforeAutospacing="0" w:after="0" w:afterAutospacing="0" w:line="360" w:lineRule="auto"/>
              <w:ind w:left="0" w:right="0"/>
              <w:rPr>
                <w:rFonts w:hint="default" w:eastAsia="宋体"/>
                <w:color w:val="auto"/>
                <w:szCs w:val="21"/>
                <w:highlight w:val="none"/>
                <w:lang w:val="en-US" w:eastAsia="zh-CN"/>
              </w:rPr>
            </w:pPr>
            <w:r>
              <w:rPr>
                <w:rFonts w:hint="eastAsia"/>
                <w:color w:val="auto"/>
                <w:szCs w:val="21"/>
                <w:highlight w:val="none"/>
              </w:rPr>
              <w:t>QH202</w:t>
            </w:r>
            <w:r>
              <w:rPr>
                <w:rFonts w:hint="eastAsia"/>
                <w:color w:val="auto"/>
                <w:szCs w:val="21"/>
                <w:highlight w:val="none"/>
                <w:lang w:val="en-US" w:eastAsia="zh-CN"/>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trPr>
        <w:tc>
          <w:tcPr>
            <w:tcW w:w="1668" w:type="dxa"/>
          </w:tcPr>
          <w:p>
            <w:pPr>
              <w:keepNext w:val="0"/>
              <w:keepLines w:val="0"/>
              <w:suppressLineNumbers w:val="0"/>
              <w:spacing w:before="0" w:beforeAutospacing="0" w:after="60" w:afterAutospacing="0" w:line="360" w:lineRule="auto"/>
              <w:ind w:left="0" w:right="0"/>
              <w:rPr>
                <w:rFonts w:hint="default"/>
                <w:color w:val="auto"/>
                <w:szCs w:val="21"/>
                <w:highlight w:val="none"/>
              </w:rPr>
            </w:pPr>
            <w:r>
              <w:rPr>
                <w:rFonts w:hint="eastAsia"/>
                <w:color w:val="auto"/>
                <w:szCs w:val="21"/>
                <w:highlight w:val="none"/>
              </w:rPr>
              <w:t>招标项目名称</w:t>
            </w:r>
          </w:p>
        </w:tc>
        <w:tc>
          <w:tcPr>
            <w:tcW w:w="7165" w:type="dxa"/>
          </w:tcPr>
          <w:p>
            <w:pPr>
              <w:keepNext w:val="0"/>
              <w:keepLines w:val="0"/>
              <w:suppressLineNumbers w:val="0"/>
              <w:spacing w:before="0" w:beforeAutospacing="0" w:after="0" w:afterAutospacing="0" w:line="360" w:lineRule="auto"/>
              <w:ind w:left="0" w:right="0"/>
              <w:rPr>
                <w:rFonts w:hint="default"/>
                <w:color w:val="auto"/>
                <w:szCs w:val="21"/>
                <w:highlight w:val="none"/>
              </w:rPr>
            </w:pPr>
            <w:r>
              <w:rPr>
                <w:rFonts w:hint="eastAsia"/>
                <w:color w:val="auto"/>
                <w:highlight w:val="none"/>
                <w:lang w:eastAsia="zh-CN"/>
              </w:rPr>
              <w:t>智慧前海视频云平台二期项目监理服务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trPr>
        <w:tc>
          <w:tcPr>
            <w:tcW w:w="1668" w:type="dxa"/>
          </w:tcPr>
          <w:p>
            <w:pPr>
              <w:keepNext w:val="0"/>
              <w:keepLines w:val="0"/>
              <w:suppressLineNumbers w:val="0"/>
              <w:spacing w:before="0" w:beforeAutospacing="0" w:after="60" w:afterAutospacing="0" w:line="360" w:lineRule="auto"/>
              <w:ind w:left="0" w:right="0"/>
              <w:rPr>
                <w:rFonts w:hint="default"/>
                <w:color w:val="auto"/>
                <w:szCs w:val="21"/>
                <w:highlight w:val="none"/>
              </w:rPr>
            </w:pPr>
            <w:r>
              <w:rPr>
                <w:rFonts w:hint="eastAsia"/>
                <w:color w:val="auto"/>
                <w:szCs w:val="21"/>
                <w:highlight w:val="none"/>
              </w:rPr>
              <w:t>标的内容</w:t>
            </w:r>
          </w:p>
        </w:tc>
        <w:tc>
          <w:tcPr>
            <w:tcW w:w="7165" w:type="dxa"/>
          </w:tcPr>
          <w:p>
            <w:pPr>
              <w:keepNext w:val="0"/>
              <w:keepLines w:val="0"/>
              <w:suppressLineNumbers w:val="0"/>
              <w:spacing w:before="0" w:beforeAutospacing="0" w:after="0" w:afterAutospacing="0" w:line="360" w:lineRule="auto"/>
              <w:ind w:left="0" w:right="0"/>
              <w:rPr>
                <w:rFonts w:hint="eastAsia" w:eastAsia="宋体"/>
                <w:color w:val="auto"/>
                <w:szCs w:val="21"/>
                <w:highlight w:val="none"/>
                <w:lang w:val="en-US" w:eastAsia="zh-CN"/>
              </w:rPr>
            </w:pPr>
            <w:r>
              <w:rPr>
                <w:rFonts w:hint="eastAsia"/>
                <w:color w:val="auto"/>
                <w:szCs w:val="21"/>
                <w:highlight w:val="none"/>
              </w:rPr>
              <w:t>详见</w:t>
            </w:r>
            <w:r>
              <w:rPr>
                <w:rFonts w:hint="eastAsia"/>
                <w:color w:val="auto"/>
                <w:szCs w:val="21"/>
                <w:highlight w:val="none"/>
                <w:lang w:eastAsia="zh-CN"/>
              </w:rPr>
              <w:t>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trPr>
        <w:tc>
          <w:tcPr>
            <w:tcW w:w="1668" w:type="dxa"/>
          </w:tcPr>
          <w:p>
            <w:pPr>
              <w:keepNext w:val="0"/>
              <w:keepLines w:val="0"/>
              <w:suppressLineNumbers w:val="0"/>
              <w:spacing w:before="0" w:beforeAutospacing="0" w:after="60" w:afterAutospacing="0" w:line="360" w:lineRule="auto"/>
              <w:ind w:left="0" w:right="0"/>
              <w:rPr>
                <w:rFonts w:hint="default"/>
                <w:color w:val="auto"/>
                <w:szCs w:val="21"/>
                <w:highlight w:val="none"/>
              </w:rPr>
            </w:pPr>
            <w:r>
              <w:rPr>
                <w:rFonts w:hint="eastAsia"/>
                <w:color w:val="auto"/>
                <w:szCs w:val="21"/>
                <w:highlight w:val="none"/>
              </w:rPr>
              <w:t>预算金额</w:t>
            </w:r>
          </w:p>
        </w:tc>
        <w:tc>
          <w:tcPr>
            <w:tcW w:w="7165" w:type="dxa"/>
          </w:tcPr>
          <w:p>
            <w:pPr>
              <w:keepNext w:val="0"/>
              <w:keepLines w:val="0"/>
              <w:suppressLineNumbers w:val="0"/>
              <w:spacing w:before="0" w:beforeAutospacing="0" w:after="0" w:afterAutospacing="0" w:line="360" w:lineRule="auto"/>
              <w:ind w:left="0" w:right="0"/>
              <w:rPr>
                <w:rFonts w:hint="default"/>
                <w:color w:val="auto"/>
                <w:szCs w:val="21"/>
                <w:highlight w:val="none"/>
              </w:rPr>
            </w:pPr>
            <w:r>
              <w:rPr>
                <w:rFonts w:hint="eastAsia"/>
                <w:color w:val="auto"/>
                <w:szCs w:val="21"/>
                <w:highlight w:val="none"/>
              </w:rPr>
              <w:t>总预算为</w:t>
            </w:r>
            <w:r>
              <w:rPr>
                <w:rFonts w:hint="eastAsia"/>
                <w:color w:val="auto"/>
                <w:szCs w:val="21"/>
                <w:highlight w:val="none"/>
                <w:lang w:val="en-US" w:eastAsia="zh-CN"/>
              </w:rPr>
              <w:t>23.37</w:t>
            </w:r>
            <w:r>
              <w:rPr>
                <w:rFonts w:hint="eastAsia"/>
                <w:color w:val="auto"/>
                <w:szCs w:val="21"/>
                <w:highlight w:val="none"/>
              </w:rPr>
              <w:t>万元，产生1家中标供应商；投标人报价不能超过</w:t>
            </w:r>
            <w:r>
              <w:rPr>
                <w:rFonts w:hint="eastAsia"/>
                <w:color w:val="auto"/>
                <w:szCs w:val="21"/>
                <w:highlight w:val="none"/>
                <w:lang w:val="en-US" w:eastAsia="zh-CN"/>
              </w:rPr>
              <w:t>23.37</w:t>
            </w:r>
            <w:r>
              <w:rPr>
                <w:rFonts w:hint="eastAsia"/>
                <w:color w:val="auto"/>
                <w:szCs w:val="21"/>
                <w:highlight w:val="none"/>
              </w:rPr>
              <w:t>万元，否则投标无效。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trPr>
        <w:tc>
          <w:tcPr>
            <w:tcW w:w="1668" w:type="dxa"/>
          </w:tcPr>
          <w:p>
            <w:pPr>
              <w:keepNext w:val="0"/>
              <w:keepLines w:val="0"/>
              <w:suppressLineNumbers w:val="0"/>
              <w:spacing w:before="0" w:beforeAutospacing="0" w:after="60" w:afterAutospacing="0" w:line="360" w:lineRule="auto"/>
              <w:ind w:left="0" w:right="0"/>
              <w:rPr>
                <w:rFonts w:hint="default"/>
                <w:color w:val="auto"/>
                <w:szCs w:val="21"/>
                <w:highlight w:val="none"/>
              </w:rPr>
            </w:pPr>
            <w:r>
              <w:rPr>
                <w:rFonts w:hint="eastAsia"/>
                <w:color w:val="auto"/>
                <w:szCs w:val="21"/>
                <w:highlight w:val="none"/>
              </w:rPr>
              <w:t>评标方法</w:t>
            </w:r>
          </w:p>
        </w:tc>
        <w:tc>
          <w:tcPr>
            <w:tcW w:w="7165" w:type="dxa"/>
          </w:tcPr>
          <w:p>
            <w:pPr>
              <w:keepNext w:val="0"/>
              <w:keepLines w:val="0"/>
              <w:suppressLineNumbers w:val="0"/>
              <w:spacing w:before="0" w:beforeAutospacing="0" w:after="0" w:afterAutospacing="0" w:line="360" w:lineRule="auto"/>
              <w:ind w:left="0" w:right="0"/>
              <w:rPr>
                <w:rFonts w:hint="default"/>
                <w:color w:val="auto"/>
                <w:szCs w:val="21"/>
                <w:highlight w:val="none"/>
              </w:rPr>
            </w:pPr>
            <w:r>
              <w:rPr>
                <w:rFonts w:hint="eastAsia"/>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trPr>
        <w:tc>
          <w:tcPr>
            <w:tcW w:w="1668" w:type="dxa"/>
          </w:tcPr>
          <w:p>
            <w:pPr>
              <w:keepNext w:val="0"/>
              <w:keepLines w:val="0"/>
              <w:suppressLineNumbers w:val="0"/>
              <w:spacing w:before="0" w:beforeAutospacing="0" w:after="60" w:afterAutospacing="0" w:line="360" w:lineRule="auto"/>
              <w:ind w:left="0" w:right="0"/>
              <w:rPr>
                <w:rFonts w:hint="default" w:ascii="宋体" w:hAnsi="宋体"/>
                <w:color w:val="auto"/>
                <w:kern w:val="0"/>
                <w:szCs w:val="21"/>
                <w:highlight w:val="none"/>
              </w:rPr>
            </w:pPr>
            <w:r>
              <w:rPr>
                <w:rFonts w:hint="eastAsia" w:ascii="宋体" w:hAnsi="宋体"/>
                <w:color w:val="auto"/>
                <w:kern w:val="0"/>
                <w:szCs w:val="21"/>
                <w:highlight w:val="none"/>
              </w:rPr>
              <w:t>标书获得办法</w:t>
            </w:r>
          </w:p>
        </w:tc>
        <w:tc>
          <w:tcPr>
            <w:tcW w:w="7165" w:type="dxa"/>
          </w:tcPr>
          <w:p>
            <w:pPr>
              <w:keepNext w:val="0"/>
              <w:keepLines w:val="0"/>
              <w:suppressLineNumbers w:val="0"/>
              <w:spacing w:before="0" w:beforeAutospacing="0" w:after="0" w:afterAutospacing="0" w:line="360" w:lineRule="auto"/>
              <w:ind w:left="0" w:right="0"/>
              <w:rPr>
                <w:rFonts w:hint="default" w:ascii="宋体" w:hAnsi="宋体"/>
                <w:color w:val="auto"/>
                <w:kern w:val="0"/>
                <w:szCs w:val="21"/>
                <w:highlight w:val="none"/>
              </w:rPr>
            </w:pPr>
            <w:r>
              <w:rPr>
                <w:rFonts w:hint="eastAsia" w:ascii="宋体" w:hAnsi="宋体"/>
                <w:color w:val="auto"/>
                <w:kern w:val="0"/>
                <w:szCs w:val="21"/>
                <w:highlight w:val="none"/>
              </w:rPr>
              <w:t>招标文件为电子版，投标人</w:t>
            </w:r>
            <w:r>
              <w:rPr>
                <w:rFonts w:hint="default" w:ascii="宋体" w:hAnsi="宋体"/>
                <w:color w:val="auto"/>
                <w:kern w:val="0"/>
                <w:szCs w:val="21"/>
                <w:highlight w:val="none"/>
              </w:rPr>
              <w:t>可在前海</w:t>
            </w:r>
            <w:r>
              <w:rPr>
                <w:rFonts w:hint="eastAsia" w:ascii="宋体" w:hAnsi="宋体"/>
                <w:color w:val="auto"/>
                <w:kern w:val="0"/>
                <w:szCs w:val="21"/>
                <w:highlight w:val="none"/>
              </w:rPr>
              <w:t>管理局</w:t>
            </w:r>
            <w:r>
              <w:rPr>
                <w:rFonts w:hint="default" w:ascii="宋体" w:hAnsi="宋体"/>
                <w:color w:val="auto"/>
                <w:kern w:val="0"/>
                <w:szCs w:val="21"/>
                <w:highlight w:val="none"/>
              </w:rPr>
              <w:t>官网（</w:t>
            </w:r>
            <w:r>
              <w:rPr>
                <w:rFonts w:hint="eastAsia" w:ascii="宋体" w:hAnsi="宋体"/>
                <w:color w:val="auto"/>
                <w:kern w:val="0"/>
                <w:szCs w:val="21"/>
                <w:highlight w:val="none"/>
              </w:rPr>
              <w:t>信息</w:t>
            </w:r>
            <w:r>
              <w:rPr>
                <w:rFonts w:hint="default" w:ascii="宋体" w:hAnsi="宋体"/>
                <w:color w:val="auto"/>
                <w:kern w:val="0"/>
                <w:szCs w:val="21"/>
                <w:highlight w:val="none"/>
              </w:rPr>
              <w:t>公开-招标公告栏目）</w:t>
            </w:r>
            <w:r>
              <w:rPr>
                <w:rFonts w:hint="eastAsia" w:ascii="宋体" w:hAnsi="宋体"/>
                <w:color w:val="auto"/>
                <w:kern w:val="0"/>
                <w:szCs w:val="21"/>
                <w:highlight w:val="none"/>
              </w:rPr>
              <w:t>(</w:t>
            </w:r>
            <w:r>
              <w:rPr>
                <w:rFonts w:hint="default" w:ascii="宋体" w:hAnsi="宋体"/>
                <w:color w:val="auto"/>
                <w:szCs w:val="21"/>
                <w:highlight w:val="none"/>
              </w:rPr>
              <w:t>http://qh.sz.gov.cn/</w:t>
            </w:r>
            <w:r>
              <w:rPr>
                <w:rFonts w:hint="eastAsia" w:ascii="宋体" w:hAnsi="宋体"/>
                <w:color w:val="auto"/>
                <w:kern w:val="0"/>
                <w:szCs w:val="21"/>
                <w:highlight w:val="none"/>
              </w:rPr>
              <w:t>)免费下载</w:t>
            </w:r>
            <w:r>
              <w:rPr>
                <w:rFonts w:hint="default" w:ascii="宋体" w:hAnsi="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48" w:hRule="atLeast"/>
        </w:trPr>
        <w:tc>
          <w:tcPr>
            <w:tcW w:w="1668" w:type="dxa"/>
          </w:tcPr>
          <w:p>
            <w:pPr>
              <w:keepNext w:val="0"/>
              <w:keepLines w:val="0"/>
              <w:suppressLineNumbers w:val="0"/>
              <w:spacing w:before="0" w:beforeAutospacing="0" w:after="60" w:afterAutospacing="0" w:line="360" w:lineRule="auto"/>
              <w:ind w:left="0" w:right="0"/>
              <w:rPr>
                <w:rFonts w:hint="default" w:ascii="宋体" w:hAnsi="宋体"/>
                <w:color w:val="auto"/>
                <w:kern w:val="0"/>
                <w:szCs w:val="21"/>
                <w:highlight w:val="none"/>
              </w:rPr>
            </w:pPr>
            <w:r>
              <w:rPr>
                <w:rFonts w:hint="eastAsia" w:ascii="宋体" w:hAnsi="宋体"/>
                <w:color w:val="auto"/>
                <w:kern w:val="0"/>
                <w:szCs w:val="21"/>
                <w:highlight w:val="none"/>
              </w:rPr>
              <w:t>投标方式</w:t>
            </w:r>
          </w:p>
        </w:tc>
        <w:tc>
          <w:tcPr>
            <w:tcW w:w="7165" w:type="dxa"/>
            <w:vAlign w:val="center"/>
          </w:tcPr>
          <w:p>
            <w:pPr>
              <w:keepNext w:val="0"/>
              <w:keepLines w:val="0"/>
              <w:suppressLineNumbers w:val="0"/>
              <w:adjustRightInd w:val="0"/>
              <w:snapToGrid w:val="0"/>
              <w:spacing w:before="0" w:beforeAutospacing="0" w:after="0" w:afterAutospacing="0" w:line="360" w:lineRule="auto"/>
              <w:ind w:left="0" w:right="0"/>
              <w:rPr>
                <w:rFonts w:hint="eastAsia"/>
                <w:color w:val="auto"/>
                <w:highlight w:val="none"/>
              </w:rPr>
            </w:pPr>
            <w:r>
              <w:rPr>
                <w:rFonts w:hint="eastAsia"/>
                <w:color w:val="auto"/>
                <w:highlight w:val="none"/>
              </w:rPr>
              <w:t>将投标文件（一式五份</w:t>
            </w:r>
            <w:r>
              <w:rPr>
                <w:rFonts w:hint="eastAsia"/>
                <w:color w:val="auto"/>
                <w:highlight w:val="none"/>
                <w:lang w:eastAsia="zh-CN"/>
              </w:rPr>
              <w:t>，</w:t>
            </w:r>
            <w:r>
              <w:rPr>
                <w:rFonts w:hint="eastAsia" w:eastAsia="宋体"/>
                <w:color w:val="auto"/>
                <w:highlight w:val="none"/>
              </w:rPr>
              <w:t>附电子版</w:t>
            </w:r>
            <w:r>
              <w:rPr>
                <w:rFonts w:hint="eastAsia" w:eastAsia="宋体"/>
                <w:color w:val="auto"/>
                <w:highlight w:val="none"/>
                <w:lang w:eastAsia="zh-CN"/>
              </w:rPr>
              <w:t>。</w:t>
            </w:r>
            <w:r>
              <w:rPr>
                <w:rFonts w:hint="eastAsia" w:eastAsia="宋体"/>
                <w:color w:val="auto"/>
                <w:highlight w:val="none"/>
              </w:rPr>
              <w:t>电子版是以光盘、U盘或硬盘等移动存储介质提交的加盖公章的PDF电子投标文件</w:t>
            </w:r>
            <w:r>
              <w:rPr>
                <w:rFonts w:hint="eastAsia" w:eastAsia="宋体"/>
                <w:color w:val="auto"/>
                <w:highlight w:val="none"/>
                <w:lang w:eastAsia="zh-CN"/>
              </w:rPr>
              <w:t>。</w:t>
            </w:r>
            <w:r>
              <w:rPr>
                <w:rFonts w:hint="eastAsia"/>
                <w:color w:val="auto"/>
                <w:highlight w:val="none"/>
              </w:rPr>
              <w:t>）密封并在20</w:t>
            </w:r>
            <w:r>
              <w:rPr>
                <w:rFonts w:hint="default"/>
                <w:color w:val="auto"/>
                <w:highlight w:val="none"/>
              </w:rPr>
              <w:t>2</w:t>
            </w:r>
            <w:r>
              <w:rPr>
                <w:rFonts w:hint="eastAsia"/>
                <w:color w:val="auto"/>
                <w:highlight w:val="none"/>
                <w:lang w:val="en-US" w:eastAsia="zh-CN"/>
              </w:rPr>
              <w:t>2</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r>
              <w:rPr>
                <w:rFonts w:hint="eastAsia"/>
                <w:color w:val="auto"/>
                <w:highlight w:val="none"/>
                <w:lang w:val="en-US" w:eastAsia="zh-CN"/>
              </w:rPr>
              <w:t>14</w:t>
            </w:r>
            <w:r>
              <w:rPr>
                <w:rFonts w:hint="eastAsia"/>
                <w:color w:val="auto"/>
                <w:highlight w:val="none"/>
              </w:rPr>
              <w:t>时</w:t>
            </w:r>
            <w:r>
              <w:rPr>
                <w:rFonts w:hint="eastAsia"/>
                <w:color w:val="auto"/>
                <w:highlight w:val="none"/>
                <w:lang w:val="en-US" w:eastAsia="zh-CN"/>
              </w:rPr>
              <w:t>30</w:t>
            </w:r>
            <w:r>
              <w:rPr>
                <w:rFonts w:hint="eastAsia"/>
                <w:color w:val="auto"/>
                <w:highlight w:val="none"/>
              </w:rPr>
              <w:t>分前送达（现场递交）至深圳市前海合作区桂湾五路123号前海大厦T1栋</w:t>
            </w:r>
            <w:r>
              <w:rPr>
                <w:rFonts w:hint="eastAsia"/>
                <w:color w:val="auto"/>
                <w:highlight w:val="none"/>
                <w:lang w:val="en-US" w:eastAsia="zh-CN"/>
              </w:rPr>
              <w:t>2319</w:t>
            </w:r>
          </w:p>
          <w:p>
            <w:pPr>
              <w:keepNext w:val="0"/>
              <w:keepLines w:val="0"/>
              <w:suppressLineNumbers w:val="0"/>
              <w:adjustRightInd w:val="0"/>
              <w:snapToGrid w:val="0"/>
              <w:spacing w:before="0" w:beforeAutospacing="0" w:after="0" w:afterAutospacing="0" w:line="360" w:lineRule="auto"/>
              <w:ind w:left="0" w:right="0"/>
              <w:rPr>
                <w:rFonts w:hint="default"/>
                <w:color w:val="auto"/>
                <w:highlight w:val="none"/>
              </w:rPr>
            </w:pPr>
            <w:r>
              <w:rPr>
                <w:rFonts w:hint="eastAsia"/>
                <w:color w:val="auto"/>
                <w:highlight w:val="none"/>
                <w:lang w:eastAsia="zh-CN"/>
              </w:rPr>
              <w:t>（现场递交文件需提供</w:t>
            </w:r>
            <w:r>
              <w:rPr>
                <w:rFonts w:hint="eastAsia"/>
                <w:color w:val="auto"/>
                <w:highlight w:val="none"/>
                <w:lang w:val="en-US" w:eastAsia="zh-CN"/>
              </w:rPr>
              <w:t>24小时核酸证明</w:t>
            </w:r>
            <w:r>
              <w:rPr>
                <w:rFonts w:hint="eastAsia"/>
                <w:color w:val="auto"/>
                <w:highlight w:val="none"/>
                <w:lang w:eastAsia="zh-CN"/>
              </w:rPr>
              <w:t>）</w:t>
            </w:r>
            <w:r>
              <w:rPr>
                <w:rFonts w:hint="eastAsia"/>
                <w:color w:val="auto"/>
                <w:highlight w:val="none"/>
              </w:rPr>
              <w:t xml:space="preserve"> </w:t>
            </w:r>
          </w:p>
          <w:p>
            <w:pPr>
              <w:keepNext w:val="0"/>
              <w:keepLines w:val="0"/>
              <w:suppressLineNumbers w:val="0"/>
              <w:adjustRightInd w:val="0"/>
              <w:snapToGrid w:val="0"/>
              <w:spacing w:before="0" w:beforeAutospacing="0" w:after="0" w:afterAutospacing="0" w:line="360" w:lineRule="auto"/>
              <w:ind w:left="0" w:right="0"/>
              <w:rPr>
                <w:rFonts w:hint="default"/>
                <w:color w:val="auto"/>
                <w:highlight w:val="none"/>
                <w:lang w:val="en-US"/>
              </w:rPr>
            </w:pPr>
            <w:r>
              <w:rPr>
                <w:rFonts w:hint="eastAsia"/>
                <w:color w:val="auto"/>
                <w:highlight w:val="none"/>
              </w:rPr>
              <w:t>联系人：</w:t>
            </w:r>
            <w:r>
              <w:rPr>
                <w:rFonts w:hint="eastAsia"/>
                <w:color w:val="auto"/>
                <w:highlight w:val="none"/>
                <w:lang w:val="en-US" w:eastAsia="zh-CN"/>
              </w:rPr>
              <w:t>吴</w:t>
            </w:r>
            <w:r>
              <w:rPr>
                <w:rFonts w:hint="eastAsia"/>
                <w:color w:val="auto"/>
                <w:highlight w:val="none"/>
              </w:rPr>
              <w:t>先生</w:t>
            </w:r>
            <w:r>
              <w:rPr>
                <w:rFonts w:hint="eastAsia"/>
                <w:color w:val="auto"/>
                <w:highlight w:val="none"/>
                <w:lang w:val="en-US" w:eastAsia="zh-CN"/>
              </w:rPr>
              <w:t xml:space="preserve">  联系方式：0755-8810 5332</w:t>
            </w:r>
          </w:p>
          <w:p>
            <w:pPr>
              <w:pStyle w:val="2"/>
              <w:keepNext w:val="0"/>
              <w:keepLines w:val="0"/>
              <w:suppressLineNumbers w:val="0"/>
              <w:spacing w:before="0" w:beforeAutospacing="0" w:afterAutospacing="0"/>
              <w:ind w:left="0" w:right="0"/>
              <w:rPr>
                <w:rFonts w:hint="default"/>
                <w:color w:val="auto"/>
                <w:highlight w:val="none"/>
                <w:lang w:val="en-US" w:eastAsia="zh-CN"/>
              </w:rPr>
            </w:pPr>
            <w:r>
              <w:rPr>
                <w:rFonts w:hint="eastAsia" w:ascii="Times New Roman" w:hAnsi="Times New Roman" w:eastAsia="宋体"/>
                <w:color w:val="auto"/>
                <w:kern w:val="2"/>
                <w:szCs w:val="24"/>
                <w:highlight w:val="none"/>
              </w:rPr>
              <w:t>如需现场谈判，投标人需在评标半小时内到达评标现场。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68" w:hRule="atLeast"/>
        </w:trPr>
        <w:tc>
          <w:tcPr>
            <w:tcW w:w="1668" w:type="dxa"/>
          </w:tcPr>
          <w:p>
            <w:pPr>
              <w:keepNext w:val="0"/>
              <w:keepLines w:val="0"/>
              <w:suppressLineNumbers w:val="0"/>
              <w:spacing w:before="0" w:beforeAutospacing="0" w:after="60" w:afterAutospacing="0" w:line="360" w:lineRule="auto"/>
              <w:ind w:left="0" w:right="0"/>
              <w:rPr>
                <w:rFonts w:hint="default" w:ascii="宋体" w:hAnsi="宋体"/>
                <w:color w:val="auto"/>
                <w:kern w:val="0"/>
                <w:szCs w:val="21"/>
                <w:highlight w:val="none"/>
              </w:rPr>
            </w:pPr>
            <w:r>
              <w:rPr>
                <w:rFonts w:hint="eastAsia" w:ascii="宋体" w:hAnsi="宋体"/>
                <w:color w:val="auto"/>
                <w:kern w:val="0"/>
                <w:szCs w:val="21"/>
                <w:highlight w:val="none"/>
              </w:rPr>
              <w:t>投标人资格要求</w:t>
            </w:r>
          </w:p>
        </w:tc>
        <w:tc>
          <w:tcPr>
            <w:tcW w:w="7165" w:type="dxa"/>
          </w:tcPr>
          <w:p>
            <w:pPr>
              <w:pStyle w:val="7"/>
              <w:keepNext w:val="0"/>
              <w:keepLines w:val="0"/>
              <w:suppressLineNumbers w:val="0"/>
              <w:tabs>
                <w:tab w:val="left" w:pos="426"/>
              </w:tabs>
              <w:spacing w:before="0" w:beforeAutospacing="0" w:after="0" w:afterAutospacing="0"/>
              <w:ind w:left="0" w:leftChars="0" w:right="0" w:firstLine="0" w:firstLineChars="0"/>
              <w:rPr>
                <w:rStyle w:val="22"/>
                <w:rFonts w:hint="eastAsia"/>
                <w:color w:val="auto"/>
                <w:highlight w:val="none"/>
              </w:rPr>
            </w:pPr>
            <w:r>
              <w:rPr>
                <w:rStyle w:val="22"/>
                <w:rFonts w:hint="eastAsia"/>
                <w:color w:val="auto"/>
                <w:highlight w:val="none"/>
              </w:rPr>
              <w:t>（1）在中华人民共和国境内注册的具有独立法人资格或具有独立承担民事责任的能力的其它组织（提供营业执照或事业单位法人证等法人证明复印件加盖投标人公章）；</w:t>
            </w:r>
          </w:p>
          <w:p>
            <w:pPr>
              <w:pStyle w:val="7"/>
              <w:keepNext w:val="0"/>
              <w:keepLines w:val="0"/>
              <w:suppressLineNumbers w:val="0"/>
              <w:tabs>
                <w:tab w:val="left" w:pos="426"/>
              </w:tabs>
              <w:spacing w:before="0" w:beforeAutospacing="0" w:after="0" w:afterAutospacing="0"/>
              <w:ind w:left="0" w:leftChars="0" w:right="0" w:firstLine="0" w:firstLineChars="0"/>
              <w:rPr>
                <w:rStyle w:val="22"/>
                <w:rFonts w:hint="eastAsia"/>
                <w:color w:val="auto"/>
                <w:highlight w:val="none"/>
              </w:rPr>
            </w:pPr>
            <w:r>
              <w:rPr>
                <w:rStyle w:val="22"/>
                <w:rFonts w:hint="eastAsia"/>
                <w:color w:val="auto"/>
                <w:highlight w:val="none"/>
              </w:rPr>
              <w:t>（2）参与政府采购项目投标的供应商近三年内无行贿犯罪记录（由投标人在《政府投标及履约承诺函》中作出声明）；</w:t>
            </w:r>
          </w:p>
          <w:p>
            <w:pPr>
              <w:pStyle w:val="7"/>
              <w:keepNext w:val="0"/>
              <w:keepLines w:val="0"/>
              <w:suppressLineNumbers w:val="0"/>
              <w:tabs>
                <w:tab w:val="left" w:pos="426"/>
              </w:tabs>
              <w:spacing w:before="0" w:beforeAutospacing="0" w:after="0" w:afterAutospacing="0"/>
              <w:ind w:left="0" w:leftChars="0" w:right="0" w:firstLine="0" w:firstLineChars="0"/>
              <w:rPr>
                <w:rStyle w:val="22"/>
                <w:rFonts w:hint="eastAsia"/>
                <w:color w:val="auto"/>
                <w:highlight w:val="none"/>
              </w:rPr>
            </w:pPr>
            <w:r>
              <w:rPr>
                <w:rStyle w:val="22"/>
                <w:rFonts w:hint="eastAsia"/>
                <w:color w:val="auto"/>
                <w:highlight w:val="none"/>
              </w:rPr>
              <w:t>（3）参与本项目投标前三年内，在经营活动中没有重大违法记录</w:t>
            </w:r>
            <w:r>
              <w:rPr>
                <w:rStyle w:val="22"/>
                <w:rFonts w:hint="default" w:ascii="宋体"/>
                <w:color w:val="auto"/>
                <w:highlight w:val="none"/>
              </w:rPr>
              <w:t>、</w:t>
            </w:r>
            <w:r>
              <w:rPr>
                <w:rStyle w:val="22"/>
                <w:rFonts w:hint="eastAsia"/>
                <w:color w:val="auto"/>
                <w:highlight w:val="none"/>
              </w:rPr>
              <w:t>不存在被有关部门禁止参与政府采购活动且在有效期内的情况（由投标人在《政府投标及履约承诺函》中作出声明）；</w:t>
            </w:r>
          </w:p>
          <w:p>
            <w:pPr>
              <w:pStyle w:val="7"/>
              <w:keepNext w:val="0"/>
              <w:keepLines w:val="0"/>
              <w:suppressLineNumbers w:val="0"/>
              <w:tabs>
                <w:tab w:val="left" w:pos="426"/>
              </w:tabs>
              <w:spacing w:before="0" w:beforeAutospacing="0" w:after="0" w:afterAutospacing="0"/>
              <w:ind w:left="0" w:leftChars="0" w:right="0" w:firstLine="0" w:firstLineChars="0"/>
              <w:rPr>
                <w:rStyle w:val="22"/>
                <w:rFonts w:hint="eastAsia"/>
                <w:color w:val="auto"/>
                <w:highlight w:val="none"/>
              </w:rPr>
            </w:pPr>
            <w:r>
              <w:rPr>
                <w:rStyle w:val="22"/>
                <w:rFonts w:hint="eastAsia"/>
                <w:color w:val="auto"/>
                <w:highlight w:val="none"/>
                <w:lang w:eastAsia="zh-CN"/>
              </w:rPr>
              <w:t>（</w:t>
            </w:r>
            <w:r>
              <w:rPr>
                <w:rStyle w:val="22"/>
                <w:rFonts w:hint="eastAsia"/>
                <w:color w:val="auto"/>
                <w:highlight w:val="none"/>
                <w:lang w:val="en-US" w:eastAsia="zh-CN"/>
              </w:rPr>
              <w:t>4</w:t>
            </w:r>
            <w:r>
              <w:rPr>
                <w:rStyle w:val="22"/>
                <w:rFonts w:hint="eastAsia"/>
                <w:color w:val="auto"/>
                <w:highlight w:val="none"/>
                <w:lang w:eastAsia="zh-CN"/>
              </w:rPr>
              <w:t>）</w:t>
            </w:r>
            <w:r>
              <w:rPr>
                <w:rStyle w:val="22"/>
                <w:rFonts w:hint="eastAsia"/>
                <w:color w:val="auto"/>
                <w:highlight w:val="none"/>
              </w:rPr>
              <w:t>本项目不接受联合体投标</w:t>
            </w:r>
            <w:r>
              <w:rPr>
                <w:rStyle w:val="22"/>
                <w:rFonts w:hint="eastAsia" w:eastAsia="宋体"/>
                <w:color w:val="auto"/>
                <w:highlight w:val="none"/>
                <w:lang w:eastAsia="zh-CN"/>
              </w:rPr>
              <w:t>，</w:t>
            </w:r>
            <w:r>
              <w:rPr>
                <w:rFonts w:hint="eastAsia" w:ascii="宋体" w:hAnsi="宋体" w:cs="宋体"/>
                <w:color w:val="auto"/>
                <w:kern w:val="0"/>
                <w:szCs w:val="24"/>
                <w:highlight w:val="none"/>
              </w:rPr>
              <w:t>不允许分包、转包</w:t>
            </w:r>
            <w:r>
              <w:rPr>
                <w:rStyle w:val="22"/>
                <w:rFonts w:hint="eastAsia"/>
                <w:color w:val="auto"/>
                <w:highlight w:val="none"/>
              </w:rPr>
              <w:t>。</w:t>
            </w:r>
          </w:p>
          <w:p>
            <w:pPr>
              <w:pStyle w:val="23"/>
              <w:keepNext w:val="0"/>
              <w:keepLines w:val="0"/>
              <w:suppressLineNumbers w:val="0"/>
              <w:spacing w:before="0" w:beforeAutospacing="0" w:after="0" w:afterAutospacing="0"/>
              <w:ind w:left="0" w:right="0"/>
              <w:rPr>
                <w:rFonts w:hint="default"/>
                <w:color w:val="auto"/>
                <w:highlight w:val="none"/>
              </w:rPr>
            </w:pPr>
            <w:r>
              <w:rPr>
                <w:rStyle w:val="22"/>
                <w:rFonts w:hint="eastAsia"/>
                <w:color w:val="auto"/>
                <w:highlight w:val="none"/>
              </w:rPr>
              <w:t>【注：采购将通过“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trPr>
        <w:tc>
          <w:tcPr>
            <w:tcW w:w="1668" w:type="dxa"/>
          </w:tcPr>
          <w:p>
            <w:pPr>
              <w:keepNext w:val="0"/>
              <w:keepLines w:val="0"/>
              <w:suppressLineNumbers w:val="0"/>
              <w:spacing w:before="0" w:beforeAutospacing="0" w:after="60" w:afterAutospacing="0" w:line="360" w:lineRule="auto"/>
              <w:ind w:left="0" w:right="0"/>
              <w:rPr>
                <w:rFonts w:hint="default" w:ascii="宋体" w:hAnsi="宋体"/>
                <w:color w:val="auto"/>
                <w:kern w:val="0"/>
                <w:szCs w:val="21"/>
                <w:highlight w:val="none"/>
              </w:rPr>
            </w:pPr>
            <w:r>
              <w:rPr>
                <w:rFonts w:hint="eastAsia"/>
                <w:color w:val="auto"/>
                <w:highlight w:val="none"/>
              </w:rPr>
              <w:t>投标报价要求</w:t>
            </w:r>
          </w:p>
        </w:tc>
        <w:tc>
          <w:tcPr>
            <w:tcW w:w="7165" w:type="dxa"/>
          </w:tcPr>
          <w:p>
            <w:pPr>
              <w:keepNext w:val="0"/>
              <w:keepLines w:val="0"/>
              <w:suppressLineNumbers w:val="0"/>
              <w:adjustRightInd w:val="0"/>
              <w:snapToGrid w:val="0"/>
              <w:spacing w:before="78" w:beforeLines="25" w:beforeAutospacing="0" w:after="78" w:afterLines="25" w:afterAutospacing="0" w:line="360" w:lineRule="auto"/>
              <w:ind w:left="0" w:right="0"/>
              <w:jc w:val="left"/>
              <w:rPr>
                <w:rStyle w:val="22"/>
                <w:rFonts w:hint="default" w:eastAsia="PMingLiU"/>
                <w:color w:val="auto"/>
                <w:highlight w:val="none"/>
              </w:rPr>
            </w:pPr>
            <w:r>
              <w:rPr>
                <w:rFonts w:hint="eastAsia"/>
                <w:color w:val="auto"/>
                <w:highlight w:val="none"/>
              </w:rPr>
              <w:t>1.招标控制价为：</w:t>
            </w:r>
            <w:r>
              <w:rPr>
                <w:rFonts w:hint="eastAsia"/>
                <w:color w:val="auto"/>
                <w:highlight w:val="none"/>
                <w:lang w:val="en-US" w:eastAsia="zh-CN"/>
              </w:rPr>
              <w:t>23.37</w:t>
            </w:r>
            <w:r>
              <w:rPr>
                <w:rFonts w:hint="eastAsia"/>
                <w:color w:val="auto"/>
                <w:highlight w:val="none"/>
              </w:rPr>
              <w:t>万元 ；</w:t>
            </w:r>
          </w:p>
          <w:p>
            <w:pPr>
              <w:keepNext w:val="0"/>
              <w:keepLines w:val="0"/>
              <w:suppressLineNumbers w:val="0"/>
              <w:adjustRightInd w:val="0"/>
              <w:snapToGrid w:val="0"/>
              <w:spacing w:before="78" w:beforeLines="25" w:beforeAutospacing="0" w:after="78" w:afterLines="25" w:afterAutospacing="0" w:line="360" w:lineRule="auto"/>
              <w:ind w:left="0" w:right="0"/>
              <w:jc w:val="left"/>
              <w:rPr>
                <w:rFonts w:hint="eastAsia" w:ascii="Times New Roman" w:hAnsi="Times New Roman" w:eastAsia="宋体" w:cs="Times New Roman"/>
                <w:bCs w:val="0"/>
                <w:color w:val="auto"/>
                <w:sz w:val="21"/>
                <w:highlight w:val="none"/>
              </w:rPr>
            </w:pPr>
            <w:r>
              <w:rPr>
                <w:rFonts w:hint="eastAsia" w:ascii="Times New Roman" w:hAnsi="Times New Roman" w:eastAsia="宋体" w:cs="Times New Roman"/>
                <w:bCs w:val="0"/>
                <w:color w:val="auto"/>
                <w:sz w:val="21"/>
                <w:highlight w:val="none"/>
              </w:rPr>
              <w:t>2.投标报价上限为：</w:t>
            </w:r>
            <w:r>
              <w:rPr>
                <w:rFonts w:hint="eastAsia" w:cs="Times New Roman"/>
                <w:bCs w:val="0"/>
                <w:color w:val="auto"/>
                <w:sz w:val="21"/>
                <w:highlight w:val="none"/>
                <w:u w:val="none"/>
                <w:lang w:val="en-US" w:eastAsia="zh-CN"/>
              </w:rPr>
              <w:t>23.37</w:t>
            </w:r>
            <w:r>
              <w:rPr>
                <w:rFonts w:hint="eastAsia" w:ascii="Times New Roman" w:hAnsi="Times New Roman" w:eastAsia="宋体" w:cs="Times New Roman"/>
                <w:bCs w:val="0"/>
                <w:color w:val="auto"/>
                <w:sz w:val="21"/>
                <w:highlight w:val="none"/>
                <w:u w:val="none"/>
              </w:rPr>
              <w:t>万元 ；</w:t>
            </w:r>
          </w:p>
          <w:p>
            <w:pPr>
              <w:keepNext w:val="0"/>
              <w:keepLines w:val="0"/>
              <w:suppressLineNumbers w:val="0"/>
              <w:adjustRightInd w:val="0"/>
              <w:snapToGrid w:val="0"/>
              <w:spacing w:before="78" w:beforeLines="25" w:beforeAutospacing="0" w:after="78" w:afterLines="25" w:afterAutospacing="0" w:line="360" w:lineRule="auto"/>
              <w:ind w:left="0" w:right="0"/>
              <w:jc w:val="left"/>
              <w:rPr>
                <w:rFonts w:hint="default" w:cs="Arial"/>
                <w:color w:val="auto"/>
                <w:szCs w:val="21"/>
                <w:highlight w:val="none"/>
              </w:rPr>
            </w:pPr>
            <w:r>
              <w:rPr>
                <w:rFonts w:hint="eastAsia" w:ascii="Times New Roman" w:hAnsi="Times New Roman" w:eastAsia="宋体" w:cs="Times New Roman"/>
                <w:bCs w:val="0"/>
                <w:color w:val="auto"/>
                <w:sz w:val="21"/>
                <w:highlight w:val="none"/>
              </w:rPr>
              <w:sym w:font="Wingdings 2" w:char="0052"/>
            </w:r>
            <w:r>
              <w:rPr>
                <w:rFonts w:hint="eastAsia" w:ascii="Times New Roman" w:hAnsi="Times New Roman" w:eastAsia="宋体" w:cs="Times New Roman"/>
                <w:bCs w:val="0"/>
                <w:color w:val="auto"/>
                <w:sz w:val="21"/>
                <w:highlight w:val="none"/>
              </w:rPr>
              <w:t>其他：</w:t>
            </w:r>
            <w:r>
              <w:rPr>
                <w:rFonts w:hint="eastAsia" w:ascii="Times New Roman" w:hAnsi="Times New Roman" w:eastAsia="宋体" w:cs="Times New Roman"/>
                <w:bCs w:val="0"/>
                <w:color w:val="auto"/>
                <w:sz w:val="21"/>
                <w:highlight w:val="none"/>
                <w:u w:val="none"/>
              </w:rPr>
              <w:t>投标报价要求：本项目的招标控制价只作为暂定金额，最终服务费结算金额不超暂定金额，</w:t>
            </w:r>
            <w:r>
              <w:rPr>
                <w:rFonts w:hint="eastAsia" w:cs="Times New Roman"/>
                <w:bCs w:val="0"/>
                <w:color w:val="auto"/>
                <w:sz w:val="21"/>
                <w:highlight w:val="none"/>
                <w:u w:val="none"/>
                <w:lang w:val="en-US" w:eastAsia="zh-CN"/>
              </w:rPr>
              <w:t>投标人需</w:t>
            </w:r>
            <w:r>
              <w:rPr>
                <w:rFonts w:hint="eastAsia" w:ascii="Times New Roman" w:hAnsi="Times New Roman" w:eastAsia="宋体" w:cs="Times New Roman"/>
                <w:bCs w:val="0"/>
                <w:color w:val="auto"/>
                <w:sz w:val="21"/>
                <w:highlight w:val="none"/>
                <w:u w:val="none"/>
              </w:rPr>
              <w:t>开具</w:t>
            </w:r>
            <w:r>
              <w:rPr>
                <w:rFonts w:hint="eastAsia" w:cs="Times New Roman"/>
                <w:bCs w:val="0"/>
                <w:color w:val="auto"/>
                <w:sz w:val="21"/>
                <w:highlight w:val="none"/>
                <w:u w:val="none"/>
                <w:lang w:val="en-US" w:eastAsia="zh-CN"/>
              </w:rPr>
              <w:t>含税</w:t>
            </w:r>
            <w:r>
              <w:rPr>
                <w:rFonts w:hint="eastAsia" w:ascii="Times New Roman" w:hAnsi="Times New Roman" w:eastAsia="宋体" w:cs="Times New Roman"/>
                <w:bCs w:val="0"/>
                <w:color w:val="auto"/>
                <w:sz w:val="21"/>
                <w:highlight w:val="none"/>
                <w:u w:val="none"/>
              </w:rPr>
              <w:t>发票。</w:t>
            </w:r>
          </w:p>
        </w:tc>
      </w:tr>
      <w:tr>
        <w:trPr>
          <w:cantSplit/>
          <w:trHeight w:val="20" w:hRule="atLeast"/>
        </w:trPr>
        <w:tc>
          <w:tcPr>
            <w:tcW w:w="1668" w:type="dxa"/>
          </w:tcPr>
          <w:p>
            <w:pPr>
              <w:keepNext w:val="0"/>
              <w:keepLines w:val="0"/>
              <w:suppressLineNumbers w:val="0"/>
              <w:spacing w:before="0" w:beforeAutospacing="0" w:after="60" w:afterAutospacing="0" w:line="360" w:lineRule="auto"/>
              <w:ind w:left="0" w:right="0"/>
              <w:rPr>
                <w:rFonts w:hint="default" w:ascii="宋体" w:hAnsi="宋体"/>
                <w:color w:val="auto"/>
                <w:kern w:val="0"/>
                <w:szCs w:val="21"/>
                <w:highlight w:val="none"/>
              </w:rPr>
            </w:pPr>
            <w:r>
              <w:rPr>
                <w:rFonts w:hint="eastAsia" w:ascii="宋体" w:hAnsi="宋体"/>
                <w:color w:val="auto"/>
                <w:kern w:val="0"/>
                <w:szCs w:val="21"/>
                <w:highlight w:val="none"/>
              </w:rPr>
              <w:t>联系方式</w:t>
            </w:r>
          </w:p>
        </w:tc>
        <w:tc>
          <w:tcPr>
            <w:tcW w:w="7165" w:type="dxa"/>
          </w:tcPr>
          <w:p>
            <w:pPr>
              <w:keepNext w:val="0"/>
              <w:keepLines w:val="0"/>
              <w:suppressLineNumbers w:val="0"/>
              <w:spacing w:before="0" w:beforeAutospacing="0" w:after="6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招标人信息：</w:t>
            </w:r>
          </w:p>
          <w:p>
            <w:pPr>
              <w:keepNext w:val="0"/>
              <w:keepLines w:val="0"/>
              <w:suppressLineNumbers w:val="0"/>
              <w:spacing w:before="0" w:beforeAutospacing="0" w:after="6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名      称： 深圳市前海深港现代服务业合作区管理局</w:t>
            </w:r>
          </w:p>
          <w:p>
            <w:pPr>
              <w:keepNext w:val="0"/>
              <w:keepLines w:val="0"/>
              <w:suppressLineNumbers w:val="0"/>
              <w:spacing w:before="0" w:beforeAutospacing="0" w:after="6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xml:space="preserve">联  系  人： </w:t>
            </w:r>
            <w:r>
              <w:rPr>
                <w:rFonts w:hint="eastAsia" w:ascii="宋体" w:hAnsi="宋体"/>
                <w:color w:val="auto"/>
                <w:kern w:val="0"/>
                <w:szCs w:val="21"/>
                <w:highlight w:val="none"/>
                <w:lang w:val="en-US" w:eastAsia="zh-CN"/>
              </w:rPr>
              <w:t>吴</w:t>
            </w:r>
            <w:r>
              <w:rPr>
                <w:rFonts w:hint="eastAsia" w:ascii="宋体" w:hAnsi="宋体"/>
                <w:color w:val="auto"/>
                <w:kern w:val="0"/>
                <w:szCs w:val="21"/>
                <w:highlight w:val="none"/>
              </w:rPr>
              <w:t>先生</w:t>
            </w:r>
          </w:p>
          <w:p>
            <w:pPr>
              <w:keepNext w:val="0"/>
              <w:keepLines w:val="0"/>
              <w:suppressLineNumbers w:val="0"/>
              <w:spacing w:before="0" w:beforeAutospacing="0" w:after="60" w:afterAutospacing="0"/>
              <w:ind w:left="0" w:right="0"/>
              <w:rPr>
                <w:rFonts w:hint="default" w:ascii="宋体" w:hAnsi="宋体"/>
                <w:color w:val="auto"/>
                <w:kern w:val="0"/>
                <w:szCs w:val="21"/>
                <w:highlight w:val="none"/>
                <w:lang w:val="en-US"/>
              </w:rPr>
            </w:pPr>
            <w:r>
              <w:rPr>
                <w:rFonts w:hint="eastAsia" w:ascii="宋体" w:hAnsi="宋体"/>
                <w:color w:val="auto"/>
                <w:kern w:val="0"/>
                <w:szCs w:val="21"/>
                <w:highlight w:val="none"/>
              </w:rPr>
              <w:t>电      话：</w:t>
            </w:r>
            <w:r>
              <w:rPr>
                <w:rFonts w:hint="default" w:ascii="宋体" w:hAnsi="宋体"/>
                <w:color w:val="auto"/>
                <w:kern w:val="0"/>
                <w:szCs w:val="21"/>
                <w:highlight w:val="none"/>
              </w:rPr>
              <w:t xml:space="preserve"> </w:t>
            </w:r>
            <w:r>
              <w:rPr>
                <w:rFonts w:hint="eastAsia" w:ascii="宋体" w:hAnsi="宋体"/>
                <w:color w:val="auto"/>
                <w:kern w:val="0"/>
                <w:szCs w:val="21"/>
                <w:highlight w:val="none"/>
                <w:lang w:val="en-US" w:eastAsia="zh-CN"/>
              </w:rPr>
              <w:t>0755-8810 5332</w:t>
            </w:r>
          </w:p>
          <w:p>
            <w:pPr>
              <w:keepNext w:val="0"/>
              <w:keepLines w:val="0"/>
              <w:suppressLineNumbers w:val="0"/>
              <w:spacing w:before="0" w:beforeAutospacing="0" w:after="6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采购代理机构信息：</w:t>
            </w:r>
          </w:p>
          <w:p>
            <w:pPr>
              <w:keepNext w:val="0"/>
              <w:keepLines w:val="0"/>
              <w:suppressLineNumbers w:val="0"/>
              <w:spacing w:before="0" w:beforeAutospacing="0" w:after="60" w:afterAutospacing="0"/>
              <w:ind w:left="0" w:right="0"/>
              <w:rPr>
                <w:rFonts w:hint="default" w:ascii="宋体" w:hAnsi="宋体"/>
                <w:color w:val="auto"/>
                <w:kern w:val="0"/>
                <w:szCs w:val="21"/>
                <w:highlight w:val="none"/>
              </w:rPr>
            </w:pPr>
            <w:r>
              <w:rPr>
                <w:rFonts w:hint="eastAsia" w:ascii="宋体" w:hAnsi="宋体"/>
                <w:color w:val="auto"/>
                <w:kern w:val="0"/>
                <w:szCs w:val="21"/>
                <w:highlight w:val="none"/>
              </w:rPr>
              <w:t xml:space="preserve">名      称： </w:t>
            </w:r>
            <w:r>
              <w:rPr>
                <w:rFonts w:hint="eastAsia" w:ascii="宋体" w:hAnsi="宋体"/>
                <w:color w:val="auto"/>
                <w:kern w:val="0"/>
                <w:szCs w:val="21"/>
                <w:highlight w:val="none"/>
                <w:u w:val="single"/>
              </w:rPr>
              <w:t>友和保险经纪有限公司</w:t>
            </w:r>
          </w:p>
          <w:p>
            <w:pPr>
              <w:keepNext w:val="0"/>
              <w:keepLines w:val="0"/>
              <w:suppressLineNumbers w:val="0"/>
              <w:spacing w:before="0" w:beforeAutospacing="0" w:after="60" w:afterAutospacing="0"/>
              <w:ind w:left="0" w:right="0"/>
              <w:rPr>
                <w:rFonts w:hint="eastAsia" w:ascii="宋体" w:hAnsi="宋体"/>
                <w:color w:val="auto"/>
                <w:kern w:val="0"/>
                <w:szCs w:val="21"/>
                <w:highlight w:val="none"/>
              </w:rPr>
            </w:pPr>
            <w:r>
              <w:rPr>
                <w:rFonts w:hint="eastAsia" w:ascii="宋体" w:hAnsi="宋体"/>
                <w:color w:val="auto"/>
                <w:kern w:val="0"/>
                <w:szCs w:val="21"/>
                <w:highlight w:val="none"/>
              </w:rPr>
              <w:t xml:space="preserve">地      址： </w:t>
            </w:r>
            <w:r>
              <w:rPr>
                <w:rFonts w:hint="eastAsia" w:ascii="宋体" w:hAnsi="宋体"/>
                <w:color w:val="auto"/>
                <w:kern w:val="0"/>
                <w:szCs w:val="21"/>
                <w:highlight w:val="none"/>
                <w:u w:val="single"/>
              </w:rPr>
              <w:t>深圳市福田区福强路3030号福田体育公园西北角友和招标代理服务中心（靠近北门）</w:t>
            </w:r>
          </w:p>
          <w:p>
            <w:pPr>
              <w:keepNext w:val="0"/>
              <w:keepLines w:val="0"/>
              <w:suppressLineNumbers w:val="0"/>
              <w:spacing w:before="0" w:beforeAutospacing="0" w:after="60" w:afterAutospacing="0"/>
              <w:ind w:left="0" w:right="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联  系  人：</w:t>
            </w:r>
            <w:r>
              <w:rPr>
                <w:rFonts w:hint="eastAsia" w:ascii="宋体" w:hAnsi="宋体"/>
                <w:color w:val="auto"/>
                <w:kern w:val="0"/>
                <w:szCs w:val="21"/>
                <w:highlight w:val="none"/>
                <w:u w:val="single"/>
                <w:lang w:eastAsia="zh-CN"/>
              </w:rPr>
              <w:t>严</w:t>
            </w:r>
            <w:r>
              <w:rPr>
                <w:rFonts w:hint="eastAsia" w:ascii="宋体" w:hAnsi="宋体"/>
                <w:color w:val="auto"/>
                <w:kern w:val="0"/>
                <w:szCs w:val="21"/>
                <w:highlight w:val="none"/>
                <w:u w:val="single"/>
              </w:rPr>
              <w:t>工</w:t>
            </w:r>
            <w:r>
              <w:rPr>
                <w:rFonts w:hint="eastAsia" w:ascii="宋体" w:hAnsi="宋体"/>
                <w:color w:val="auto"/>
                <w:kern w:val="0"/>
                <w:szCs w:val="21"/>
                <w:highlight w:val="none"/>
                <w:u w:val="single"/>
                <w:lang w:eastAsia="zh-CN"/>
              </w:rPr>
              <w:t>、李工</w:t>
            </w:r>
          </w:p>
          <w:p>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r>
              <w:rPr>
                <w:rFonts w:hint="eastAsia" w:ascii="宋体" w:hAnsi="宋体"/>
                <w:color w:val="auto"/>
                <w:kern w:val="0"/>
                <w:szCs w:val="21"/>
                <w:highlight w:val="none"/>
              </w:rPr>
              <w:t>电      话：</w:t>
            </w:r>
            <w:r>
              <w:rPr>
                <w:rFonts w:hint="eastAsia" w:ascii="宋体" w:hAnsi="宋体"/>
                <w:color w:val="auto"/>
                <w:kern w:val="0"/>
                <w:szCs w:val="21"/>
                <w:highlight w:val="none"/>
                <w:u w:val="single"/>
              </w:rPr>
              <w:t xml:space="preserve"> 0755-83881283 </w:t>
            </w:r>
          </w:p>
        </w:tc>
      </w:tr>
    </w:tbl>
    <w:p>
      <w:pPr>
        <w:adjustRightInd w:val="0"/>
        <w:snapToGrid w:val="0"/>
        <w:spacing w:line="360" w:lineRule="auto"/>
        <w:ind w:firstLine="420" w:firstLineChars="200"/>
        <w:jc w:val="right"/>
        <w:rPr>
          <w:color w:val="auto"/>
          <w:szCs w:val="21"/>
          <w:highlight w:val="none"/>
        </w:rPr>
      </w:pPr>
    </w:p>
    <w:p>
      <w:pPr>
        <w:adjustRightInd w:val="0"/>
        <w:snapToGrid w:val="0"/>
        <w:spacing w:line="360" w:lineRule="auto"/>
        <w:ind w:firstLine="420" w:firstLineChars="200"/>
        <w:jc w:val="right"/>
        <w:rPr>
          <w:rFonts w:ascii="宋体" w:hAnsi="宋体"/>
          <w:color w:val="auto"/>
          <w:szCs w:val="21"/>
          <w:highlight w:val="none"/>
        </w:rPr>
      </w:pPr>
      <w:r>
        <w:rPr>
          <w:rFonts w:hint="eastAsia"/>
          <w:color w:val="auto"/>
          <w:szCs w:val="21"/>
          <w:highlight w:val="none"/>
        </w:rPr>
        <w:t>深圳市前海深港现代服务业合作区管理局</w:t>
      </w:r>
    </w:p>
    <w:p>
      <w:pPr>
        <w:adjustRightInd w:val="0"/>
        <w:snapToGrid w:val="0"/>
        <w:spacing w:line="360" w:lineRule="auto"/>
        <w:ind w:firstLine="420" w:firstLineChars="200"/>
        <w:jc w:val="right"/>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年</w:t>
      </w:r>
      <w:r>
        <w:rPr>
          <w:rFonts w:hint="eastAsia" w:ascii="宋体" w:hAnsi="宋体"/>
          <w:color w:val="auto"/>
          <w:szCs w:val="21"/>
          <w:highlight w:val="none"/>
          <w:lang w:val="en-US" w:eastAsia="zh-CN"/>
        </w:rPr>
        <w:t>7</w:t>
      </w:r>
      <w:r>
        <w:rPr>
          <w:rFonts w:hint="eastAsia" w:ascii="宋体" w:hAnsi="宋体"/>
          <w:color w:val="auto"/>
          <w:szCs w:val="21"/>
          <w:highlight w:val="none"/>
        </w:rPr>
        <w:t>月</w:t>
      </w:r>
      <w:r>
        <w:rPr>
          <w:rFonts w:hint="eastAsia" w:ascii="宋体" w:hAnsi="宋体"/>
          <w:color w:val="auto"/>
          <w:szCs w:val="21"/>
          <w:highlight w:val="none"/>
          <w:lang w:val="en-US" w:eastAsia="zh-CN"/>
        </w:rPr>
        <w:t>20</w:t>
      </w:r>
      <w:r>
        <w:rPr>
          <w:rFonts w:hint="eastAsia" w:ascii="宋体" w:hAnsi="宋体"/>
          <w:color w:val="auto"/>
          <w:szCs w:val="21"/>
          <w:highlight w:val="none"/>
        </w:rPr>
        <w:t>日</w:t>
      </w:r>
    </w:p>
    <w:p>
      <w:pPr>
        <w:adjustRightInd w:val="0"/>
        <w:snapToGrid w:val="0"/>
        <w:spacing w:line="360" w:lineRule="auto"/>
        <w:ind w:firstLine="480" w:firstLineChars="200"/>
        <w:jc w:val="right"/>
        <w:rPr>
          <w:rFonts w:ascii="宋体" w:hAnsi="宋体"/>
          <w:color w:val="auto"/>
          <w:sz w:val="24"/>
          <w:highlight w:val="none"/>
        </w:rPr>
      </w:pPr>
    </w:p>
    <w:p>
      <w:pPr>
        <w:adjustRightInd w:val="0"/>
        <w:snapToGrid w:val="0"/>
        <w:spacing w:line="360" w:lineRule="auto"/>
        <w:ind w:firstLine="480" w:firstLineChars="200"/>
        <w:jc w:val="right"/>
        <w:rPr>
          <w:rFonts w:ascii="宋体" w:hAnsi="宋体"/>
          <w:color w:val="auto"/>
          <w:sz w:val="24"/>
          <w:highlight w:val="none"/>
        </w:rPr>
      </w:pPr>
    </w:p>
    <w:p>
      <w:pPr>
        <w:adjustRightInd w:val="0"/>
        <w:snapToGrid w:val="0"/>
        <w:spacing w:line="360" w:lineRule="auto"/>
        <w:ind w:firstLine="480" w:firstLineChars="200"/>
        <w:jc w:val="right"/>
        <w:rPr>
          <w:rFonts w:ascii="宋体" w:hAnsi="宋体"/>
          <w:color w:val="auto"/>
          <w:sz w:val="24"/>
          <w:highlight w:val="none"/>
        </w:rPr>
      </w:pPr>
    </w:p>
    <w:p>
      <w:pPr>
        <w:adjustRightInd w:val="0"/>
        <w:snapToGrid w:val="0"/>
        <w:spacing w:line="360" w:lineRule="auto"/>
        <w:ind w:firstLine="480" w:firstLineChars="200"/>
        <w:jc w:val="right"/>
        <w:rPr>
          <w:rFonts w:ascii="宋体" w:hAnsi="宋体"/>
          <w:color w:val="auto"/>
          <w:sz w:val="24"/>
          <w:highlight w:val="none"/>
        </w:rPr>
      </w:pPr>
    </w:p>
    <w:p>
      <w:pPr>
        <w:adjustRightInd w:val="0"/>
        <w:snapToGrid w:val="0"/>
        <w:spacing w:line="360" w:lineRule="auto"/>
        <w:ind w:firstLine="480" w:firstLineChars="200"/>
        <w:jc w:val="right"/>
        <w:rPr>
          <w:rFonts w:ascii="宋体" w:hAnsi="宋体"/>
          <w:color w:val="auto"/>
          <w:sz w:val="24"/>
          <w:highlight w:val="none"/>
        </w:rPr>
      </w:pPr>
    </w:p>
    <w:p>
      <w:pPr>
        <w:adjustRightInd w:val="0"/>
        <w:snapToGrid w:val="0"/>
        <w:spacing w:line="360" w:lineRule="auto"/>
        <w:ind w:firstLine="480" w:firstLineChars="200"/>
        <w:jc w:val="right"/>
        <w:rPr>
          <w:rFonts w:ascii="宋体" w:hAnsi="宋体"/>
          <w:color w:val="auto"/>
          <w:sz w:val="24"/>
          <w:highlight w:val="none"/>
        </w:rPr>
      </w:pPr>
    </w:p>
    <w:p>
      <w:pPr>
        <w:adjustRightInd w:val="0"/>
        <w:snapToGrid w:val="0"/>
        <w:spacing w:line="360" w:lineRule="auto"/>
        <w:ind w:firstLine="480" w:firstLineChars="200"/>
        <w:jc w:val="right"/>
        <w:rPr>
          <w:rFonts w:ascii="宋体" w:hAnsi="宋体"/>
          <w:color w:val="auto"/>
          <w:sz w:val="24"/>
          <w:highlight w:val="none"/>
        </w:rPr>
      </w:pPr>
    </w:p>
    <w:p>
      <w:pPr>
        <w:adjustRightInd w:val="0"/>
        <w:snapToGrid w:val="0"/>
        <w:spacing w:line="360" w:lineRule="auto"/>
        <w:ind w:firstLine="480" w:firstLineChars="200"/>
        <w:jc w:val="right"/>
        <w:rPr>
          <w:rFonts w:ascii="宋体" w:hAnsi="宋体"/>
          <w:color w:val="auto"/>
          <w:sz w:val="24"/>
          <w:highlight w:val="none"/>
        </w:rPr>
      </w:pPr>
    </w:p>
    <w:p>
      <w:pPr>
        <w:adjustRightInd w:val="0"/>
        <w:snapToGrid w:val="0"/>
        <w:spacing w:line="360" w:lineRule="auto"/>
        <w:ind w:firstLine="480" w:firstLineChars="200"/>
        <w:jc w:val="right"/>
        <w:rPr>
          <w:rFonts w:ascii="宋体" w:hAnsi="宋体"/>
          <w:color w:val="auto"/>
          <w:sz w:val="24"/>
          <w:highlight w:val="none"/>
        </w:rPr>
      </w:pPr>
    </w:p>
    <w:p>
      <w:pPr>
        <w:adjustRightInd w:val="0"/>
        <w:snapToGrid w:val="0"/>
        <w:spacing w:line="360" w:lineRule="auto"/>
        <w:ind w:firstLine="480" w:firstLineChars="200"/>
        <w:jc w:val="right"/>
        <w:rPr>
          <w:rFonts w:ascii="宋体" w:hAnsi="宋体"/>
          <w:color w:val="auto"/>
          <w:sz w:val="24"/>
          <w:highlight w:val="none"/>
        </w:rPr>
      </w:pPr>
    </w:p>
    <w:p>
      <w:pPr>
        <w:adjustRightInd w:val="0"/>
        <w:snapToGrid w:val="0"/>
        <w:spacing w:line="360" w:lineRule="auto"/>
        <w:ind w:firstLine="480" w:firstLineChars="200"/>
        <w:jc w:val="right"/>
        <w:rPr>
          <w:rFonts w:ascii="宋体" w:hAnsi="宋体"/>
          <w:color w:val="auto"/>
          <w:sz w:val="24"/>
          <w:highlight w:val="none"/>
        </w:rPr>
      </w:pPr>
    </w:p>
    <w:p>
      <w:pPr>
        <w:adjustRightInd w:val="0"/>
        <w:snapToGrid w:val="0"/>
        <w:spacing w:line="360" w:lineRule="auto"/>
        <w:ind w:firstLine="480" w:firstLineChars="200"/>
        <w:jc w:val="right"/>
        <w:rPr>
          <w:rFonts w:ascii="宋体" w:hAnsi="宋体"/>
          <w:color w:val="auto"/>
          <w:sz w:val="24"/>
          <w:highlight w:val="none"/>
        </w:rPr>
      </w:pPr>
    </w:p>
    <w:p>
      <w:pPr>
        <w:adjustRightInd w:val="0"/>
        <w:snapToGrid w:val="0"/>
        <w:spacing w:line="360" w:lineRule="auto"/>
        <w:ind w:firstLine="480" w:firstLineChars="200"/>
        <w:jc w:val="right"/>
        <w:rPr>
          <w:rFonts w:ascii="宋体" w:hAnsi="宋体"/>
          <w:color w:val="auto"/>
          <w:sz w:val="24"/>
          <w:highlight w:val="none"/>
        </w:rPr>
      </w:pPr>
    </w:p>
    <w:p>
      <w:pPr>
        <w:adjustRightInd w:val="0"/>
        <w:snapToGrid w:val="0"/>
        <w:spacing w:line="360" w:lineRule="auto"/>
        <w:ind w:firstLine="480" w:firstLineChars="200"/>
        <w:jc w:val="right"/>
        <w:rPr>
          <w:rFonts w:ascii="宋体" w:hAnsi="宋体"/>
          <w:color w:val="auto"/>
          <w:sz w:val="24"/>
          <w:highlight w:val="none"/>
        </w:rPr>
      </w:pPr>
    </w:p>
    <w:p>
      <w:pPr>
        <w:adjustRightInd w:val="0"/>
        <w:snapToGrid w:val="0"/>
        <w:spacing w:line="360" w:lineRule="auto"/>
        <w:ind w:firstLine="480" w:firstLineChars="200"/>
        <w:jc w:val="right"/>
        <w:rPr>
          <w:rFonts w:ascii="宋体" w:hAnsi="宋体"/>
          <w:color w:val="auto"/>
          <w:sz w:val="24"/>
          <w:highlight w:val="none"/>
        </w:rPr>
      </w:pPr>
    </w:p>
    <w:p>
      <w:pPr>
        <w:adjustRightInd w:val="0"/>
        <w:snapToGrid w:val="0"/>
        <w:spacing w:line="360" w:lineRule="auto"/>
        <w:ind w:firstLine="480" w:firstLineChars="200"/>
        <w:jc w:val="right"/>
        <w:rPr>
          <w:rFonts w:ascii="宋体" w:hAnsi="宋体"/>
          <w:color w:val="auto"/>
          <w:sz w:val="24"/>
          <w:highlight w:val="none"/>
        </w:rPr>
      </w:pPr>
    </w:p>
    <w:p>
      <w:pPr>
        <w:adjustRightInd w:val="0"/>
        <w:snapToGrid w:val="0"/>
        <w:spacing w:line="360" w:lineRule="auto"/>
        <w:ind w:firstLine="480" w:firstLineChars="200"/>
        <w:jc w:val="right"/>
        <w:rPr>
          <w:rFonts w:ascii="宋体" w:hAnsi="宋体"/>
          <w:color w:val="auto"/>
          <w:sz w:val="24"/>
          <w:highlight w:val="none"/>
        </w:rPr>
      </w:pPr>
    </w:p>
    <w:p>
      <w:pPr>
        <w:adjustRightInd w:val="0"/>
        <w:snapToGrid w:val="0"/>
        <w:spacing w:line="360" w:lineRule="auto"/>
        <w:ind w:firstLine="480" w:firstLineChars="200"/>
        <w:jc w:val="right"/>
        <w:rPr>
          <w:rFonts w:ascii="宋体" w:hAnsi="宋体"/>
          <w:color w:val="auto"/>
          <w:sz w:val="24"/>
          <w:highlight w:val="none"/>
        </w:rPr>
      </w:pPr>
    </w:p>
    <w:p>
      <w:pPr>
        <w:spacing w:line="360" w:lineRule="auto"/>
        <w:jc w:val="center"/>
        <w:rPr>
          <w:b/>
          <w:bCs/>
          <w:color w:val="auto"/>
          <w:sz w:val="32"/>
          <w:highlight w:val="none"/>
        </w:rPr>
      </w:pPr>
      <w:r>
        <w:rPr>
          <w:rFonts w:hint="eastAsia"/>
          <w:b/>
          <w:bCs/>
          <w:color w:val="auto"/>
          <w:sz w:val="32"/>
          <w:highlight w:val="none"/>
        </w:rPr>
        <w:t>投标文件初审表</w:t>
      </w:r>
    </w:p>
    <w:p>
      <w:pPr>
        <w:jc w:val="center"/>
        <w:rPr>
          <w:b/>
          <w:color w:val="auto"/>
          <w:highlight w:val="none"/>
        </w:rPr>
      </w:pPr>
      <w:r>
        <w:rPr>
          <w:rFonts w:hint="eastAsia"/>
          <w:b/>
          <w:color w:val="auto"/>
          <w:highlight w:val="none"/>
        </w:rPr>
        <w:t>（凡有下列情形之一的，投标文件无效，投标作废标处理）</w:t>
      </w:r>
    </w:p>
    <w:tbl>
      <w:tblPr>
        <w:tblStyle w:val="19"/>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9" w:type="dxa"/>
            <w:gridSpan w:val="2"/>
          </w:tcPr>
          <w:p>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default"/>
                <w:color w:val="auto"/>
                <w:highlight w:val="none"/>
              </w:rPr>
              <w:t>1</w:t>
            </w:r>
          </w:p>
        </w:tc>
        <w:tc>
          <w:tcPr>
            <w:tcW w:w="7108" w:type="dxa"/>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9" w:type="dxa"/>
            <w:gridSpan w:val="2"/>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default"/>
                <w:color w:val="auto"/>
                <w:highlight w:val="none"/>
              </w:rPr>
              <w:t>2</w:t>
            </w:r>
          </w:p>
        </w:tc>
        <w:tc>
          <w:tcPr>
            <w:tcW w:w="7108"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default"/>
                <w:color w:val="auto"/>
                <w:highlight w:val="none"/>
              </w:rPr>
              <w:t>3</w:t>
            </w:r>
          </w:p>
        </w:tc>
        <w:tc>
          <w:tcPr>
            <w:tcW w:w="7108"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default"/>
                <w:color w:val="auto"/>
                <w:highlight w:val="none"/>
              </w:rPr>
              <w:t>4</w:t>
            </w:r>
          </w:p>
        </w:tc>
        <w:tc>
          <w:tcPr>
            <w:tcW w:w="7108"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default"/>
                <w:color w:val="auto"/>
                <w:highlight w:val="none"/>
              </w:rPr>
              <w:t>5</w:t>
            </w:r>
          </w:p>
        </w:tc>
        <w:tc>
          <w:tcPr>
            <w:tcW w:w="7108"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default"/>
                <w:color w:val="auto"/>
                <w:szCs w:val="21"/>
                <w:highlight w:val="none"/>
              </w:rPr>
              <w:t>分项报价或投标总价高于预算金额（最高投标限价）的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6</w:t>
            </w:r>
          </w:p>
        </w:tc>
        <w:tc>
          <w:tcPr>
            <w:tcW w:w="7108"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default"/>
                <w:color w:val="auto"/>
                <w:highlight w:val="none"/>
              </w:rPr>
              <w:t>7</w:t>
            </w:r>
          </w:p>
        </w:tc>
        <w:tc>
          <w:tcPr>
            <w:tcW w:w="7108"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default"/>
                <w:color w:val="auto"/>
                <w:szCs w:val="21"/>
                <w:highlight w:val="none"/>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default"/>
                <w:color w:val="auto"/>
                <w:highlight w:val="none"/>
              </w:rPr>
              <w:t>8</w:t>
            </w:r>
          </w:p>
        </w:tc>
        <w:tc>
          <w:tcPr>
            <w:tcW w:w="7108"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9</w:t>
            </w:r>
          </w:p>
        </w:tc>
        <w:tc>
          <w:tcPr>
            <w:tcW w:w="7108"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所投产品、工程、服务在质量、技术、方案等方面没有实质性满足招标文件要求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10</w:t>
            </w:r>
          </w:p>
        </w:tc>
        <w:tc>
          <w:tcPr>
            <w:tcW w:w="7108"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未按招标文件附件所提供的样式和要求完整填写投标文件的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11</w:t>
            </w:r>
          </w:p>
        </w:tc>
        <w:tc>
          <w:tcPr>
            <w:tcW w:w="7108"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是否按招标文件要求提供《用户需求响应表》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12</w:t>
            </w:r>
          </w:p>
        </w:tc>
        <w:tc>
          <w:tcPr>
            <w:tcW w:w="7108"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13</w:t>
            </w:r>
          </w:p>
        </w:tc>
        <w:tc>
          <w:tcPr>
            <w:tcW w:w="7108"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法律、法规规定的其他情形</w:t>
            </w:r>
          </w:p>
        </w:tc>
      </w:tr>
    </w:tbl>
    <w:p>
      <w:pPr>
        <w:rPr>
          <w:color w:val="auto"/>
          <w:highlight w:val="none"/>
        </w:rPr>
      </w:pPr>
    </w:p>
    <w:p>
      <w:pPr>
        <w:spacing w:line="360" w:lineRule="auto"/>
        <w:jc w:val="center"/>
        <w:outlineLvl w:val="0"/>
        <w:rPr>
          <w:b/>
          <w:bCs/>
          <w:color w:val="auto"/>
          <w:sz w:val="32"/>
          <w:highlight w:val="none"/>
        </w:rPr>
      </w:pPr>
      <w:r>
        <w:rPr>
          <w:rFonts w:hint="eastAsia" w:ascii="宋体" w:hAnsi="宋体"/>
          <w:color w:val="auto"/>
          <w:sz w:val="24"/>
          <w:highlight w:val="none"/>
        </w:rPr>
        <w:br w:type="page"/>
      </w:r>
      <w:bookmarkStart w:id="13" w:name="_Toc6811"/>
      <w:bookmarkStart w:id="14" w:name="_Toc25337"/>
      <w:bookmarkStart w:id="15" w:name="_Toc20192"/>
      <w:bookmarkStart w:id="16" w:name="_Toc21711"/>
      <w:bookmarkStart w:id="17" w:name="_Toc6185"/>
      <w:bookmarkStart w:id="18" w:name="_Toc77523176"/>
      <w:bookmarkStart w:id="19" w:name="_Toc30582"/>
      <w:bookmarkStart w:id="20" w:name="_Toc51746094"/>
      <w:bookmarkStart w:id="21" w:name="_Toc27047"/>
      <w:bookmarkStart w:id="22" w:name="_Toc26602"/>
      <w:r>
        <w:rPr>
          <w:rFonts w:hint="eastAsia"/>
          <w:b/>
          <w:bCs/>
          <w:color w:val="auto"/>
          <w:sz w:val="32"/>
          <w:highlight w:val="none"/>
        </w:rPr>
        <w:t>第二章 投标须知</w:t>
      </w:r>
      <w:bookmarkEnd w:id="13"/>
      <w:bookmarkEnd w:id="14"/>
      <w:bookmarkEnd w:id="15"/>
      <w:bookmarkEnd w:id="16"/>
      <w:bookmarkEnd w:id="17"/>
      <w:bookmarkEnd w:id="18"/>
      <w:bookmarkEnd w:id="19"/>
      <w:bookmarkEnd w:id="20"/>
      <w:bookmarkEnd w:id="21"/>
      <w:bookmarkEnd w:id="22"/>
    </w:p>
    <w:p>
      <w:pPr>
        <w:spacing w:line="360" w:lineRule="auto"/>
        <w:ind w:firstLine="420" w:firstLineChars="200"/>
        <w:rPr>
          <w:color w:val="auto"/>
          <w:szCs w:val="21"/>
          <w:highlight w:val="none"/>
        </w:rPr>
      </w:pPr>
      <w:r>
        <w:rPr>
          <w:rFonts w:hint="eastAsia" w:ascii="宋体" w:hAnsi="宋体"/>
          <w:color w:val="auto"/>
          <w:szCs w:val="21"/>
          <w:highlight w:val="none"/>
        </w:rPr>
        <w:t>1、本项目是深圳市前海深港现代服务业合作区管理局的</w:t>
      </w:r>
      <w:r>
        <w:rPr>
          <w:rFonts w:hint="eastAsia"/>
          <w:color w:val="auto"/>
          <w:highlight w:val="none"/>
          <w:u w:val="single"/>
          <w:lang w:eastAsia="zh-CN"/>
        </w:rPr>
        <w:t>智慧前海视频云平台二期项目监理服务</w:t>
      </w:r>
      <w:r>
        <w:rPr>
          <w:rFonts w:hint="eastAsia" w:ascii="宋体" w:hAnsi="宋体"/>
          <w:color w:val="auto"/>
          <w:szCs w:val="21"/>
          <w:highlight w:val="none"/>
        </w:rPr>
        <w:t>采购项目</w:t>
      </w:r>
      <w:r>
        <w:rPr>
          <w:rFonts w:hint="eastAsia" w:ascii="宋体" w:hAnsi="宋体" w:cs="Arial"/>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2、本项目不属于深圳市20</w:t>
      </w:r>
      <w:r>
        <w:rPr>
          <w:rFonts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年集中采购目录，根据《中华人民共和国政府采购法》《深圳经济特区政府采购条例》的有关规定，深圳市前海深港现代服务业合作区管理局自行组织采购，本次采购公开征集供应商，报名且符合招标文件要求的供应商在两家或两家以上，采用综合评分法的方式进行。</w:t>
      </w:r>
      <w:r>
        <w:rPr>
          <w:rFonts w:hint="eastAsia" w:ascii="宋体" w:hAnsi="宋体"/>
          <w:b/>
          <w:bCs/>
          <w:color w:val="auto"/>
          <w:szCs w:val="21"/>
          <w:highlight w:val="none"/>
        </w:rPr>
        <w:t>如参与投标且符合招标文件要求的供应商仅有</w:t>
      </w:r>
      <w:r>
        <w:rPr>
          <w:rFonts w:hint="eastAsia" w:ascii="宋体" w:hAnsi="宋体"/>
          <w:b/>
          <w:bCs/>
          <w:color w:val="auto"/>
          <w:szCs w:val="21"/>
          <w:highlight w:val="none"/>
          <w:lang w:eastAsia="zh-CN"/>
        </w:rPr>
        <w:t>一</w:t>
      </w:r>
      <w:r>
        <w:rPr>
          <w:rFonts w:hint="eastAsia" w:ascii="宋体" w:hAnsi="宋体"/>
          <w:b/>
          <w:bCs/>
          <w:color w:val="auto"/>
          <w:szCs w:val="21"/>
          <w:highlight w:val="none"/>
        </w:rPr>
        <w:t>家，评审委员会应与投标供应商进行谈判，原则上成交价应为最初报价的95%。</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3、本项目根据项目的实际情况，公开征集符合投标人资格的供应商。请各供应商根据本文件的要求，准备</w:t>
      </w:r>
      <w:r>
        <w:rPr>
          <w:rFonts w:hint="eastAsia" w:ascii="宋体" w:hAnsi="宋体"/>
          <w:color w:val="auto"/>
          <w:szCs w:val="21"/>
          <w:highlight w:val="none"/>
          <w:u w:val="single"/>
        </w:rPr>
        <w:t>五套</w:t>
      </w:r>
      <w:r>
        <w:rPr>
          <w:rFonts w:hint="eastAsia" w:ascii="宋体" w:hAnsi="宋体"/>
          <w:color w:val="auto"/>
          <w:szCs w:val="21"/>
          <w:highlight w:val="none"/>
        </w:rPr>
        <w:t>完备的资料进行投标。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4、本招标文件已对本次采购项目的商务条件和服务的质量以及后续服务作出了明确的规定。</w:t>
      </w:r>
    </w:p>
    <w:p>
      <w:pPr>
        <w:spacing w:after="0" w:afterLines="-2147483648" w:line="360" w:lineRule="auto"/>
        <w:ind w:firstLine="420" w:firstLineChars="200"/>
        <w:rPr>
          <w:rFonts w:ascii="宋体" w:hAnsi="宋体"/>
          <w:color w:val="auto"/>
          <w:szCs w:val="21"/>
          <w:highlight w:val="none"/>
        </w:rPr>
      </w:pPr>
      <w:r>
        <w:rPr>
          <w:rFonts w:hint="eastAsia" w:ascii="宋体" w:hAnsi="宋体"/>
          <w:color w:val="auto"/>
          <w:szCs w:val="21"/>
          <w:highlight w:val="none"/>
        </w:rPr>
        <w:t>5、响应文件要包括如下内容：</w:t>
      </w:r>
    </w:p>
    <w:p>
      <w:pPr>
        <w:spacing w:after="0" w:afterLines="-2147483648"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投标人资格证明文件</w:t>
      </w:r>
      <w:r>
        <w:rPr>
          <w:rFonts w:hint="eastAsia" w:ascii="宋体" w:hAnsi="宋体"/>
          <w:color w:val="auto"/>
          <w:szCs w:val="21"/>
          <w:highlight w:val="none"/>
        </w:rPr>
        <w:t>：</w:t>
      </w:r>
    </w:p>
    <w:p>
      <w:pPr>
        <w:spacing w:after="0" w:afterLines="-2147483648" w:line="360" w:lineRule="auto"/>
        <w:ind w:firstLine="420" w:firstLineChars="200"/>
        <w:rPr>
          <w:rFonts w:ascii="宋体" w:hAnsi="宋体"/>
          <w:color w:val="auto"/>
          <w:szCs w:val="21"/>
          <w:highlight w:val="none"/>
        </w:rPr>
      </w:pPr>
      <w:r>
        <w:rPr>
          <w:rFonts w:hint="eastAsia" w:ascii="宋体" w:hAnsi="宋体"/>
          <w:color w:val="auto"/>
          <w:szCs w:val="21"/>
          <w:highlight w:val="none"/>
        </w:rPr>
        <w:t>（2）投标响应书</w:t>
      </w:r>
    </w:p>
    <w:p>
      <w:pPr>
        <w:spacing w:after="0" w:afterLines="-2147483648" w:line="360" w:lineRule="auto"/>
        <w:ind w:firstLine="420" w:firstLineChars="200"/>
        <w:rPr>
          <w:rFonts w:ascii="宋体" w:hAnsi="宋体"/>
          <w:color w:val="auto"/>
          <w:szCs w:val="21"/>
          <w:highlight w:val="none"/>
        </w:rPr>
      </w:pPr>
      <w:r>
        <w:rPr>
          <w:rFonts w:hint="eastAsia" w:ascii="宋体" w:hAnsi="宋体"/>
          <w:color w:val="auto"/>
          <w:szCs w:val="21"/>
          <w:highlight w:val="none"/>
        </w:rPr>
        <w:t>（3）报价表</w:t>
      </w:r>
    </w:p>
    <w:p>
      <w:pPr>
        <w:spacing w:after="0" w:afterLines="-2147483648" w:line="360" w:lineRule="auto"/>
        <w:ind w:firstLine="420" w:firstLineChars="200"/>
        <w:rPr>
          <w:rFonts w:ascii="宋体" w:hAnsi="宋体"/>
          <w:color w:val="auto"/>
          <w:szCs w:val="21"/>
          <w:highlight w:val="none"/>
        </w:rPr>
      </w:pPr>
      <w:r>
        <w:rPr>
          <w:rFonts w:hint="eastAsia" w:ascii="宋体" w:hAnsi="宋体"/>
          <w:color w:val="auto"/>
          <w:szCs w:val="21"/>
          <w:highlight w:val="none"/>
        </w:rPr>
        <w:t>（4）公司主营业务介绍</w:t>
      </w:r>
    </w:p>
    <w:p>
      <w:pPr>
        <w:spacing w:after="0" w:afterLines="-2147483648"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（5）</w:t>
      </w:r>
      <w:r>
        <w:rPr>
          <w:rFonts w:hint="eastAsia" w:ascii="宋体" w:hAnsi="宋体"/>
          <w:color w:val="auto"/>
          <w:szCs w:val="21"/>
          <w:highlight w:val="none"/>
          <w:lang w:eastAsia="zh-CN"/>
        </w:rPr>
        <w:t>同类项目主要业绩一览表</w:t>
      </w:r>
    </w:p>
    <w:p>
      <w:pPr>
        <w:spacing w:after="0" w:afterLines="-2147483648" w:line="360" w:lineRule="auto"/>
        <w:ind w:firstLine="420" w:firstLineChars="200"/>
        <w:rPr>
          <w:rFonts w:hint="eastAsia" w:ascii="宋体" w:hAnsi="宋体" w:cs="Times New Roman"/>
          <w:color w:val="auto"/>
          <w:szCs w:val="21"/>
          <w:highlight w:val="none"/>
        </w:rPr>
      </w:pPr>
      <w:r>
        <w:rPr>
          <w:rFonts w:hint="eastAsia" w:ascii="宋体" w:hAnsi="宋体"/>
          <w:color w:val="auto"/>
          <w:szCs w:val="21"/>
          <w:highlight w:val="none"/>
        </w:rPr>
        <w:t>（6）</w:t>
      </w:r>
      <w:r>
        <w:rPr>
          <w:rFonts w:hint="eastAsia" w:ascii="宋体" w:hAnsi="宋体" w:cs="Times New Roman"/>
          <w:color w:val="auto"/>
          <w:szCs w:val="21"/>
          <w:highlight w:val="none"/>
        </w:rPr>
        <w:t>项目负责人和团队人员情况表</w:t>
      </w:r>
    </w:p>
    <w:p>
      <w:pPr>
        <w:spacing w:after="0" w:afterLines="-2147483648" w:line="360" w:lineRule="auto"/>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（7）实施方案</w:t>
      </w:r>
    </w:p>
    <w:p>
      <w:pPr>
        <w:spacing w:after="0" w:afterLines="-2147483648" w:line="360" w:lineRule="auto"/>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（8）投标人诚信承诺函</w:t>
      </w:r>
    </w:p>
    <w:p>
      <w:pPr>
        <w:spacing w:after="0" w:afterLines="-2147483648" w:line="360" w:lineRule="auto"/>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（9）</w:t>
      </w:r>
      <w:r>
        <w:rPr>
          <w:rFonts w:hint="eastAsia" w:ascii="宋体" w:hAnsi="宋体"/>
          <w:color w:val="auto"/>
          <w:szCs w:val="21"/>
          <w:highlight w:val="none"/>
        </w:rPr>
        <w:t>用户需求响应表</w:t>
      </w:r>
    </w:p>
    <w:p>
      <w:pPr>
        <w:spacing w:after="0" w:afterLines="-2147483648" w:line="360" w:lineRule="auto"/>
        <w:ind w:firstLine="420" w:firstLineChars="200"/>
        <w:rPr>
          <w:rFonts w:ascii="宋体" w:hAnsi="宋体"/>
          <w:color w:val="auto"/>
          <w:szCs w:val="21"/>
          <w:highlight w:val="none"/>
        </w:rPr>
      </w:pPr>
      <w:r>
        <w:rPr>
          <w:rFonts w:hint="eastAsia" w:ascii="宋体" w:hAnsi="宋体"/>
          <w:color w:val="auto"/>
          <w:szCs w:val="21"/>
          <w:highlight w:val="none"/>
        </w:rPr>
        <w:t>（10）投标人认为需提供的其它文件及评分所需证明文件。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6、项目的报价要求。</w:t>
      </w:r>
      <w:r>
        <w:rPr>
          <w:rFonts w:hint="eastAsia" w:ascii="宋体" w:hAnsi="宋体" w:cs="Arial"/>
          <w:color w:val="auto"/>
          <w:szCs w:val="21"/>
          <w:highlight w:val="none"/>
        </w:rPr>
        <w:t>投标报价以人民币报价，为综合报价，报价应包括各项服务内容、税费</w:t>
      </w:r>
      <w:r>
        <w:rPr>
          <w:rFonts w:hint="eastAsia" w:ascii="宋体" w:hAnsi="宋体"/>
          <w:color w:val="auto"/>
          <w:szCs w:val="21"/>
          <w:highlight w:val="none"/>
        </w:rPr>
        <w:t>及与本项目有关的一切费用的总价。</w:t>
      </w:r>
    </w:p>
    <w:p>
      <w:pPr>
        <w:spacing w:line="360" w:lineRule="auto"/>
        <w:ind w:firstLine="420" w:firstLineChars="200"/>
        <w:rPr>
          <w:rFonts w:ascii="宋体" w:hAnsi="宋体"/>
          <w:b/>
          <w:color w:val="auto"/>
          <w:szCs w:val="21"/>
          <w:highlight w:val="none"/>
        </w:rPr>
      </w:pPr>
      <w:r>
        <w:rPr>
          <w:rFonts w:ascii="宋体" w:hAnsi="宋体"/>
          <w:color w:val="auto"/>
          <w:szCs w:val="21"/>
          <w:highlight w:val="none"/>
        </w:rPr>
        <w:t>7、</w:t>
      </w:r>
      <w:r>
        <w:rPr>
          <w:rFonts w:hint="eastAsia" w:ascii="宋体" w:hAnsi="宋体"/>
          <w:bCs/>
          <w:color w:val="auto"/>
          <w:szCs w:val="21"/>
          <w:highlight w:val="none"/>
        </w:rPr>
        <w:t>招标人会对本次招标的项目确定一个最高限价，最终成交价格超出最高限价将会被当作无效投标处理。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8、参加投标的供应商如需在现场述标时，要派出熟悉本项目情况的项目负责人和对报价有决策权的代表参加，谈判代表要有法人代表的授权，同时要提供法人代表证明。</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9、招标人有权根据项目的实际情况提出质量标准、服务标准、验收方式、付款方式、履约保证、等方面的要求，并就这些内容进行谈判，所有供应商都在同一标准下进行谈判。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10、本次采购凡涉及知识产权问题，由项目供应商负责。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11、招标人将组成评审委员会，</w:t>
      </w:r>
      <w:r>
        <w:rPr>
          <w:rFonts w:hint="eastAsia" w:ascii="宋体" w:hAnsi="宋体"/>
          <w:color w:val="auto"/>
          <w:szCs w:val="21"/>
          <w:highlight w:val="none"/>
          <w:lang w:val="zh-CN"/>
        </w:rPr>
        <w:t>由招标人组织不少于3名前海管理局相关工作人员组成，</w:t>
      </w:r>
      <w:r>
        <w:rPr>
          <w:rFonts w:hint="eastAsia"/>
          <w:color w:val="auto"/>
          <w:szCs w:val="21"/>
          <w:highlight w:val="none"/>
        </w:rPr>
        <w:t>拟从局内相关处室选取。</w:t>
      </w:r>
      <w:r>
        <w:rPr>
          <w:rFonts w:hint="eastAsia" w:ascii="宋体" w:hAnsi="宋体"/>
          <w:color w:val="auto"/>
          <w:szCs w:val="21"/>
          <w:highlight w:val="none"/>
        </w:rPr>
        <w:t>评审工作由评审委员会独立负责。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12、供应商应在规定的时间内提交投标文件，如需供应商代表到达现场，招标人将会在开标前一个工作日发出通知，供应商代表必须在规定的时间到达评标现场</w:t>
      </w:r>
      <w:r>
        <w:rPr>
          <w:rFonts w:hint="eastAsia" w:ascii="宋体" w:hAnsi="宋体"/>
          <w:color w:val="auto"/>
          <w:szCs w:val="21"/>
          <w:highlight w:val="none"/>
          <w:lang w:eastAsia="zh-CN"/>
        </w:rPr>
        <w:t>。如需现场谈判，</w:t>
      </w:r>
      <w:r>
        <w:rPr>
          <w:rFonts w:hint="eastAsia" w:ascii="宋体" w:hAnsi="宋体"/>
          <w:color w:val="auto"/>
          <w:szCs w:val="21"/>
          <w:highlight w:val="none"/>
          <w:lang w:val="en-US" w:eastAsia="zh-CN"/>
        </w:rPr>
        <w:t>供应商代表</w:t>
      </w:r>
      <w:r>
        <w:rPr>
          <w:rFonts w:hint="eastAsia" w:ascii="宋体" w:hAnsi="宋体"/>
          <w:color w:val="auto"/>
          <w:szCs w:val="21"/>
          <w:highlight w:val="none"/>
          <w:lang w:eastAsia="zh-CN"/>
        </w:rPr>
        <w:t>代表必须在评标半小时内到达定标现场（如需）</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13、采用综合评分法的情况：评审委员会将分别对供应商递交的投标文件进行评审。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1）评审委员会将根据供应商的、服务能力、是否满足本次采购的商务条件、报价等方面的情况进行综合评审，评标委员会依据得分情况，</w:t>
      </w:r>
      <w:r>
        <w:rPr>
          <w:rFonts w:hint="eastAsia" w:ascii="宋体" w:hAnsi="宋体"/>
          <w:b/>
          <w:bCs/>
          <w:color w:val="auto"/>
          <w:szCs w:val="21"/>
          <w:highlight w:val="none"/>
        </w:rPr>
        <w:t>取综合得分最高的1家供应商为中标候选人</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2）如果二个及以上供应商的综合评分相同时，取投标价格低者为第一中标候选人。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3）如果二个及以上供应商的综合评分相同，且投标价格也相同时，取技术部分得分高者为第一中标候选人。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w:t>
      </w:r>
      <w:r>
        <w:rPr>
          <w:rFonts w:hint="eastAsia" w:ascii="宋体" w:hAnsi="宋体" w:eastAsia="宋体" w:cs="Times New Roman"/>
          <w:color w:val="auto"/>
          <w:sz w:val="21"/>
          <w:szCs w:val="21"/>
          <w:highlight w:val="none"/>
        </w:rPr>
        <w:t>如参与投标且符合招标文件要求的供应商仅有一家，评审委员会应与投标供应商进行谈判</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谈判按以下工作程序进行</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rPr>
        <w:t>供应商在谈判时由项目负责人与评审委员会进行谈判；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）原则上成交价应为最初报价的95%</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15、供应商不得将本项目转包给其他人。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16、所有的评审/谈判内容都必须保密。</w:t>
      </w:r>
    </w:p>
    <w:p>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17.评审委员会将根据供应商的供货能力、服务能力、货物的质量、是否满足本次采购的商务条件、报价等方面的情况进行综合评价，由评审委员会确定符合本次采购要求的供应商，并确定项目成交人。</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18.招标代理服务收费：</w:t>
      </w:r>
    </w:p>
    <w:p>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以《深圳市财政委员会关于规范深圳市社会采购代理机构管理有关事项的补充通知》（深财购〔2018〕27号）代理费用参考标准的</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0%按差额定率累进法进行计费，若以上计算金额小于3000元，则按3000元收取。</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10"/>
        <w:gridCol w:w="1835"/>
        <w:gridCol w:w="1747"/>
        <w:gridCol w:w="18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0" w:hRule="atLeast"/>
          <w:jc w:val="center"/>
        </w:trPr>
        <w:tc>
          <w:tcPr>
            <w:tcW w:w="3110" w:type="dxa"/>
            <w:vMerge w:val="restart"/>
            <w:vAlign w:val="center"/>
          </w:tcPr>
          <w:p>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中标金额</w:t>
            </w:r>
          </w:p>
        </w:tc>
        <w:tc>
          <w:tcPr>
            <w:tcW w:w="5470" w:type="dxa"/>
            <w:gridSpan w:val="3"/>
            <w:vAlign w:val="center"/>
          </w:tcPr>
          <w:p>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8" w:hRule="atLeast"/>
          <w:jc w:val="center"/>
        </w:trPr>
        <w:tc>
          <w:tcPr>
            <w:tcW w:w="3110" w:type="dxa"/>
            <w:vMerge w:val="continue"/>
            <w:vAlign w:val="center"/>
          </w:tcPr>
          <w:p>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p>
        </w:tc>
        <w:tc>
          <w:tcPr>
            <w:tcW w:w="1835" w:type="dxa"/>
            <w:vAlign w:val="center"/>
          </w:tcPr>
          <w:p>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货物招标</w:t>
            </w:r>
          </w:p>
        </w:tc>
        <w:tc>
          <w:tcPr>
            <w:tcW w:w="1747" w:type="dxa"/>
            <w:vAlign w:val="center"/>
          </w:tcPr>
          <w:p>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服务招标</w:t>
            </w:r>
          </w:p>
        </w:tc>
        <w:tc>
          <w:tcPr>
            <w:tcW w:w="1888" w:type="dxa"/>
            <w:vAlign w:val="center"/>
          </w:tcPr>
          <w:p>
            <w:pPr>
              <w:keepNext w:val="0"/>
              <w:keepLines w:val="0"/>
              <w:suppressLineNumbers w:val="0"/>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1" w:hRule="atLeast"/>
          <w:jc w:val="center"/>
        </w:trPr>
        <w:tc>
          <w:tcPr>
            <w:tcW w:w="3110"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100万元以下</w:t>
            </w:r>
          </w:p>
        </w:tc>
        <w:tc>
          <w:tcPr>
            <w:tcW w:w="1835"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1.5%</w:t>
            </w:r>
          </w:p>
        </w:tc>
        <w:tc>
          <w:tcPr>
            <w:tcW w:w="1747"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1.5%</w:t>
            </w:r>
          </w:p>
        </w:tc>
        <w:tc>
          <w:tcPr>
            <w:tcW w:w="1888"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1" w:hRule="atLeast"/>
          <w:jc w:val="center"/>
        </w:trPr>
        <w:tc>
          <w:tcPr>
            <w:tcW w:w="3110"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100万元（含）-500万元</w:t>
            </w:r>
          </w:p>
        </w:tc>
        <w:tc>
          <w:tcPr>
            <w:tcW w:w="1835"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w:t>
            </w:r>
          </w:p>
        </w:tc>
        <w:tc>
          <w:tcPr>
            <w:tcW w:w="1747"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0.8%</w:t>
            </w:r>
          </w:p>
        </w:tc>
        <w:tc>
          <w:tcPr>
            <w:tcW w:w="1888"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1" w:hRule="atLeast"/>
          <w:jc w:val="center"/>
        </w:trPr>
        <w:tc>
          <w:tcPr>
            <w:tcW w:w="3110"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500万元（含）-1000万元</w:t>
            </w:r>
          </w:p>
        </w:tc>
        <w:tc>
          <w:tcPr>
            <w:tcW w:w="1835"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0.8%</w:t>
            </w:r>
          </w:p>
        </w:tc>
        <w:tc>
          <w:tcPr>
            <w:tcW w:w="1747"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0.45%</w:t>
            </w:r>
          </w:p>
        </w:tc>
        <w:tc>
          <w:tcPr>
            <w:tcW w:w="1888"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8" w:hRule="atLeast"/>
          <w:jc w:val="center"/>
        </w:trPr>
        <w:tc>
          <w:tcPr>
            <w:tcW w:w="3110"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1000万元（含）-5000万元</w:t>
            </w:r>
          </w:p>
        </w:tc>
        <w:tc>
          <w:tcPr>
            <w:tcW w:w="1835"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0.5%</w:t>
            </w:r>
          </w:p>
        </w:tc>
        <w:tc>
          <w:tcPr>
            <w:tcW w:w="1747"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0.25%</w:t>
            </w:r>
          </w:p>
        </w:tc>
        <w:tc>
          <w:tcPr>
            <w:tcW w:w="1888"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1" w:hRule="atLeast"/>
          <w:jc w:val="center"/>
        </w:trPr>
        <w:tc>
          <w:tcPr>
            <w:tcW w:w="3110"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5000万元（含）-1亿元</w:t>
            </w:r>
          </w:p>
        </w:tc>
        <w:tc>
          <w:tcPr>
            <w:tcW w:w="1835"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0.25%</w:t>
            </w:r>
          </w:p>
        </w:tc>
        <w:tc>
          <w:tcPr>
            <w:tcW w:w="1747"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0.1%</w:t>
            </w:r>
          </w:p>
        </w:tc>
        <w:tc>
          <w:tcPr>
            <w:tcW w:w="1888"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1" w:hRule="atLeast"/>
          <w:jc w:val="center"/>
        </w:trPr>
        <w:tc>
          <w:tcPr>
            <w:tcW w:w="3110"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1亿元（含）-5亿元</w:t>
            </w:r>
          </w:p>
        </w:tc>
        <w:tc>
          <w:tcPr>
            <w:tcW w:w="1835"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0.05%</w:t>
            </w:r>
          </w:p>
        </w:tc>
        <w:tc>
          <w:tcPr>
            <w:tcW w:w="1747"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0.05%</w:t>
            </w:r>
          </w:p>
        </w:tc>
        <w:tc>
          <w:tcPr>
            <w:tcW w:w="1888"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1" w:hRule="atLeast"/>
          <w:jc w:val="center"/>
        </w:trPr>
        <w:tc>
          <w:tcPr>
            <w:tcW w:w="3110"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5亿元（含）-10亿元</w:t>
            </w:r>
          </w:p>
        </w:tc>
        <w:tc>
          <w:tcPr>
            <w:tcW w:w="1835"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0.035%</w:t>
            </w:r>
          </w:p>
        </w:tc>
        <w:tc>
          <w:tcPr>
            <w:tcW w:w="1747"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0.035%</w:t>
            </w:r>
          </w:p>
        </w:tc>
        <w:tc>
          <w:tcPr>
            <w:tcW w:w="1888"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1" w:hRule="atLeast"/>
          <w:jc w:val="center"/>
        </w:trPr>
        <w:tc>
          <w:tcPr>
            <w:tcW w:w="3110"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10亿元（含）-50亿元</w:t>
            </w:r>
          </w:p>
        </w:tc>
        <w:tc>
          <w:tcPr>
            <w:tcW w:w="1835"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0.008%</w:t>
            </w:r>
          </w:p>
        </w:tc>
        <w:tc>
          <w:tcPr>
            <w:tcW w:w="1747"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0.008%</w:t>
            </w:r>
          </w:p>
        </w:tc>
        <w:tc>
          <w:tcPr>
            <w:tcW w:w="1888"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1" w:hRule="atLeast"/>
          <w:jc w:val="center"/>
        </w:trPr>
        <w:tc>
          <w:tcPr>
            <w:tcW w:w="3110"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50亿元（含）-100亿元</w:t>
            </w:r>
          </w:p>
        </w:tc>
        <w:tc>
          <w:tcPr>
            <w:tcW w:w="1835"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0.006%</w:t>
            </w:r>
          </w:p>
        </w:tc>
        <w:tc>
          <w:tcPr>
            <w:tcW w:w="1747"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0.006%</w:t>
            </w:r>
          </w:p>
        </w:tc>
        <w:tc>
          <w:tcPr>
            <w:tcW w:w="1888"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11" w:hRule="atLeast"/>
          <w:jc w:val="center"/>
        </w:trPr>
        <w:tc>
          <w:tcPr>
            <w:tcW w:w="3110"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100亿元（含）以上</w:t>
            </w:r>
          </w:p>
        </w:tc>
        <w:tc>
          <w:tcPr>
            <w:tcW w:w="1835"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0.004%</w:t>
            </w:r>
          </w:p>
        </w:tc>
        <w:tc>
          <w:tcPr>
            <w:tcW w:w="1747"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0.004%</w:t>
            </w:r>
          </w:p>
        </w:tc>
        <w:tc>
          <w:tcPr>
            <w:tcW w:w="1888" w:type="dxa"/>
            <w:vAlign w:val="center"/>
          </w:tcPr>
          <w:p>
            <w:pPr>
              <w:keepNext w:val="0"/>
              <w:keepLines w:val="0"/>
              <w:suppressLineNumbers w:val="0"/>
              <w:adjustRightInd/>
              <w:snapToGrid/>
              <w:spacing w:before="0" w:beforeAutospacing="0" w:after="0" w:afterAutospacing="0" w:line="360" w:lineRule="auto"/>
              <w:ind w:left="0" w:right="0"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0.004%</w:t>
            </w:r>
          </w:p>
        </w:tc>
      </w:tr>
    </w:tbl>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招标代理服务费缴纳至：</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开户名称：友和保险经纪有限公司</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银行帐号：中国民生银行深圳分行福田支行</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开户银行：1806014170017592</w:t>
      </w:r>
    </w:p>
    <w:p>
      <w:pPr>
        <w:spacing w:line="360" w:lineRule="auto"/>
        <w:ind w:firstLine="420" w:firstLineChars="200"/>
        <w:rPr>
          <w:rFonts w:hint="eastAsia" w:ascii="宋体" w:hAnsi="宋体" w:eastAsia="宋体"/>
          <w:color w:val="auto"/>
          <w:sz w:val="21"/>
          <w:szCs w:val="21"/>
          <w:highlight w:val="none"/>
        </w:rPr>
      </w:pPr>
    </w:p>
    <w:p>
      <w:pPr>
        <w:spacing w:line="360" w:lineRule="auto"/>
        <w:rPr>
          <w:color w:val="auto"/>
          <w:sz w:val="24"/>
          <w:highlight w:val="none"/>
        </w:rPr>
      </w:pPr>
    </w:p>
    <w:p>
      <w:pPr>
        <w:spacing w:line="360" w:lineRule="auto"/>
        <w:rPr>
          <w:color w:val="auto"/>
          <w:sz w:val="24"/>
          <w:highlight w:val="none"/>
        </w:rPr>
      </w:pPr>
    </w:p>
    <w:p>
      <w:pPr>
        <w:spacing w:line="360" w:lineRule="auto"/>
        <w:jc w:val="center"/>
        <w:rPr>
          <w:b/>
          <w:bCs/>
          <w:color w:val="auto"/>
          <w:sz w:val="32"/>
          <w:highlight w:val="none"/>
        </w:rPr>
      </w:pPr>
    </w:p>
    <w:p>
      <w:pPr>
        <w:spacing w:line="360" w:lineRule="auto"/>
        <w:jc w:val="center"/>
        <w:rPr>
          <w:b/>
          <w:bCs/>
          <w:color w:val="auto"/>
          <w:sz w:val="32"/>
          <w:highlight w:val="none"/>
        </w:rPr>
      </w:pPr>
    </w:p>
    <w:p>
      <w:pPr>
        <w:spacing w:line="360" w:lineRule="auto"/>
        <w:jc w:val="center"/>
        <w:rPr>
          <w:b/>
          <w:bCs/>
          <w:color w:val="auto"/>
          <w:sz w:val="32"/>
          <w:highlight w:val="none"/>
        </w:rPr>
      </w:pPr>
    </w:p>
    <w:p>
      <w:pPr>
        <w:pStyle w:val="2"/>
      </w:pPr>
    </w:p>
    <w:p/>
    <w:p>
      <w:pPr>
        <w:pStyle w:val="2"/>
      </w:pPr>
    </w:p>
    <w:p/>
    <w:p>
      <w:pPr>
        <w:spacing w:line="360" w:lineRule="auto"/>
        <w:jc w:val="center"/>
        <w:outlineLvl w:val="0"/>
        <w:rPr>
          <w:rFonts w:hint="eastAsia"/>
          <w:b/>
          <w:bCs/>
          <w:color w:val="auto"/>
          <w:sz w:val="32"/>
          <w:highlight w:val="none"/>
        </w:rPr>
      </w:pPr>
      <w:bookmarkStart w:id="23" w:name="_Toc77523177"/>
      <w:bookmarkStart w:id="24" w:name="_Toc12423"/>
      <w:bookmarkStart w:id="25" w:name="_Toc1283"/>
      <w:bookmarkStart w:id="26" w:name="_Toc31342"/>
      <w:bookmarkStart w:id="27" w:name="_Toc20089"/>
      <w:bookmarkStart w:id="28" w:name="_Toc51746095"/>
      <w:bookmarkStart w:id="29" w:name="_Toc29421"/>
      <w:bookmarkStart w:id="30" w:name="_Toc29254"/>
      <w:bookmarkStart w:id="31" w:name="_Toc6028"/>
    </w:p>
    <w:p>
      <w:pPr>
        <w:spacing w:line="240" w:lineRule="auto"/>
        <w:jc w:val="left"/>
        <w:outlineLvl w:val="9"/>
        <w:rPr>
          <w:rFonts w:hint="eastAsia"/>
          <w:b/>
          <w:bCs/>
          <w:color w:val="auto"/>
          <w:sz w:val="32"/>
          <w:highlight w:val="none"/>
        </w:rPr>
      </w:pPr>
      <w:r>
        <w:rPr>
          <w:rFonts w:hint="eastAsia"/>
          <w:b/>
          <w:bCs/>
          <w:color w:val="auto"/>
          <w:sz w:val="32"/>
          <w:highlight w:val="none"/>
        </w:rPr>
        <w:br w:type="page"/>
      </w:r>
    </w:p>
    <w:p>
      <w:pPr>
        <w:spacing w:line="360" w:lineRule="auto"/>
        <w:jc w:val="center"/>
        <w:outlineLvl w:val="0"/>
        <w:rPr>
          <w:b/>
          <w:bCs/>
          <w:color w:val="auto"/>
          <w:sz w:val="32"/>
          <w:highlight w:val="none"/>
        </w:rPr>
      </w:pPr>
      <w:bookmarkStart w:id="32" w:name="_Toc6132"/>
      <w:r>
        <w:rPr>
          <w:rFonts w:hint="eastAsia"/>
          <w:b/>
          <w:bCs/>
          <w:color w:val="auto"/>
          <w:sz w:val="32"/>
          <w:highlight w:val="none"/>
        </w:rPr>
        <w:t>第三章 评标程序</w:t>
      </w:r>
      <w:bookmarkEnd w:id="23"/>
      <w:bookmarkEnd w:id="24"/>
      <w:bookmarkEnd w:id="25"/>
      <w:bookmarkEnd w:id="26"/>
      <w:bookmarkEnd w:id="27"/>
      <w:bookmarkEnd w:id="28"/>
      <w:bookmarkEnd w:id="29"/>
      <w:bookmarkEnd w:id="30"/>
      <w:bookmarkEnd w:id="31"/>
      <w:bookmarkEnd w:id="32"/>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一、评审委员会由前海管理局组织相关工作人员构成，人数要求为三人或三人以上的单数，评审委员会在开标开始前一天组成。</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二、参加评标会议人员：投标人代表（如需）、项目负责代表、评审委员会成员、监督部门代表。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三、会议主持人：开标评标会议由采购小组工作人员主持。</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四、开标时间：202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w:t>
      </w:r>
      <w:r>
        <w:rPr>
          <w:rFonts w:hint="eastAsia" w:ascii="宋体" w:hAnsi="宋体" w:cs="宋体"/>
          <w:color w:val="auto"/>
          <w:szCs w:val="21"/>
          <w:highlight w:val="yellow"/>
          <w:lang w:val="en-US" w:eastAsia="zh-CN"/>
        </w:rPr>
        <w:t>14</w:t>
      </w:r>
      <w:r>
        <w:rPr>
          <w:rFonts w:hint="eastAsia" w:ascii="宋体" w:hAnsi="宋体" w:cs="宋体"/>
          <w:color w:val="auto"/>
          <w:szCs w:val="21"/>
          <w:highlight w:val="none"/>
        </w:rPr>
        <w:t>时</w:t>
      </w:r>
      <w:r>
        <w:rPr>
          <w:rFonts w:hint="eastAsia" w:ascii="宋体" w:hAnsi="宋体" w:cs="宋体"/>
          <w:color w:val="auto"/>
          <w:szCs w:val="21"/>
          <w:highlight w:val="yellow"/>
          <w:lang w:val="en-US" w:eastAsia="zh-CN"/>
        </w:rPr>
        <w:t>30</w:t>
      </w:r>
      <w:r>
        <w:rPr>
          <w:rFonts w:hint="eastAsia" w:ascii="宋体" w:hAnsi="宋体" w:cs="宋体"/>
          <w:color w:val="auto"/>
          <w:szCs w:val="21"/>
          <w:highlight w:val="none"/>
        </w:rPr>
        <w:t>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五、会议开始：202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w:t>
      </w:r>
      <w:r>
        <w:rPr>
          <w:rFonts w:hint="eastAsia" w:ascii="宋体" w:hAnsi="宋体" w:cs="宋体"/>
          <w:color w:val="auto"/>
          <w:szCs w:val="21"/>
          <w:highlight w:val="yellow"/>
          <w:lang w:val="en-US" w:eastAsia="zh-CN"/>
        </w:rPr>
        <w:t>14</w:t>
      </w:r>
      <w:r>
        <w:rPr>
          <w:rFonts w:hint="eastAsia" w:ascii="宋体" w:hAnsi="宋体" w:cs="宋体"/>
          <w:color w:val="auto"/>
          <w:szCs w:val="21"/>
          <w:highlight w:val="none"/>
        </w:rPr>
        <w:t>时</w:t>
      </w:r>
      <w:r>
        <w:rPr>
          <w:rFonts w:hint="eastAsia" w:ascii="宋体" w:hAnsi="宋体" w:cs="宋体"/>
          <w:color w:val="auto"/>
          <w:szCs w:val="21"/>
          <w:highlight w:val="yellow"/>
          <w:lang w:val="en-US" w:eastAsia="zh-CN"/>
        </w:rPr>
        <w:t>30</w:t>
      </w:r>
      <w:r>
        <w:rPr>
          <w:rFonts w:hint="eastAsia" w:ascii="宋体" w:hAnsi="宋体" w:cs="宋体"/>
          <w:color w:val="auto"/>
          <w:szCs w:val="21"/>
          <w:highlight w:val="none"/>
        </w:rPr>
        <w:t>分由会议主持人宣布评标会议开始。</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六、项目负责代表向监督部门代表送交投标文件，监督部门代表确认投标文件密封完整，未密封投标文件将作为无效投标。</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七、由监督部门代表现场拆封投标文件，并分发给评审委员会成员。</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八、评审委员会审查供应商的投标文件，工作人员记录审查的情况。</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九、评审委员会按以下工作程序进行：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1.评标委员会对各供应商的投标文件进行初审，对未能通过初审的投标文件作投标无效处理。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2.对通过初审的供应商的投标文件进行详细的比较和评价。如需要，进行必要的澄清/说明工作。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3.根据参与投标且符合招标文件要求的供应商数量情况，确定本项目的评审方法。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4.采用综合评分法：评审委员会将分别对供应商递交的投标文件进行评审。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4.1评审委员会将根据供应商的服务能力、是否满足本次采购的商务条件、报价等方面的情况进行综合评价，</w:t>
      </w:r>
      <w:r>
        <w:rPr>
          <w:rFonts w:hint="eastAsia" w:ascii="宋体" w:hAnsi="宋体" w:eastAsia="宋体" w:cs="宋体"/>
          <w:color w:val="auto"/>
          <w:szCs w:val="21"/>
          <w:highlight w:val="none"/>
        </w:rPr>
        <w:t>评标委员会依据得分情况推荐综合得分第一名的供应商为第一中标候选人</w:t>
      </w:r>
      <w:r>
        <w:rPr>
          <w:rFonts w:hint="eastAsia" w:ascii="宋体" w:hAnsi="宋体" w:eastAsia="宋体" w:cs="宋体"/>
          <w:color w:val="auto"/>
          <w:szCs w:val="21"/>
          <w:highlight w:val="none"/>
          <w:lang w:eastAsia="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4.2如果二个及以上供应商的综合评分相同时，取投标价格低者为第一中标候选人。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4.3如果二个及以上供应商的综合评分相同，且投标价格也相同时，取技术部分得分高者为第一中标候选人。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5.如参与投标且符合招标文件要求的供应商仅有一家，评审委员会应与投标供应商进行谈判</w:t>
      </w:r>
      <w:r>
        <w:rPr>
          <w:rFonts w:hint="eastAsia" w:ascii="宋体" w:hAnsi="宋体" w:cs="宋体"/>
          <w:color w:val="auto"/>
          <w:szCs w:val="21"/>
          <w:highlight w:val="none"/>
          <w:lang w:eastAsia="zh-CN"/>
        </w:rPr>
        <w:t>，</w:t>
      </w:r>
      <w:r>
        <w:rPr>
          <w:rFonts w:hint="eastAsia" w:ascii="宋体" w:hAnsi="宋体" w:cs="宋体"/>
          <w:color w:val="auto"/>
          <w:szCs w:val="21"/>
          <w:highlight w:val="none"/>
        </w:rPr>
        <w:t>谈判按以下工作程序进行。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供应商在谈判时由项目负责人与评审委员会进行谈判。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原则上成交价应为最初报价的95%</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6.评审委员会按照本项目招标文件中规定的评标方法确定中标供应商。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十、根据本次招标的结果，</w:t>
      </w:r>
      <w:r>
        <w:rPr>
          <w:rFonts w:hint="eastAsia" w:ascii="宋体" w:hAnsi="宋体" w:cs="宋体"/>
          <w:color w:val="auto"/>
          <w:szCs w:val="21"/>
          <w:highlight w:val="none"/>
          <w:lang w:val="en-US" w:eastAsia="zh-CN"/>
        </w:rPr>
        <w:t>自成交通知书发出之日起</w:t>
      </w:r>
      <w:r>
        <w:rPr>
          <w:rFonts w:hint="eastAsia" w:ascii="宋体" w:hAnsi="宋体" w:cs="宋体"/>
          <w:color w:val="auto"/>
          <w:szCs w:val="21"/>
          <w:highlight w:val="none"/>
        </w:rPr>
        <w:t>十</w:t>
      </w:r>
      <w:r>
        <w:rPr>
          <w:rFonts w:hint="eastAsia" w:ascii="宋体" w:hAnsi="宋体" w:cs="宋体"/>
          <w:color w:val="auto"/>
          <w:szCs w:val="21"/>
          <w:highlight w:val="none"/>
          <w:lang w:val="en-US" w:eastAsia="zh-CN"/>
        </w:rPr>
        <w:t>个工作日</w:t>
      </w:r>
      <w:r>
        <w:rPr>
          <w:rFonts w:hint="eastAsia" w:ascii="宋体" w:hAnsi="宋体" w:cs="宋体"/>
          <w:color w:val="auto"/>
          <w:szCs w:val="21"/>
          <w:highlight w:val="none"/>
        </w:rPr>
        <w:t>内</w:t>
      </w:r>
      <w:r>
        <w:rPr>
          <w:rFonts w:ascii="Helvetica" w:hAnsi="Helvetica" w:eastAsia="Helvetica" w:cs="Helvetica"/>
          <w:i w:val="0"/>
          <w:iCs w:val="0"/>
          <w:caps w:val="0"/>
          <w:color w:val="auto"/>
          <w:spacing w:val="0"/>
          <w:sz w:val="21"/>
          <w:szCs w:val="21"/>
          <w:highlight w:val="none"/>
          <w:shd w:val="clear" w:fill="FFFFFF"/>
        </w:rPr>
        <w:t>按照采购文件确定的事项签订合同。</w:t>
      </w:r>
    </w:p>
    <w:p>
      <w:pPr>
        <w:numPr>
          <w:ilvl w:val="-1"/>
          <w:numId w:val="0"/>
        </w:numPr>
        <w:jc w:val="left"/>
        <w:outlineLvl w:val="9"/>
        <w:rPr>
          <w:color w:val="auto"/>
          <w:highlight w:val="none"/>
        </w:rPr>
      </w:pPr>
      <w:r>
        <w:rPr>
          <w:rFonts w:hint="eastAsia" w:ascii="宋体"/>
          <w:b/>
          <w:bCs/>
          <w:color w:val="auto"/>
          <w:sz w:val="32"/>
          <w:szCs w:val="28"/>
          <w:highlight w:val="none"/>
          <w:lang w:val="en-US" w:eastAsia="zh-CN"/>
        </w:rPr>
        <w:br w:type="page"/>
      </w:r>
    </w:p>
    <w:p>
      <w:pPr>
        <w:numPr>
          <w:ilvl w:val="0"/>
          <w:numId w:val="1"/>
        </w:numPr>
        <w:jc w:val="center"/>
        <w:outlineLvl w:val="0"/>
        <w:rPr>
          <w:color w:val="auto"/>
          <w:highlight w:val="none"/>
        </w:rPr>
      </w:pPr>
      <w:r>
        <w:rPr>
          <w:rFonts w:hint="eastAsia" w:ascii="宋体"/>
          <w:b/>
          <w:bCs/>
          <w:color w:val="auto"/>
          <w:sz w:val="32"/>
          <w:szCs w:val="28"/>
          <w:highlight w:val="none"/>
          <w:lang w:val="en-US" w:eastAsia="zh-CN"/>
        </w:rPr>
        <w:t xml:space="preserve"> </w:t>
      </w:r>
      <w:bookmarkStart w:id="33" w:name="_Toc30708"/>
      <w:bookmarkStart w:id="34" w:name="_Toc228"/>
      <w:bookmarkStart w:id="35" w:name="_Toc30095"/>
      <w:bookmarkStart w:id="36" w:name="_Toc5421"/>
      <w:r>
        <w:rPr>
          <w:rFonts w:hint="eastAsia" w:ascii="宋体"/>
          <w:b/>
          <w:bCs/>
          <w:color w:val="auto"/>
          <w:sz w:val="32"/>
          <w:szCs w:val="28"/>
          <w:highlight w:val="none"/>
        </w:rPr>
        <w:t xml:space="preserve">合 </w:t>
      </w:r>
      <w:r>
        <w:rPr>
          <w:rFonts w:hint="eastAsia" w:ascii="宋体"/>
          <w:b/>
          <w:bCs/>
          <w:color w:val="auto"/>
          <w:sz w:val="32"/>
          <w:szCs w:val="28"/>
          <w:highlight w:val="none"/>
          <w:lang w:val="en-US" w:eastAsia="zh-CN"/>
        </w:rPr>
        <w:t xml:space="preserve"> </w:t>
      </w:r>
      <w:r>
        <w:rPr>
          <w:rFonts w:hint="eastAsia" w:ascii="宋体"/>
          <w:b/>
          <w:bCs/>
          <w:color w:val="auto"/>
          <w:sz w:val="32"/>
          <w:szCs w:val="28"/>
          <w:highlight w:val="none"/>
        </w:rPr>
        <w:t>同</w:t>
      </w:r>
      <w:bookmarkEnd w:id="33"/>
      <w:bookmarkEnd w:id="34"/>
      <w:bookmarkEnd w:id="35"/>
      <w:bookmarkEnd w:id="36"/>
    </w:p>
    <w:p>
      <w:pPr>
        <w:tabs>
          <w:tab w:val="left" w:pos="1251"/>
          <w:tab w:val="left" w:pos="1511"/>
        </w:tabs>
        <w:wordWrap w:val="0"/>
        <w:adjustRightInd w:val="0"/>
        <w:snapToGrid w:val="0"/>
        <w:spacing w:line="360" w:lineRule="auto"/>
        <w:jc w:val="right"/>
        <w:rPr>
          <w:rFonts w:hint="default"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 w:val="24"/>
          <w:highlight w:val="none"/>
        </w:rPr>
        <w:t>工程编号：</w:t>
      </w:r>
      <w:r>
        <w:rPr>
          <w:rFonts w:hint="eastAsia" w:ascii="宋体" w:hAnsi="宋体" w:cs="宋体"/>
          <w:snapToGrid w:val="0"/>
          <w:color w:val="auto"/>
          <w:kern w:val="0"/>
          <w:sz w:val="24"/>
          <w:highlight w:val="none"/>
          <w:lang w:val="en-US" w:eastAsia="zh-CN"/>
        </w:rPr>
        <w:t xml:space="preserve">             </w:t>
      </w:r>
    </w:p>
    <w:p>
      <w:pPr>
        <w:tabs>
          <w:tab w:val="left" w:pos="1251"/>
          <w:tab w:val="left" w:pos="1511"/>
        </w:tabs>
        <w:wordWrap w:val="0"/>
        <w:adjustRightInd w:val="0"/>
        <w:snapToGrid w:val="0"/>
        <w:spacing w:line="360" w:lineRule="auto"/>
        <w:jc w:val="right"/>
        <w:rPr>
          <w:rFonts w:hint="default" w:ascii="宋体" w:hAnsi="宋体" w:eastAsia="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rPr>
        <w:t>合同编号：</w:t>
      </w:r>
      <w:r>
        <w:rPr>
          <w:rFonts w:hint="eastAsia" w:ascii="宋体" w:hAnsi="宋体" w:cs="宋体"/>
          <w:snapToGrid w:val="0"/>
          <w:color w:val="auto"/>
          <w:kern w:val="0"/>
          <w:sz w:val="24"/>
          <w:highlight w:val="none"/>
          <w:lang w:val="en-US" w:eastAsia="zh-CN"/>
        </w:rPr>
        <w:t xml:space="preserve">             </w:t>
      </w:r>
    </w:p>
    <w:p>
      <w:pPr>
        <w:tabs>
          <w:tab w:val="left" w:pos="1251"/>
          <w:tab w:val="left" w:pos="1511"/>
        </w:tabs>
        <w:adjustRightInd w:val="0"/>
        <w:snapToGrid w:val="0"/>
        <w:spacing w:line="360" w:lineRule="auto"/>
        <w:jc w:val="both"/>
        <w:rPr>
          <w:rFonts w:ascii="宋体" w:hAnsi="宋体"/>
          <w:snapToGrid w:val="0"/>
          <w:color w:val="auto"/>
          <w:kern w:val="0"/>
          <w:sz w:val="24"/>
          <w:highlight w:val="none"/>
        </w:rPr>
      </w:pPr>
    </w:p>
    <w:p>
      <w:pPr>
        <w:tabs>
          <w:tab w:val="left" w:pos="1251"/>
          <w:tab w:val="left" w:pos="1511"/>
        </w:tabs>
        <w:adjustRightInd w:val="0"/>
        <w:snapToGrid w:val="0"/>
        <w:spacing w:line="360" w:lineRule="auto"/>
        <w:jc w:val="right"/>
        <w:rPr>
          <w:rFonts w:ascii="宋体" w:hAnsi="宋体"/>
          <w:snapToGrid w:val="0"/>
          <w:color w:val="auto"/>
          <w:kern w:val="0"/>
          <w:sz w:val="24"/>
          <w:highlight w:val="none"/>
        </w:rPr>
      </w:pPr>
    </w:p>
    <w:p>
      <w:pPr>
        <w:adjustRightInd w:val="0"/>
        <w:snapToGrid w:val="0"/>
        <w:spacing w:line="360" w:lineRule="auto"/>
        <w:jc w:val="center"/>
        <w:rPr>
          <w:rFonts w:ascii="黑体" w:hAnsi="宋体" w:eastAsia="黑体"/>
          <w:snapToGrid w:val="0"/>
          <w:color w:val="auto"/>
          <w:kern w:val="0"/>
          <w:sz w:val="60"/>
          <w:szCs w:val="60"/>
          <w:highlight w:val="none"/>
        </w:rPr>
      </w:pPr>
      <w:r>
        <w:rPr>
          <w:rFonts w:hint="eastAsia" w:ascii="黑体" w:hAnsi="宋体" w:eastAsia="黑体"/>
          <w:snapToGrid w:val="0"/>
          <w:color w:val="auto"/>
          <w:kern w:val="0"/>
          <w:sz w:val="60"/>
          <w:szCs w:val="60"/>
          <w:highlight w:val="none"/>
        </w:rPr>
        <w:t>深圳市工程监理合同</w:t>
      </w:r>
    </w:p>
    <w:p>
      <w:pPr>
        <w:adjustRightInd w:val="0"/>
        <w:snapToGrid w:val="0"/>
        <w:spacing w:line="360" w:lineRule="auto"/>
        <w:jc w:val="center"/>
        <w:rPr>
          <w:rFonts w:ascii="宋体" w:hAnsi="宋体"/>
          <w:snapToGrid w:val="0"/>
          <w:color w:val="auto"/>
          <w:kern w:val="0"/>
          <w:sz w:val="44"/>
          <w:szCs w:val="44"/>
          <w:highlight w:val="none"/>
        </w:rPr>
      </w:pPr>
      <w:r>
        <w:rPr>
          <w:rFonts w:hint="eastAsia" w:ascii="宋体" w:hAnsi="宋体"/>
          <w:snapToGrid w:val="0"/>
          <w:color w:val="auto"/>
          <w:kern w:val="0"/>
          <w:sz w:val="44"/>
          <w:szCs w:val="44"/>
          <w:highlight w:val="none"/>
        </w:rPr>
        <w:t>（示 范 文 本）</w:t>
      </w:r>
    </w:p>
    <w:p>
      <w:pPr>
        <w:adjustRightInd w:val="0"/>
        <w:snapToGrid w:val="0"/>
        <w:spacing w:line="360" w:lineRule="auto"/>
        <w:jc w:val="center"/>
        <w:rPr>
          <w:rFonts w:ascii="宋体" w:hAnsi="宋体"/>
          <w:snapToGrid w:val="0"/>
          <w:color w:val="auto"/>
          <w:kern w:val="0"/>
          <w:sz w:val="44"/>
          <w:szCs w:val="44"/>
          <w:highlight w:val="none"/>
        </w:rPr>
      </w:pPr>
    </w:p>
    <w:p>
      <w:pPr>
        <w:adjustRightInd w:val="0"/>
        <w:snapToGrid w:val="0"/>
        <w:spacing w:line="360" w:lineRule="auto"/>
        <w:jc w:val="center"/>
        <w:rPr>
          <w:rFonts w:ascii="宋体" w:hAnsi="宋体"/>
          <w:snapToGrid w:val="0"/>
          <w:color w:val="auto"/>
          <w:kern w:val="0"/>
          <w:sz w:val="44"/>
          <w:szCs w:val="44"/>
          <w:highlight w:val="none"/>
        </w:rPr>
      </w:pPr>
    </w:p>
    <w:p>
      <w:pPr>
        <w:adjustRightInd w:val="0"/>
        <w:snapToGrid w:val="0"/>
        <w:spacing w:line="360" w:lineRule="auto"/>
        <w:jc w:val="center"/>
        <w:rPr>
          <w:rFonts w:ascii="宋体" w:hAnsi="宋体"/>
          <w:snapToGrid w:val="0"/>
          <w:color w:val="auto"/>
          <w:kern w:val="0"/>
          <w:sz w:val="44"/>
          <w:szCs w:val="44"/>
          <w:highlight w:val="none"/>
        </w:rPr>
      </w:pPr>
    </w:p>
    <w:p>
      <w:pPr>
        <w:adjustRightInd w:val="0"/>
        <w:snapToGrid w:val="0"/>
        <w:spacing w:line="360" w:lineRule="auto"/>
        <w:jc w:val="center"/>
        <w:rPr>
          <w:rFonts w:ascii="宋体" w:hAnsi="宋体"/>
          <w:snapToGrid w:val="0"/>
          <w:color w:val="auto"/>
          <w:kern w:val="0"/>
          <w:sz w:val="44"/>
          <w:szCs w:val="44"/>
          <w:highlight w:val="none"/>
        </w:rPr>
      </w:pPr>
    </w:p>
    <w:p>
      <w:pPr>
        <w:adjustRightInd w:val="0"/>
        <w:snapToGrid w:val="0"/>
        <w:spacing w:line="360" w:lineRule="auto"/>
        <w:ind w:firstLine="640" w:firstLineChars="200"/>
        <w:jc w:val="left"/>
        <w:rPr>
          <w:rFonts w:hint="eastAsia" w:ascii="宋体" w:hAnsi="宋体" w:eastAsia="宋体" w:cs="宋体"/>
          <w:snapToGrid w:val="0"/>
          <w:color w:val="auto"/>
          <w:kern w:val="0"/>
          <w:sz w:val="32"/>
          <w:szCs w:val="32"/>
          <w:highlight w:val="none"/>
        </w:rPr>
      </w:pPr>
      <w:r>
        <w:rPr>
          <w:rFonts w:hint="eastAsia" w:ascii="宋体" w:hAnsi="宋体" w:eastAsia="宋体" w:cs="宋体"/>
          <w:snapToGrid w:val="0"/>
          <w:color w:val="auto"/>
          <w:kern w:val="0"/>
          <w:sz w:val="32"/>
          <w:szCs w:val="32"/>
          <w:highlight w:val="none"/>
        </w:rPr>
        <w:t>工程名称：_______________________________</w:t>
      </w:r>
    </w:p>
    <w:p>
      <w:pPr>
        <w:adjustRightInd w:val="0"/>
        <w:snapToGrid w:val="0"/>
        <w:spacing w:line="360" w:lineRule="auto"/>
        <w:ind w:firstLine="640" w:firstLineChars="200"/>
        <w:jc w:val="left"/>
        <w:rPr>
          <w:rFonts w:hint="eastAsia" w:ascii="宋体" w:hAnsi="宋体" w:eastAsia="宋体" w:cs="宋体"/>
          <w:snapToGrid w:val="0"/>
          <w:color w:val="auto"/>
          <w:kern w:val="0"/>
          <w:sz w:val="32"/>
          <w:szCs w:val="32"/>
          <w:highlight w:val="none"/>
        </w:rPr>
      </w:pPr>
      <w:r>
        <w:rPr>
          <w:rFonts w:hint="eastAsia" w:ascii="宋体" w:hAnsi="宋体" w:eastAsia="宋体" w:cs="宋体"/>
          <w:snapToGrid w:val="0"/>
          <w:color w:val="auto"/>
          <w:kern w:val="0"/>
          <w:sz w:val="32"/>
          <w:szCs w:val="32"/>
          <w:highlight w:val="none"/>
        </w:rPr>
        <w:t>工程地点：_______________________________</w:t>
      </w:r>
    </w:p>
    <w:p>
      <w:pPr>
        <w:adjustRightInd w:val="0"/>
        <w:snapToGrid w:val="0"/>
        <w:spacing w:line="360" w:lineRule="auto"/>
        <w:ind w:firstLine="640" w:firstLineChars="200"/>
        <w:jc w:val="left"/>
        <w:rPr>
          <w:rFonts w:hint="eastAsia" w:ascii="宋体" w:hAnsi="宋体" w:eastAsia="宋体" w:cs="宋体"/>
          <w:snapToGrid w:val="0"/>
          <w:color w:val="auto"/>
          <w:kern w:val="0"/>
          <w:sz w:val="32"/>
          <w:szCs w:val="32"/>
          <w:highlight w:val="none"/>
        </w:rPr>
      </w:pPr>
      <w:r>
        <w:rPr>
          <w:rFonts w:hint="eastAsia" w:ascii="宋体" w:hAnsi="宋体" w:eastAsia="宋体" w:cs="宋体"/>
          <w:snapToGrid w:val="0"/>
          <w:color w:val="auto"/>
          <w:kern w:val="0"/>
          <w:sz w:val="32"/>
          <w:szCs w:val="32"/>
          <w:highlight w:val="none"/>
        </w:rPr>
        <w:t>委 托 人：_______________________________</w:t>
      </w:r>
    </w:p>
    <w:p>
      <w:pPr>
        <w:adjustRightInd w:val="0"/>
        <w:snapToGrid w:val="0"/>
        <w:spacing w:line="360" w:lineRule="auto"/>
        <w:ind w:firstLine="640" w:firstLineChars="200"/>
        <w:jc w:val="left"/>
        <w:rPr>
          <w:rFonts w:hint="eastAsia" w:ascii="宋体" w:hAnsi="宋体" w:eastAsia="宋体" w:cs="宋体"/>
          <w:snapToGrid w:val="0"/>
          <w:color w:val="auto"/>
          <w:kern w:val="0"/>
          <w:sz w:val="32"/>
          <w:szCs w:val="32"/>
          <w:highlight w:val="none"/>
        </w:rPr>
      </w:pPr>
      <w:r>
        <w:rPr>
          <w:rFonts w:hint="eastAsia" w:ascii="宋体" w:hAnsi="宋体" w:eastAsia="宋体" w:cs="宋体"/>
          <w:snapToGrid w:val="0"/>
          <w:color w:val="auto"/>
          <w:kern w:val="0"/>
          <w:sz w:val="32"/>
          <w:szCs w:val="32"/>
          <w:highlight w:val="none"/>
        </w:rPr>
        <w:t>受 托 人：_______________________________</w:t>
      </w:r>
    </w:p>
    <w:p>
      <w:pPr>
        <w:adjustRightInd w:val="0"/>
        <w:snapToGrid w:val="0"/>
        <w:spacing w:line="360" w:lineRule="auto"/>
        <w:ind w:firstLine="640" w:firstLineChars="200"/>
        <w:jc w:val="left"/>
        <w:rPr>
          <w:rFonts w:hint="eastAsia" w:ascii="宋体" w:hAnsi="宋体" w:eastAsia="宋体" w:cs="宋体"/>
          <w:snapToGrid w:val="0"/>
          <w:color w:val="auto"/>
          <w:kern w:val="0"/>
          <w:sz w:val="32"/>
          <w:szCs w:val="32"/>
          <w:highlight w:val="none"/>
        </w:rPr>
      </w:pPr>
    </w:p>
    <w:p>
      <w:pPr>
        <w:bidi w:val="0"/>
        <w:rPr>
          <w:color w:val="auto"/>
          <w:highlight w:val="none"/>
        </w:rPr>
      </w:pPr>
    </w:p>
    <w:p>
      <w:pPr>
        <w:spacing w:line="360" w:lineRule="auto"/>
        <w:ind w:firstLine="420" w:firstLineChars="200"/>
        <w:jc w:val="center"/>
        <w:rPr>
          <w:rFonts w:hint="eastAsia" w:ascii="宋体" w:hAnsi="宋体" w:cs="宋体"/>
          <w:color w:val="auto"/>
          <w:szCs w:val="21"/>
          <w:highlight w:val="none"/>
        </w:rPr>
      </w:pPr>
      <w:bookmarkStart w:id="37" w:name="?????"/>
      <w:bookmarkEnd w:id="37"/>
      <w:bookmarkStart w:id="38" w:name="合同协议书"/>
      <w:r>
        <w:rPr>
          <w:rFonts w:hint="eastAsia" w:ascii="宋体" w:hAnsi="宋体" w:cs="宋体"/>
          <w:color w:val="auto"/>
          <w:szCs w:val="21"/>
          <w:highlight w:val="none"/>
        </w:rPr>
        <w:t>（参考文本，在双方沟通达成一致时，可对非实质性内容进行优化）</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6"/>
        <w:spacing w:before="240" w:after="240" w:line="500" w:lineRule="exact"/>
        <w:jc w:val="center"/>
        <w:rPr>
          <w:color w:val="auto"/>
          <w:highlight w:val="none"/>
        </w:rPr>
      </w:pPr>
      <w:bookmarkStart w:id="39" w:name="_Toc6378"/>
      <w:r>
        <w:rPr>
          <w:rFonts w:hint="eastAsia" w:ascii="黑体"/>
          <w:color w:val="auto"/>
          <w:sz w:val="36"/>
          <w:szCs w:val="36"/>
          <w:highlight w:val="none"/>
        </w:rPr>
        <w:t>第</w:t>
      </w:r>
      <w:r>
        <w:rPr>
          <w:rFonts w:hint="eastAsia"/>
          <w:color w:val="auto"/>
          <w:sz w:val="36"/>
          <w:szCs w:val="36"/>
          <w:highlight w:val="none"/>
          <w:lang w:val="en-US" w:eastAsia="zh-CN"/>
        </w:rPr>
        <w:t>一</w:t>
      </w:r>
      <w:r>
        <w:rPr>
          <w:rFonts w:hint="eastAsia" w:ascii="黑体"/>
          <w:color w:val="auto"/>
          <w:sz w:val="36"/>
          <w:szCs w:val="36"/>
          <w:highlight w:val="none"/>
        </w:rPr>
        <w:t>部分</w:t>
      </w:r>
      <w:r>
        <w:rPr>
          <w:rFonts w:ascii="黑体"/>
          <w:color w:val="auto"/>
          <w:sz w:val="36"/>
          <w:szCs w:val="36"/>
          <w:highlight w:val="none"/>
        </w:rPr>
        <w:t xml:space="preserve">  </w:t>
      </w:r>
      <w:r>
        <w:rPr>
          <w:rFonts w:hint="eastAsia"/>
          <w:color w:val="auto"/>
          <w:sz w:val="36"/>
          <w:szCs w:val="36"/>
          <w:highlight w:val="none"/>
          <w:lang w:val="en-US" w:eastAsia="zh-CN"/>
        </w:rPr>
        <w:t>合 同 书</w:t>
      </w:r>
      <w:bookmarkEnd w:id="39"/>
    </w:p>
    <w:p>
      <w:pPr>
        <w:shd w:val="clear" w:color="auto" w:fill="FFFFFF"/>
        <w:tabs>
          <w:tab w:val="left" w:pos="180"/>
        </w:tabs>
        <w:adjustRightInd w:val="0"/>
        <w:snapToGrid w:val="0"/>
        <w:jc w:val="right"/>
        <w:rPr>
          <w:bCs/>
          <w:color w:val="auto"/>
          <w:szCs w:val="21"/>
          <w:highlight w:val="none"/>
        </w:rPr>
      </w:pPr>
    </w:p>
    <w:tbl>
      <w:tblPr>
        <w:tblStyle w:val="19"/>
        <w:tblW w:w="9356" w:type="dxa"/>
        <w:jc w:val="center"/>
        <w:tblLayout w:type="fixed"/>
        <w:tblCellMar>
          <w:top w:w="0" w:type="dxa"/>
          <w:left w:w="108" w:type="dxa"/>
          <w:bottom w:w="0" w:type="dxa"/>
          <w:right w:w="108" w:type="dxa"/>
        </w:tblCellMar>
      </w:tblPr>
      <w:tblGrid>
        <w:gridCol w:w="1792"/>
        <w:gridCol w:w="7564"/>
      </w:tblGrid>
      <w:tr>
        <w:trPr>
          <w:trHeight w:val="454" w:hRule="atLeast"/>
          <w:jc w:val="center"/>
        </w:trPr>
        <w:tc>
          <w:tcPr>
            <w:tcW w:w="1792" w:type="dxa"/>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kern w:val="18"/>
                <w:sz w:val="22"/>
                <w:szCs w:val="22"/>
                <w:highlight w:val="none"/>
              </w:rPr>
            </w:pPr>
            <w:r>
              <w:rPr>
                <w:rFonts w:hint="eastAsia"/>
                <w:color w:val="auto"/>
                <w:kern w:val="18"/>
                <w:sz w:val="22"/>
                <w:szCs w:val="22"/>
                <w:highlight w:val="none"/>
              </w:rPr>
              <w:t>委托人</w:t>
            </w:r>
            <w:r>
              <w:rPr>
                <w:rFonts w:hint="eastAsia"/>
                <w:color w:val="auto"/>
                <w:sz w:val="22"/>
                <w:szCs w:val="22"/>
                <w:highlight w:val="none"/>
              </w:rPr>
              <w:t>（全称）</w:t>
            </w:r>
            <w:r>
              <w:rPr>
                <w:rFonts w:hint="eastAsia"/>
                <w:color w:val="auto"/>
                <w:kern w:val="18"/>
                <w:sz w:val="22"/>
                <w:szCs w:val="22"/>
                <w:highlight w:val="none"/>
              </w:rPr>
              <w:t>：</w:t>
            </w:r>
          </w:p>
        </w:tc>
        <w:tc>
          <w:tcPr>
            <w:tcW w:w="7564" w:type="dxa"/>
            <w:tcBorders>
              <w:top w:val="nil"/>
              <w:left w:val="nil"/>
              <w:bottom w:val="single" w:color="auto" w:sz="2" w:space="0"/>
              <w:right w:val="nil"/>
            </w:tcBorders>
            <w:vAlign w:val="center"/>
          </w:tcPr>
          <w:p>
            <w:pPr>
              <w:keepNext w:val="0"/>
              <w:keepLines w:val="0"/>
              <w:suppressLineNumbers w:val="0"/>
              <w:tabs>
                <w:tab w:val="left" w:pos="426"/>
              </w:tabs>
              <w:spacing w:before="0" w:beforeAutospacing="0" w:after="0" w:afterAutospacing="0"/>
              <w:ind w:left="180" w:right="0"/>
              <w:rPr>
                <w:rFonts w:hint="default"/>
                <w:color w:val="auto"/>
                <w:kern w:val="18"/>
                <w:sz w:val="22"/>
                <w:szCs w:val="22"/>
                <w:highlight w:val="none"/>
              </w:rPr>
            </w:pPr>
            <w:r>
              <w:rPr>
                <w:rFonts w:hint="eastAsia"/>
                <w:color w:val="auto"/>
                <w:kern w:val="18"/>
                <w:sz w:val="22"/>
                <w:szCs w:val="22"/>
                <w:highlight w:val="none"/>
              </w:rPr>
              <w:t>深圳市前海深港现代服务业合作区管理局</w:t>
            </w:r>
          </w:p>
        </w:tc>
      </w:tr>
      <w:tr>
        <w:trPr>
          <w:trHeight w:val="454" w:hRule="atLeast"/>
          <w:jc w:val="center"/>
        </w:trPr>
        <w:tc>
          <w:tcPr>
            <w:tcW w:w="1792" w:type="dxa"/>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kern w:val="18"/>
                <w:sz w:val="22"/>
                <w:szCs w:val="22"/>
                <w:highlight w:val="none"/>
              </w:rPr>
            </w:pPr>
            <w:r>
              <w:rPr>
                <w:rFonts w:hint="eastAsia"/>
                <w:color w:val="auto"/>
                <w:kern w:val="18"/>
                <w:sz w:val="22"/>
                <w:szCs w:val="22"/>
                <w:highlight w:val="none"/>
              </w:rPr>
              <w:t>监理人</w:t>
            </w:r>
            <w:r>
              <w:rPr>
                <w:rFonts w:hint="eastAsia"/>
                <w:color w:val="auto"/>
                <w:sz w:val="22"/>
                <w:szCs w:val="22"/>
                <w:highlight w:val="none"/>
              </w:rPr>
              <w:t>（全称）</w:t>
            </w:r>
            <w:r>
              <w:rPr>
                <w:rFonts w:hint="eastAsia"/>
                <w:color w:val="auto"/>
                <w:kern w:val="18"/>
                <w:sz w:val="22"/>
                <w:szCs w:val="22"/>
                <w:highlight w:val="none"/>
              </w:rPr>
              <w:t>：</w:t>
            </w:r>
          </w:p>
        </w:tc>
        <w:tc>
          <w:tcPr>
            <w:tcW w:w="7564" w:type="dxa"/>
            <w:tcBorders>
              <w:top w:val="single" w:color="auto" w:sz="2" w:space="0"/>
              <w:left w:val="nil"/>
              <w:bottom w:val="single" w:color="auto" w:sz="2" w:space="0"/>
              <w:right w:val="nil"/>
            </w:tcBorders>
            <w:vAlign w:val="center"/>
          </w:tcPr>
          <w:p>
            <w:pPr>
              <w:keepNext w:val="0"/>
              <w:keepLines w:val="0"/>
              <w:suppressLineNumbers w:val="0"/>
              <w:tabs>
                <w:tab w:val="left" w:pos="426"/>
              </w:tabs>
              <w:spacing w:before="0" w:beforeAutospacing="0" w:after="0" w:afterAutospacing="0"/>
              <w:ind w:left="0" w:right="0"/>
              <w:rPr>
                <w:rFonts w:hint="default"/>
                <w:color w:val="auto"/>
                <w:kern w:val="18"/>
                <w:sz w:val="22"/>
                <w:szCs w:val="22"/>
                <w:highlight w:val="none"/>
              </w:rPr>
            </w:pPr>
          </w:p>
        </w:tc>
      </w:tr>
    </w:tbl>
    <w:p>
      <w:pPr>
        <w:adjustRightInd w:val="0"/>
        <w:snapToGrid w:val="0"/>
        <w:ind w:firstLine="420" w:firstLineChars="200"/>
        <w:rPr>
          <w:rFonts w:ascii="宋体" w:hAnsi="宋体"/>
          <w:bCs/>
          <w:color w:val="auto"/>
          <w:szCs w:val="21"/>
          <w:highlight w:val="none"/>
        </w:rPr>
      </w:pPr>
      <w:r>
        <w:rPr>
          <w:rFonts w:ascii="宋体" w:hAnsi="宋体"/>
          <w:bCs/>
          <w:color w:val="auto"/>
          <w:szCs w:val="21"/>
          <w:highlight w:val="none"/>
        </w:rPr>
        <w:t xml:space="preserve">           </w:t>
      </w:r>
      <w:r>
        <w:rPr>
          <w:rFonts w:hint="eastAsia" w:ascii="宋体" w:hAnsi="宋体"/>
          <w:bCs/>
          <w:color w:val="auto"/>
          <w:szCs w:val="21"/>
          <w:highlight w:val="none"/>
        </w:rPr>
        <w:t xml:space="preserve">                            </w:t>
      </w:r>
      <w:r>
        <w:rPr>
          <w:rFonts w:ascii="宋体" w:hAnsi="宋体"/>
          <w:bCs/>
          <w:color w:val="auto"/>
          <w:szCs w:val="21"/>
          <w:highlight w:val="none"/>
        </w:rPr>
        <w:t xml:space="preserve">  </w:t>
      </w:r>
    </w:p>
    <w:p>
      <w:pPr>
        <w:adjustRightInd w:val="0"/>
        <w:snapToGrid w:val="0"/>
        <w:rPr>
          <w:rFonts w:ascii="宋体" w:hAnsi="宋体"/>
          <w:color w:val="auto"/>
          <w:szCs w:val="21"/>
          <w:highlight w:val="none"/>
        </w:rPr>
      </w:pPr>
    </w:p>
    <w:p>
      <w:pPr>
        <w:tabs>
          <w:tab w:val="left" w:pos="426"/>
        </w:tabs>
        <w:spacing w:line="390" w:lineRule="exact"/>
        <w:ind w:firstLine="440" w:firstLineChars="200"/>
        <w:rPr>
          <w:color w:val="auto"/>
          <w:sz w:val="22"/>
          <w:szCs w:val="22"/>
          <w:highlight w:val="none"/>
        </w:rPr>
      </w:pPr>
      <w:r>
        <w:rPr>
          <w:rFonts w:hint="eastAsia"/>
          <w:color w:val="auto"/>
          <w:sz w:val="22"/>
          <w:szCs w:val="22"/>
          <w:highlight w:val="none"/>
        </w:rPr>
        <w:t>根据《中华人民共和国</w:t>
      </w:r>
      <w:r>
        <w:rPr>
          <w:rFonts w:hint="eastAsia"/>
          <w:color w:val="auto"/>
          <w:sz w:val="22"/>
          <w:szCs w:val="22"/>
          <w:highlight w:val="none"/>
          <w:lang w:val="en-US" w:eastAsia="zh-CN"/>
        </w:rPr>
        <w:t>民法典</w:t>
      </w:r>
      <w:r>
        <w:rPr>
          <w:rFonts w:hint="eastAsia"/>
          <w:color w:val="auto"/>
          <w:sz w:val="22"/>
          <w:szCs w:val="22"/>
          <w:highlight w:val="none"/>
        </w:rPr>
        <w:t>》</w:t>
      </w:r>
      <w:r>
        <w:rPr>
          <w:rFonts w:hint="eastAsia"/>
          <w:color w:val="auto"/>
          <w:sz w:val="22"/>
          <w:szCs w:val="22"/>
          <w:highlight w:val="none"/>
          <w:lang w:eastAsia="zh-CN"/>
        </w:rPr>
        <w:t>、</w:t>
      </w:r>
      <w:r>
        <w:rPr>
          <w:rFonts w:hint="eastAsia" w:ascii="宋体" w:hAnsi="宋体" w:eastAsia="宋体" w:cs="宋体"/>
          <w:snapToGrid w:val="0"/>
          <w:color w:val="auto"/>
          <w:kern w:val="0"/>
          <w:highlight w:val="none"/>
        </w:rPr>
        <w:t>《深圳经济特区建设工程监理条例》</w:t>
      </w:r>
      <w:r>
        <w:rPr>
          <w:rFonts w:hint="eastAsia"/>
          <w:color w:val="auto"/>
          <w:sz w:val="22"/>
          <w:szCs w:val="22"/>
          <w:highlight w:val="none"/>
        </w:rPr>
        <w:t>及其他有关法律、法规，遵循平等、自愿、公平和诚信的原则，双方就下述工程委托监理与相关服务事项协商一致，订立本合同。</w:t>
      </w:r>
    </w:p>
    <w:p>
      <w:pPr>
        <w:pStyle w:val="4"/>
        <w:keepNext w:val="0"/>
        <w:tabs>
          <w:tab w:val="left" w:pos="426"/>
        </w:tabs>
        <w:spacing w:before="0" w:after="0" w:line="390" w:lineRule="exact"/>
        <w:ind w:firstLine="440" w:firstLineChars="200"/>
        <w:rPr>
          <w:rFonts w:ascii="黑体" w:eastAsia="黑体"/>
          <w:b w:val="0"/>
          <w:color w:val="auto"/>
          <w:sz w:val="22"/>
          <w:szCs w:val="22"/>
          <w:highlight w:val="none"/>
        </w:rPr>
      </w:pPr>
      <w:bookmarkStart w:id="40" w:name="_Toc22856"/>
      <w:bookmarkStart w:id="41" w:name="_Toc397084565"/>
      <w:bookmarkStart w:id="42" w:name="_Toc391916893"/>
      <w:bookmarkStart w:id="43" w:name="_Toc23316"/>
      <w:bookmarkStart w:id="44" w:name="_Toc21252"/>
      <w:bookmarkStart w:id="45" w:name="_Toc16034"/>
      <w:bookmarkStart w:id="46" w:name="_Toc29717"/>
      <w:bookmarkStart w:id="47" w:name="_Toc29272"/>
      <w:r>
        <w:rPr>
          <w:rFonts w:hint="eastAsia" w:ascii="黑体" w:eastAsia="黑体"/>
          <w:b w:val="0"/>
          <w:color w:val="auto"/>
          <w:sz w:val="22"/>
          <w:szCs w:val="22"/>
          <w:highlight w:val="none"/>
        </w:rPr>
        <w:t>一、工程概况</w:t>
      </w:r>
      <w:bookmarkEnd w:id="40"/>
      <w:bookmarkEnd w:id="41"/>
      <w:bookmarkEnd w:id="42"/>
      <w:bookmarkEnd w:id="43"/>
      <w:bookmarkEnd w:id="44"/>
      <w:bookmarkEnd w:id="45"/>
      <w:bookmarkEnd w:id="46"/>
      <w:bookmarkEnd w:id="47"/>
    </w:p>
    <w:p>
      <w:pPr>
        <w:tabs>
          <w:tab w:val="left" w:pos="426"/>
        </w:tabs>
        <w:spacing w:line="390" w:lineRule="exact"/>
        <w:ind w:firstLine="440" w:firstLineChars="200"/>
        <w:rPr>
          <w:color w:val="auto"/>
          <w:kern w:val="18"/>
          <w:sz w:val="22"/>
          <w:szCs w:val="22"/>
          <w:highlight w:val="none"/>
        </w:rPr>
      </w:pPr>
      <w:r>
        <w:rPr>
          <w:color w:val="auto"/>
          <w:kern w:val="18"/>
          <w:sz w:val="22"/>
          <w:szCs w:val="22"/>
          <w:highlight w:val="none"/>
        </w:rPr>
        <w:t>1.</w:t>
      </w:r>
      <w:r>
        <w:rPr>
          <w:rFonts w:hint="eastAsia"/>
          <w:color w:val="auto"/>
          <w:kern w:val="18"/>
          <w:sz w:val="22"/>
          <w:szCs w:val="22"/>
          <w:highlight w:val="none"/>
        </w:rPr>
        <w:t>工程名称：</w:t>
      </w:r>
      <w:r>
        <w:rPr>
          <w:rFonts w:hint="eastAsia"/>
          <w:color w:val="auto"/>
          <w:kern w:val="18"/>
          <w:sz w:val="22"/>
          <w:szCs w:val="22"/>
          <w:highlight w:val="none"/>
          <w:u w:val="single"/>
          <w:lang w:eastAsia="zh-CN"/>
        </w:rPr>
        <w:t>智慧前海视频云平台二期</w:t>
      </w:r>
      <w:r>
        <w:rPr>
          <w:rFonts w:hint="eastAsia"/>
          <w:color w:val="auto"/>
          <w:kern w:val="18"/>
          <w:sz w:val="22"/>
          <w:szCs w:val="22"/>
          <w:highlight w:val="none"/>
          <w:u w:val="single"/>
        </w:rPr>
        <w:t>项目监理服务</w:t>
      </w:r>
      <w:r>
        <w:rPr>
          <w:color w:val="auto"/>
          <w:kern w:val="18"/>
          <w:sz w:val="22"/>
          <w:szCs w:val="22"/>
          <w:highlight w:val="none"/>
          <w:u w:val="single"/>
        </w:rPr>
        <w:t xml:space="preserve">  </w:t>
      </w:r>
    </w:p>
    <w:p>
      <w:pPr>
        <w:tabs>
          <w:tab w:val="left" w:pos="426"/>
        </w:tabs>
        <w:spacing w:line="390" w:lineRule="exact"/>
        <w:ind w:firstLine="440" w:firstLineChars="200"/>
        <w:rPr>
          <w:color w:val="auto"/>
          <w:kern w:val="18"/>
          <w:sz w:val="22"/>
          <w:szCs w:val="22"/>
          <w:highlight w:val="none"/>
        </w:rPr>
      </w:pPr>
      <w:r>
        <w:rPr>
          <w:color w:val="auto"/>
          <w:kern w:val="18"/>
          <w:sz w:val="22"/>
          <w:szCs w:val="22"/>
          <w:highlight w:val="none"/>
        </w:rPr>
        <w:t>2.</w:t>
      </w:r>
      <w:r>
        <w:rPr>
          <w:rFonts w:hint="eastAsia"/>
          <w:color w:val="auto"/>
          <w:kern w:val="18"/>
          <w:sz w:val="22"/>
          <w:szCs w:val="22"/>
          <w:highlight w:val="none"/>
        </w:rPr>
        <w:t>工程地点：</w:t>
      </w:r>
      <w:r>
        <w:rPr>
          <w:rFonts w:hint="eastAsia"/>
          <w:color w:val="auto"/>
          <w:kern w:val="18"/>
          <w:sz w:val="22"/>
          <w:szCs w:val="22"/>
          <w:highlight w:val="none"/>
          <w:u w:val="single"/>
        </w:rPr>
        <w:t>深圳前海深港现代服务业合作区</w:t>
      </w:r>
      <w:r>
        <w:rPr>
          <w:color w:val="auto"/>
          <w:kern w:val="18"/>
          <w:sz w:val="22"/>
          <w:szCs w:val="22"/>
          <w:highlight w:val="none"/>
          <w:u w:val="single"/>
        </w:rPr>
        <w:t xml:space="preserve">                                    </w:t>
      </w:r>
    </w:p>
    <w:p>
      <w:pPr>
        <w:tabs>
          <w:tab w:val="left" w:pos="426"/>
        </w:tabs>
        <w:spacing w:line="390" w:lineRule="exact"/>
        <w:ind w:firstLine="440" w:firstLineChars="200"/>
        <w:rPr>
          <w:rFonts w:hint="default" w:eastAsia="宋体"/>
          <w:color w:val="auto"/>
          <w:kern w:val="18"/>
          <w:sz w:val="22"/>
          <w:szCs w:val="22"/>
          <w:highlight w:val="none"/>
          <w:lang w:val="en-US" w:eastAsia="zh-CN"/>
        </w:rPr>
      </w:pPr>
      <w:r>
        <w:rPr>
          <w:color w:val="auto"/>
          <w:kern w:val="18"/>
          <w:sz w:val="22"/>
          <w:szCs w:val="22"/>
          <w:highlight w:val="none"/>
        </w:rPr>
        <w:t>3.</w:t>
      </w:r>
      <w:r>
        <w:rPr>
          <w:rFonts w:hint="eastAsia"/>
          <w:color w:val="auto"/>
          <w:kern w:val="18"/>
          <w:sz w:val="22"/>
          <w:szCs w:val="22"/>
          <w:highlight w:val="none"/>
        </w:rPr>
        <w:t>工程规模：</w:t>
      </w:r>
      <w:r>
        <w:rPr>
          <w:color w:val="auto"/>
          <w:kern w:val="18"/>
          <w:sz w:val="22"/>
          <w:szCs w:val="22"/>
          <w:highlight w:val="none"/>
          <w:u w:val="single"/>
        </w:rPr>
        <w:t xml:space="preserve"> </w:t>
      </w:r>
      <w:r>
        <w:rPr>
          <w:rFonts w:hint="eastAsia"/>
          <w:color w:val="auto"/>
          <w:kern w:val="18"/>
          <w:sz w:val="22"/>
          <w:szCs w:val="22"/>
          <w:highlight w:val="none"/>
          <w:u w:val="single"/>
          <w:lang w:val="en-US" w:eastAsia="zh-CN"/>
        </w:rPr>
        <w:t xml:space="preserve">     </w:t>
      </w:r>
    </w:p>
    <w:p>
      <w:pPr>
        <w:tabs>
          <w:tab w:val="left" w:pos="426"/>
        </w:tabs>
        <w:spacing w:line="390" w:lineRule="exact"/>
        <w:ind w:firstLine="440" w:firstLineChars="200"/>
        <w:rPr>
          <w:color w:val="auto"/>
          <w:kern w:val="18"/>
          <w:sz w:val="22"/>
          <w:szCs w:val="22"/>
          <w:highlight w:val="none"/>
        </w:rPr>
      </w:pPr>
      <w:r>
        <w:rPr>
          <w:color w:val="auto"/>
          <w:kern w:val="18"/>
          <w:sz w:val="22"/>
          <w:szCs w:val="22"/>
          <w:highlight w:val="none"/>
        </w:rPr>
        <w:t>4.</w:t>
      </w:r>
      <w:r>
        <w:rPr>
          <w:rFonts w:hint="eastAsia"/>
          <w:color w:val="auto"/>
          <w:kern w:val="18"/>
          <w:sz w:val="22"/>
          <w:szCs w:val="22"/>
          <w:highlight w:val="none"/>
        </w:rPr>
        <w:t>工程类别：</w:t>
      </w:r>
      <w:r>
        <w:rPr>
          <w:color w:val="auto"/>
          <w:kern w:val="18"/>
          <w:sz w:val="22"/>
          <w:szCs w:val="22"/>
          <w:highlight w:val="none"/>
          <w:u w:val="single"/>
        </w:rPr>
        <w:t xml:space="preserve">  </w:t>
      </w:r>
      <w:r>
        <w:rPr>
          <w:rFonts w:hint="eastAsia"/>
          <w:color w:val="auto"/>
          <w:kern w:val="18"/>
          <w:sz w:val="22"/>
          <w:szCs w:val="22"/>
          <w:highlight w:val="none"/>
          <w:u w:val="single"/>
          <w:lang w:val="en-US" w:eastAsia="zh-CN"/>
        </w:rPr>
        <w:t xml:space="preserve">  </w:t>
      </w:r>
      <w:r>
        <w:rPr>
          <w:color w:val="auto"/>
          <w:kern w:val="18"/>
          <w:sz w:val="22"/>
          <w:szCs w:val="22"/>
          <w:highlight w:val="none"/>
          <w:u w:val="single"/>
        </w:rPr>
        <w:t xml:space="preserve"> </w:t>
      </w:r>
      <w:r>
        <w:rPr>
          <w:color w:val="auto"/>
          <w:kern w:val="18"/>
          <w:sz w:val="22"/>
          <w:szCs w:val="22"/>
          <w:highlight w:val="none"/>
        </w:rPr>
        <w:t xml:space="preserve"> </w:t>
      </w:r>
      <w:r>
        <w:rPr>
          <w:rFonts w:hint="eastAsia"/>
          <w:color w:val="auto"/>
          <w:kern w:val="18"/>
          <w:sz w:val="22"/>
          <w:szCs w:val="22"/>
          <w:highlight w:val="none"/>
        </w:rPr>
        <w:t>工程等级：</w:t>
      </w:r>
      <w:r>
        <w:rPr>
          <w:bCs/>
          <w:color w:val="auto"/>
          <w:kern w:val="18"/>
          <w:sz w:val="22"/>
          <w:szCs w:val="22"/>
          <w:highlight w:val="none"/>
          <w:u w:val="single"/>
        </w:rPr>
        <w:t xml:space="preserve"> </w:t>
      </w:r>
      <w:r>
        <w:rPr>
          <w:rFonts w:hint="eastAsia"/>
          <w:bCs/>
          <w:color w:val="auto"/>
          <w:kern w:val="18"/>
          <w:sz w:val="22"/>
          <w:szCs w:val="22"/>
          <w:highlight w:val="none"/>
          <w:u w:val="single"/>
        </w:rPr>
        <w:t>级</w:t>
      </w:r>
      <w:r>
        <w:rPr>
          <w:bCs/>
          <w:color w:val="auto"/>
          <w:kern w:val="18"/>
          <w:sz w:val="22"/>
          <w:szCs w:val="22"/>
          <w:highlight w:val="none"/>
          <w:u w:val="single"/>
        </w:rPr>
        <w:t xml:space="preserve">  </w:t>
      </w:r>
    </w:p>
    <w:p>
      <w:pPr>
        <w:tabs>
          <w:tab w:val="left" w:pos="426"/>
        </w:tabs>
        <w:spacing w:line="390" w:lineRule="exact"/>
        <w:ind w:firstLine="440" w:firstLineChars="200"/>
        <w:rPr>
          <w:color w:val="auto"/>
          <w:kern w:val="18"/>
          <w:sz w:val="22"/>
          <w:szCs w:val="22"/>
          <w:highlight w:val="none"/>
        </w:rPr>
      </w:pPr>
      <w:r>
        <w:rPr>
          <w:color w:val="auto"/>
          <w:kern w:val="18"/>
          <w:sz w:val="22"/>
          <w:szCs w:val="22"/>
          <w:highlight w:val="none"/>
        </w:rPr>
        <w:t>5.</w:t>
      </w:r>
      <w:r>
        <w:rPr>
          <w:rFonts w:hint="eastAsia"/>
          <w:color w:val="auto"/>
          <w:kern w:val="18"/>
          <w:sz w:val="22"/>
          <w:szCs w:val="22"/>
          <w:highlight w:val="none"/>
        </w:rPr>
        <w:t>投资性质：</w:t>
      </w:r>
      <w:r>
        <w:rPr>
          <w:color w:val="auto"/>
          <w:kern w:val="18"/>
          <w:sz w:val="22"/>
          <w:szCs w:val="22"/>
          <w:highlight w:val="none"/>
          <w:u w:val="single"/>
        </w:rPr>
        <w:t xml:space="preserve">  </w:t>
      </w:r>
      <w:r>
        <w:rPr>
          <w:rFonts w:hint="eastAsia"/>
          <w:color w:val="auto"/>
          <w:kern w:val="18"/>
          <w:sz w:val="22"/>
          <w:szCs w:val="22"/>
          <w:highlight w:val="none"/>
          <w:u w:val="single"/>
          <w:lang w:val="en-US" w:eastAsia="zh-CN"/>
        </w:rPr>
        <w:t>政府投资</w:t>
      </w:r>
      <w:r>
        <w:rPr>
          <w:rFonts w:hint="eastAsia"/>
          <w:color w:val="auto"/>
          <w:kern w:val="18"/>
          <w:sz w:val="22"/>
          <w:szCs w:val="22"/>
          <w:highlight w:val="none"/>
          <w:u w:val="single"/>
        </w:rPr>
        <w:t>100%</w:t>
      </w:r>
      <w:r>
        <w:rPr>
          <w:bCs/>
          <w:color w:val="auto"/>
          <w:kern w:val="18"/>
          <w:sz w:val="22"/>
          <w:szCs w:val="22"/>
          <w:highlight w:val="none"/>
          <w:u w:val="single"/>
        </w:rPr>
        <w:t xml:space="preserve">    </w:t>
      </w:r>
    </w:p>
    <w:p>
      <w:pPr>
        <w:tabs>
          <w:tab w:val="left" w:pos="426"/>
        </w:tabs>
        <w:spacing w:line="390" w:lineRule="exact"/>
        <w:ind w:firstLine="440" w:firstLineChars="200"/>
        <w:rPr>
          <w:color w:val="auto"/>
          <w:kern w:val="18"/>
          <w:sz w:val="22"/>
          <w:szCs w:val="22"/>
          <w:highlight w:val="none"/>
        </w:rPr>
      </w:pPr>
      <w:r>
        <w:rPr>
          <w:color w:val="auto"/>
          <w:kern w:val="18"/>
          <w:sz w:val="22"/>
          <w:szCs w:val="22"/>
          <w:highlight w:val="none"/>
        </w:rPr>
        <w:t>6.</w:t>
      </w:r>
      <w:r>
        <w:rPr>
          <w:rFonts w:hint="eastAsia"/>
          <w:color w:val="auto"/>
          <w:kern w:val="18"/>
          <w:sz w:val="22"/>
          <w:szCs w:val="22"/>
          <w:highlight w:val="none"/>
        </w:rPr>
        <w:t>工程概算投资额：</w:t>
      </w:r>
      <w:r>
        <w:rPr>
          <w:bCs/>
          <w:color w:val="auto"/>
          <w:kern w:val="18"/>
          <w:sz w:val="22"/>
          <w:szCs w:val="22"/>
          <w:highlight w:val="none"/>
          <w:u w:val="single"/>
        </w:rPr>
        <w:t xml:space="preserve">   </w:t>
      </w:r>
      <w:r>
        <w:rPr>
          <w:rFonts w:hint="eastAsia"/>
          <w:bCs/>
          <w:color w:val="auto"/>
          <w:kern w:val="18"/>
          <w:sz w:val="22"/>
          <w:szCs w:val="22"/>
          <w:highlight w:val="none"/>
          <w:u w:val="single"/>
        </w:rPr>
        <w:t>/</w:t>
      </w:r>
      <w:r>
        <w:rPr>
          <w:bCs/>
          <w:color w:val="auto"/>
          <w:kern w:val="18"/>
          <w:sz w:val="22"/>
          <w:szCs w:val="22"/>
          <w:highlight w:val="none"/>
          <w:u w:val="single"/>
        </w:rPr>
        <w:t xml:space="preserve">    </w:t>
      </w:r>
      <w:r>
        <w:rPr>
          <w:bCs/>
          <w:color w:val="auto"/>
          <w:kern w:val="18"/>
          <w:sz w:val="22"/>
          <w:szCs w:val="22"/>
          <w:highlight w:val="none"/>
        </w:rPr>
        <w:t xml:space="preserve"> </w:t>
      </w:r>
      <w:r>
        <w:rPr>
          <w:rFonts w:hint="eastAsia"/>
          <w:color w:val="auto"/>
          <w:kern w:val="18"/>
          <w:sz w:val="22"/>
          <w:szCs w:val="22"/>
          <w:highlight w:val="none"/>
        </w:rPr>
        <w:t>招标部分工程</w:t>
      </w:r>
      <w:r>
        <w:rPr>
          <w:rFonts w:hint="eastAsia"/>
          <w:color w:val="auto"/>
          <w:kern w:val="18"/>
          <w:sz w:val="22"/>
          <w:szCs w:val="22"/>
          <w:highlight w:val="none"/>
          <w:lang w:val="en-US" w:eastAsia="zh-CN"/>
        </w:rPr>
        <w:t>建设费用</w:t>
      </w:r>
      <w:r>
        <w:rPr>
          <w:rFonts w:hint="eastAsia"/>
          <w:color w:val="auto"/>
          <w:kern w:val="18"/>
          <w:sz w:val="22"/>
          <w:szCs w:val="22"/>
          <w:highlight w:val="none"/>
        </w:rPr>
        <w:t>：</w:t>
      </w:r>
      <w:r>
        <w:rPr>
          <w:color w:val="auto"/>
          <w:kern w:val="18"/>
          <w:sz w:val="22"/>
          <w:szCs w:val="22"/>
          <w:highlight w:val="none"/>
          <w:u w:val="single"/>
        </w:rPr>
        <w:t xml:space="preserve"> </w:t>
      </w:r>
      <w:r>
        <w:rPr>
          <w:rFonts w:hint="eastAsia"/>
          <w:color w:val="auto"/>
          <w:kern w:val="18"/>
          <w:sz w:val="22"/>
          <w:szCs w:val="22"/>
          <w:highlight w:val="none"/>
          <w:u w:val="single"/>
          <w:lang w:val="en-US" w:eastAsia="zh-CN"/>
        </w:rPr>
        <w:t xml:space="preserve">     </w:t>
      </w:r>
      <w:r>
        <w:rPr>
          <w:rFonts w:hint="eastAsia"/>
          <w:color w:val="auto"/>
          <w:kern w:val="18"/>
          <w:sz w:val="22"/>
          <w:szCs w:val="22"/>
          <w:highlight w:val="none"/>
        </w:rPr>
        <w:t>万元</w:t>
      </w:r>
      <w:r>
        <w:rPr>
          <w:color w:val="auto"/>
          <w:kern w:val="18"/>
          <w:sz w:val="22"/>
          <w:szCs w:val="22"/>
          <w:highlight w:val="none"/>
        </w:rPr>
        <w:t xml:space="preserve"> </w:t>
      </w:r>
    </w:p>
    <w:p>
      <w:pPr>
        <w:tabs>
          <w:tab w:val="left" w:pos="426"/>
        </w:tabs>
        <w:spacing w:line="390" w:lineRule="exact"/>
        <w:ind w:firstLine="440" w:firstLineChars="200"/>
        <w:rPr>
          <w:color w:val="auto"/>
          <w:kern w:val="18"/>
          <w:sz w:val="22"/>
          <w:szCs w:val="22"/>
          <w:highlight w:val="none"/>
        </w:rPr>
      </w:pPr>
      <w:r>
        <w:rPr>
          <w:color w:val="auto"/>
          <w:kern w:val="18"/>
          <w:sz w:val="22"/>
          <w:szCs w:val="22"/>
          <w:highlight w:val="none"/>
        </w:rPr>
        <w:t>7.</w:t>
      </w:r>
      <w:r>
        <w:rPr>
          <w:rFonts w:hint="eastAsia"/>
          <w:color w:val="auto"/>
          <w:kern w:val="18"/>
          <w:sz w:val="22"/>
          <w:szCs w:val="22"/>
          <w:highlight w:val="none"/>
        </w:rPr>
        <w:t>其它：</w:t>
      </w:r>
      <w:r>
        <w:rPr>
          <w:color w:val="auto"/>
          <w:kern w:val="18"/>
          <w:sz w:val="22"/>
          <w:szCs w:val="22"/>
          <w:highlight w:val="none"/>
          <w:u w:val="single"/>
        </w:rPr>
        <w:t xml:space="preserve">                                   </w:t>
      </w:r>
    </w:p>
    <w:p>
      <w:pPr>
        <w:pStyle w:val="4"/>
        <w:keepNext w:val="0"/>
        <w:tabs>
          <w:tab w:val="left" w:pos="426"/>
        </w:tabs>
        <w:spacing w:before="0" w:after="0" w:line="390" w:lineRule="exact"/>
        <w:ind w:firstLine="440" w:firstLineChars="200"/>
        <w:rPr>
          <w:rFonts w:ascii="黑体" w:eastAsia="黑体"/>
          <w:b w:val="0"/>
          <w:color w:val="auto"/>
          <w:sz w:val="22"/>
          <w:szCs w:val="22"/>
          <w:highlight w:val="none"/>
        </w:rPr>
      </w:pPr>
      <w:bookmarkStart w:id="48" w:name="_Toc397084566"/>
      <w:bookmarkStart w:id="49" w:name="_Toc1166"/>
      <w:bookmarkStart w:id="50" w:name="_Toc3444"/>
      <w:bookmarkStart w:id="51" w:name="_Toc8302"/>
      <w:bookmarkStart w:id="52" w:name="_Toc391916894"/>
      <w:bookmarkStart w:id="53" w:name="_Toc709"/>
      <w:bookmarkStart w:id="54" w:name="_Toc15375"/>
      <w:bookmarkStart w:id="55" w:name="_Toc8978"/>
      <w:r>
        <w:rPr>
          <w:rFonts w:hint="eastAsia" w:ascii="黑体" w:eastAsia="黑体"/>
          <w:b w:val="0"/>
          <w:color w:val="auto"/>
          <w:sz w:val="22"/>
          <w:szCs w:val="22"/>
          <w:highlight w:val="none"/>
        </w:rPr>
        <w:t>二、词语含义</w:t>
      </w:r>
      <w:bookmarkEnd w:id="48"/>
      <w:bookmarkEnd w:id="49"/>
      <w:bookmarkEnd w:id="50"/>
      <w:bookmarkEnd w:id="51"/>
      <w:bookmarkEnd w:id="52"/>
      <w:bookmarkEnd w:id="53"/>
      <w:bookmarkEnd w:id="54"/>
      <w:bookmarkEnd w:id="55"/>
    </w:p>
    <w:p>
      <w:pPr>
        <w:tabs>
          <w:tab w:val="left" w:pos="426"/>
        </w:tabs>
        <w:spacing w:line="390" w:lineRule="exact"/>
        <w:ind w:firstLine="440" w:firstLineChars="200"/>
        <w:rPr>
          <w:color w:val="auto"/>
          <w:sz w:val="22"/>
          <w:szCs w:val="22"/>
          <w:highlight w:val="none"/>
        </w:rPr>
      </w:pPr>
      <w:r>
        <w:rPr>
          <w:rFonts w:hint="eastAsia"/>
          <w:color w:val="auto"/>
          <w:sz w:val="22"/>
          <w:szCs w:val="22"/>
          <w:highlight w:val="none"/>
        </w:rPr>
        <w:t>合同书中相关词语的含义与通用条件中的定义与解释相同。</w:t>
      </w:r>
    </w:p>
    <w:p>
      <w:pPr>
        <w:pStyle w:val="4"/>
        <w:keepNext w:val="0"/>
        <w:tabs>
          <w:tab w:val="left" w:pos="426"/>
        </w:tabs>
        <w:spacing w:before="0" w:after="0" w:line="390" w:lineRule="exact"/>
        <w:ind w:firstLine="440" w:firstLineChars="200"/>
        <w:rPr>
          <w:rFonts w:ascii="黑体" w:eastAsia="黑体"/>
          <w:b w:val="0"/>
          <w:color w:val="auto"/>
          <w:sz w:val="22"/>
          <w:szCs w:val="22"/>
          <w:highlight w:val="none"/>
        </w:rPr>
      </w:pPr>
      <w:bookmarkStart w:id="56" w:name="_Toc391916895"/>
      <w:bookmarkStart w:id="57" w:name="_Toc27119"/>
      <w:bookmarkStart w:id="58" w:name="_Toc32385"/>
      <w:bookmarkStart w:id="59" w:name="_Toc17895"/>
      <w:bookmarkStart w:id="60" w:name="_Toc397084567"/>
      <w:bookmarkStart w:id="61" w:name="_Toc15233"/>
      <w:bookmarkStart w:id="62" w:name="_Toc1360"/>
      <w:bookmarkStart w:id="63" w:name="_Toc24143"/>
      <w:r>
        <w:rPr>
          <w:rFonts w:hint="eastAsia" w:ascii="黑体" w:eastAsia="黑体"/>
          <w:b w:val="0"/>
          <w:color w:val="auto"/>
          <w:sz w:val="22"/>
          <w:szCs w:val="22"/>
          <w:highlight w:val="none"/>
        </w:rPr>
        <w:t>三、组成本合同的文件</w:t>
      </w:r>
      <w:bookmarkEnd w:id="56"/>
      <w:bookmarkEnd w:id="57"/>
      <w:bookmarkEnd w:id="58"/>
      <w:bookmarkEnd w:id="59"/>
      <w:bookmarkEnd w:id="60"/>
      <w:bookmarkEnd w:id="61"/>
      <w:bookmarkEnd w:id="62"/>
      <w:bookmarkEnd w:id="63"/>
    </w:p>
    <w:p>
      <w:pPr>
        <w:tabs>
          <w:tab w:val="left" w:pos="426"/>
        </w:tabs>
        <w:spacing w:line="390" w:lineRule="exact"/>
        <w:ind w:firstLine="440" w:firstLineChars="200"/>
        <w:rPr>
          <w:color w:val="auto"/>
          <w:sz w:val="22"/>
          <w:szCs w:val="22"/>
          <w:highlight w:val="none"/>
        </w:rPr>
      </w:pPr>
      <w:r>
        <w:rPr>
          <w:color w:val="auto"/>
          <w:sz w:val="22"/>
          <w:szCs w:val="22"/>
          <w:highlight w:val="none"/>
        </w:rPr>
        <w:t>1.</w:t>
      </w:r>
      <w:r>
        <w:rPr>
          <w:rFonts w:hint="eastAsia"/>
          <w:color w:val="auto"/>
          <w:sz w:val="22"/>
          <w:szCs w:val="22"/>
          <w:highlight w:val="none"/>
        </w:rPr>
        <w:t>招标文件（编号： ）；</w:t>
      </w:r>
    </w:p>
    <w:p>
      <w:pPr>
        <w:tabs>
          <w:tab w:val="left" w:pos="426"/>
        </w:tabs>
        <w:spacing w:line="390" w:lineRule="exact"/>
        <w:ind w:firstLine="440" w:firstLineChars="200"/>
        <w:rPr>
          <w:color w:val="auto"/>
          <w:sz w:val="22"/>
          <w:szCs w:val="22"/>
          <w:highlight w:val="none"/>
        </w:rPr>
      </w:pPr>
      <w:r>
        <w:rPr>
          <w:color w:val="auto"/>
          <w:sz w:val="22"/>
          <w:szCs w:val="22"/>
          <w:highlight w:val="none"/>
        </w:rPr>
        <w:t>2.</w:t>
      </w:r>
      <w:r>
        <w:rPr>
          <w:rFonts w:hint="eastAsia"/>
          <w:color w:val="auto"/>
          <w:sz w:val="22"/>
          <w:szCs w:val="22"/>
          <w:highlight w:val="none"/>
        </w:rPr>
        <w:t>中标通知书（编号： ）；</w:t>
      </w:r>
    </w:p>
    <w:p>
      <w:pPr>
        <w:tabs>
          <w:tab w:val="left" w:pos="426"/>
        </w:tabs>
        <w:spacing w:line="390" w:lineRule="exact"/>
        <w:ind w:firstLine="440" w:firstLineChars="200"/>
        <w:rPr>
          <w:color w:val="auto"/>
          <w:sz w:val="22"/>
          <w:szCs w:val="22"/>
          <w:highlight w:val="none"/>
        </w:rPr>
      </w:pPr>
      <w:r>
        <w:rPr>
          <w:color w:val="auto"/>
          <w:sz w:val="22"/>
          <w:szCs w:val="22"/>
          <w:highlight w:val="none"/>
        </w:rPr>
        <w:t>3.</w:t>
      </w:r>
      <w:r>
        <w:rPr>
          <w:rFonts w:hint="eastAsia"/>
          <w:color w:val="auto"/>
          <w:sz w:val="22"/>
          <w:szCs w:val="22"/>
          <w:highlight w:val="none"/>
        </w:rPr>
        <w:t>投标文件（编号： ）；</w:t>
      </w:r>
    </w:p>
    <w:p>
      <w:pPr>
        <w:tabs>
          <w:tab w:val="left" w:pos="426"/>
        </w:tabs>
        <w:spacing w:line="390" w:lineRule="exact"/>
        <w:ind w:firstLine="440" w:firstLineChars="200"/>
        <w:rPr>
          <w:color w:val="auto"/>
          <w:sz w:val="22"/>
          <w:szCs w:val="22"/>
          <w:highlight w:val="none"/>
        </w:rPr>
      </w:pPr>
      <w:r>
        <w:rPr>
          <w:rFonts w:hint="eastAsia"/>
          <w:color w:val="auto"/>
          <w:sz w:val="22"/>
          <w:szCs w:val="22"/>
          <w:highlight w:val="none"/>
        </w:rPr>
        <w:t>4</w:t>
      </w:r>
      <w:r>
        <w:rPr>
          <w:color w:val="auto"/>
          <w:sz w:val="22"/>
          <w:szCs w:val="22"/>
          <w:highlight w:val="none"/>
        </w:rPr>
        <w:t>.</w:t>
      </w:r>
      <w:r>
        <w:rPr>
          <w:rFonts w:hint="eastAsia"/>
          <w:color w:val="auto"/>
          <w:sz w:val="22"/>
          <w:szCs w:val="22"/>
          <w:highlight w:val="none"/>
        </w:rPr>
        <w:t>附录：附录</w:t>
      </w:r>
      <w:r>
        <w:rPr>
          <w:color w:val="auto"/>
          <w:sz w:val="22"/>
          <w:szCs w:val="22"/>
          <w:highlight w:val="none"/>
        </w:rPr>
        <w:t>A</w:t>
      </w:r>
      <w:r>
        <w:rPr>
          <w:rFonts w:hint="eastAsia"/>
          <w:color w:val="auto"/>
          <w:sz w:val="22"/>
          <w:szCs w:val="22"/>
          <w:highlight w:val="none"/>
        </w:rPr>
        <w:t>《</w:t>
      </w:r>
      <w:r>
        <w:rPr>
          <w:rFonts w:hint="eastAsia"/>
          <w:color w:val="auto"/>
          <w:sz w:val="22"/>
          <w:szCs w:val="22"/>
          <w:highlight w:val="none"/>
          <w:lang w:eastAsia="zh-CN"/>
        </w:rPr>
        <w:t>智慧前海视频云平台二期项目</w:t>
      </w:r>
      <w:r>
        <w:rPr>
          <w:rFonts w:hint="eastAsia"/>
          <w:color w:val="auto"/>
          <w:sz w:val="22"/>
          <w:szCs w:val="22"/>
          <w:highlight w:val="none"/>
        </w:rPr>
        <w:t>监理服务的范围和内容》</w:t>
      </w:r>
    </w:p>
    <w:p>
      <w:pPr>
        <w:tabs>
          <w:tab w:val="left" w:pos="426"/>
        </w:tabs>
        <w:spacing w:line="390" w:lineRule="exact"/>
        <w:ind w:firstLine="1320" w:firstLineChars="600"/>
        <w:rPr>
          <w:color w:val="auto"/>
          <w:sz w:val="22"/>
          <w:szCs w:val="22"/>
          <w:highlight w:val="none"/>
        </w:rPr>
      </w:pPr>
      <w:r>
        <w:rPr>
          <w:rFonts w:hint="eastAsia"/>
          <w:color w:val="auto"/>
          <w:sz w:val="22"/>
          <w:szCs w:val="22"/>
          <w:highlight w:val="none"/>
        </w:rPr>
        <w:t>附录</w:t>
      </w:r>
      <w:r>
        <w:rPr>
          <w:color w:val="auto"/>
          <w:sz w:val="22"/>
          <w:szCs w:val="22"/>
          <w:highlight w:val="none"/>
        </w:rPr>
        <w:t>B</w:t>
      </w:r>
      <w:r>
        <w:rPr>
          <w:rFonts w:hint="eastAsia"/>
          <w:color w:val="auto"/>
          <w:sz w:val="22"/>
          <w:szCs w:val="22"/>
          <w:highlight w:val="none"/>
        </w:rPr>
        <w:t>《委托人提供的人员、房屋、资料、设备、设施》</w:t>
      </w:r>
    </w:p>
    <w:p>
      <w:pPr>
        <w:tabs>
          <w:tab w:val="left" w:pos="426"/>
        </w:tabs>
        <w:spacing w:line="390" w:lineRule="exact"/>
        <w:rPr>
          <w:color w:val="auto"/>
          <w:sz w:val="22"/>
          <w:szCs w:val="22"/>
          <w:highlight w:val="none"/>
        </w:rPr>
      </w:pPr>
      <w:r>
        <w:rPr>
          <w:rFonts w:hint="eastAsia"/>
          <w:color w:val="auto"/>
          <w:sz w:val="22"/>
          <w:szCs w:val="22"/>
          <w:highlight w:val="none"/>
        </w:rPr>
        <w:t xml:space="preserve">    5.专用</w:t>
      </w:r>
      <w:r>
        <w:rPr>
          <w:rFonts w:hint="eastAsia"/>
          <w:color w:val="auto"/>
          <w:sz w:val="22"/>
          <w:szCs w:val="22"/>
          <w:highlight w:val="none"/>
          <w:lang w:eastAsia="zh-CN"/>
        </w:rPr>
        <w:t>条件</w:t>
      </w:r>
      <w:r>
        <w:rPr>
          <w:rFonts w:hint="eastAsia"/>
          <w:color w:val="auto"/>
          <w:sz w:val="22"/>
          <w:szCs w:val="22"/>
          <w:highlight w:val="none"/>
        </w:rPr>
        <w:t>、本合同通用</w:t>
      </w:r>
      <w:r>
        <w:rPr>
          <w:rFonts w:hint="eastAsia"/>
          <w:color w:val="auto"/>
          <w:sz w:val="22"/>
          <w:szCs w:val="22"/>
          <w:highlight w:val="none"/>
          <w:lang w:eastAsia="zh-CN"/>
        </w:rPr>
        <w:t>条件</w:t>
      </w:r>
      <w:r>
        <w:rPr>
          <w:rFonts w:hint="eastAsia"/>
          <w:color w:val="auto"/>
          <w:sz w:val="22"/>
          <w:szCs w:val="22"/>
          <w:highlight w:val="none"/>
        </w:rPr>
        <w:t>；</w:t>
      </w:r>
    </w:p>
    <w:p>
      <w:pPr>
        <w:tabs>
          <w:tab w:val="left" w:pos="426"/>
        </w:tabs>
        <w:spacing w:line="390" w:lineRule="exact"/>
        <w:ind w:firstLine="440" w:firstLineChars="200"/>
        <w:rPr>
          <w:color w:val="auto"/>
          <w:sz w:val="22"/>
          <w:szCs w:val="22"/>
          <w:highlight w:val="none"/>
        </w:rPr>
      </w:pPr>
      <w:r>
        <w:rPr>
          <w:rFonts w:hint="eastAsia"/>
          <w:color w:val="auto"/>
          <w:sz w:val="22"/>
          <w:szCs w:val="22"/>
          <w:highlight w:val="none"/>
        </w:rPr>
        <w:t>6</w:t>
      </w:r>
      <w:r>
        <w:rPr>
          <w:color w:val="auto"/>
          <w:sz w:val="22"/>
          <w:szCs w:val="22"/>
          <w:highlight w:val="none"/>
        </w:rPr>
        <w:t>.</w:t>
      </w:r>
      <w:r>
        <w:rPr>
          <w:rFonts w:hint="eastAsia"/>
          <w:color w:val="auto"/>
          <w:sz w:val="22"/>
          <w:szCs w:val="22"/>
          <w:highlight w:val="none"/>
        </w:rPr>
        <w:t>本合同签订后，双方依法签订的补充协议也是本合同文件的组成部分。</w:t>
      </w:r>
    </w:p>
    <w:p>
      <w:pPr>
        <w:pStyle w:val="4"/>
        <w:keepNext w:val="0"/>
        <w:tabs>
          <w:tab w:val="left" w:pos="426"/>
        </w:tabs>
        <w:spacing w:before="0" w:after="0" w:line="390" w:lineRule="exact"/>
        <w:ind w:firstLine="440" w:firstLineChars="200"/>
        <w:rPr>
          <w:rFonts w:ascii="黑体" w:eastAsia="黑体"/>
          <w:b w:val="0"/>
          <w:color w:val="auto"/>
          <w:sz w:val="22"/>
          <w:szCs w:val="22"/>
          <w:highlight w:val="none"/>
        </w:rPr>
      </w:pPr>
      <w:bookmarkStart w:id="64" w:name="_Toc391916896"/>
      <w:bookmarkStart w:id="65" w:name="_Toc18335"/>
      <w:bookmarkStart w:id="66" w:name="_Toc2424"/>
      <w:bookmarkStart w:id="67" w:name="_Toc9207"/>
      <w:bookmarkStart w:id="68" w:name="_Toc13994"/>
      <w:bookmarkStart w:id="69" w:name="_Toc14515"/>
      <w:bookmarkStart w:id="70" w:name="_Toc397084568"/>
      <w:bookmarkStart w:id="71" w:name="_Toc13190"/>
      <w:r>
        <w:rPr>
          <w:rFonts w:hint="eastAsia" w:ascii="黑体" w:eastAsia="黑体"/>
          <w:b w:val="0"/>
          <w:color w:val="auto"/>
          <w:sz w:val="22"/>
          <w:szCs w:val="22"/>
          <w:highlight w:val="none"/>
        </w:rPr>
        <w:t>四、工程监理服务范围</w:t>
      </w:r>
      <w:bookmarkEnd w:id="64"/>
      <w:bookmarkEnd w:id="65"/>
      <w:bookmarkEnd w:id="66"/>
      <w:bookmarkEnd w:id="67"/>
      <w:bookmarkEnd w:id="68"/>
      <w:bookmarkEnd w:id="69"/>
      <w:bookmarkEnd w:id="70"/>
      <w:bookmarkEnd w:id="71"/>
    </w:p>
    <w:p>
      <w:pPr>
        <w:tabs>
          <w:tab w:val="left" w:pos="426"/>
        </w:tabs>
        <w:spacing w:line="390" w:lineRule="exact"/>
        <w:ind w:firstLine="440" w:firstLineChars="200"/>
        <w:rPr>
          <w:color w:val="auto"/>
          <w:sz w:val="22"/>
          <w:szCs w:val="22"/>
          <w:highlight w:val="none"/>
          <w:u w:val="single"/>
        </w:rPr>
      </w:pPr>
      <w:r>
        <w:rPr>
          <w:color w:val="auto"/>
          <w:sz w:val="22"/>
          <w:szCs w:val="22"/>
          <w:highlight w:val="none"/>
        </w:rPr>
        <w:t>1.</w:t>
      </w:r>
      <w:r>
        <w:rPr>
          <w:rFonts w:hint="eastAsia"/>
          <w:color w:val="auto"/>
          <w:sz w:val="22"/>
          <w:szCs w:val="22"/>
          <w:highlight w:val="none"/>
        </w:rPr>
        <w:t>房屋建筑工程：</w:t>
      </w:r>
      <w:r>
        <w:rPr>
          <w:color w:val="auto"/>
          <w:sz w:val="22"/>
          <w:szCs w:val="22"/>
          <w:highlight w:val="none"/>
          <w:u w:val="single"/>
        </w:rPr>
        <w:t xml:space="preserve">          </w:t>
      </w:r>
      <w:r>
        <w:rPr>
          <w:rFonts w:hint="eastAsia"/>
          <w:color w:val="auto"/>
          <w:sz w:val="22"/>
          <w:szCs w:val="22"/>
          <w:highlight w:val="none"/>
          <w:u w:val="single"/>
        </w:rPr>
        <w:t>/</w:t>
      </w:r>
      <w:r>
        <w:rPr>
          <w:color w:val="auto"/>
          <w:sz w:val="22"/>
          <w:szCs w:val="22"/>
          <w:highlight w:val="none"/>
          <w:u w:val="single"/>
        </w:rPr>
        <w:t xml:space="preserve">          </w:t>
      </w:r>
    </w:p>
    <w:p>
      <w:pPr>
        <w:tabs>
          <w:tab w:val="left" w:pos="426"/>
        </w:tabs>
        <w:spacing w:line="390" w:lineRule="exact"/>
        <w:ind w:firstLine="440" w:firstLineChars="200"/>
        <w:rPr>
          <w:color w:val="auto"/>
          <w:sz w:val="22"/>
          <w:szCs w:val="22"/>
          <w:highlight w:val="none"/>
          <w:u w:val="single"/>
        </w:rPr>
      </w:pPr>
      <w:r>
        <w:rPr>
          <w:color w:val="auto"/>
          <w:sz w:val="22"/>
          <w:szCs w:val="22"/>
          <w:highlight w:val="none"/>
        </w:rPr>
        <w:t>2.</w:t>
      </w:r>
      <w:r>
        <w:rPr>
          <w:rFonts w:hint="eastAsia"/>
          <w:color w:val="auto"/>
          <w:sz w:val="22"/>
          <w:szCs w:val="22"/>
          <w:highlight w:val="none"/>
        </w:rPr>
        <w:t>市政公用工程：</w:t>
      </w:r>
      <w:r>
        <w:rPr>
          <w:color w:val="auto"/>
          <w:sz w:val="22"/>
          <w:szCs w:val="22"/>
          <w:highlight w:val="none"/>
          <w:u w:val="single"/>
        </w:rPr>
        <w:t xml:space="preserve">         </w:t>
      </w:r>
      <w:r>
        <w:rPr>
          <w:rFonts w:hint="eastAsia"/>
          <w:color w:val="auto"/>
          <w:sz w:val="22"/>
          <w:szCs w:val="22"/>
          <w:highlight w:val="none"/>
          <w:u w:val="single"/>
        </w:rPr>
        <w:t>/</w:t>
      </w:r>
      <w:r>
        <w:rPr>
          <w:color w:val="auto"/>
          <w:sz w:val="22"/>
          <w:szCs w:val="22"/>
          <w:highlight w:val="none"/>
          <w:u w:val="single"/>
        </w:rPr>
        <w:t xml:space="preserve">           </w:t>
      </w:r>
    </w:p>
    <w:p>
      <w:pPr>
        <w:tabs>
          <w:tab w:val="left" w:pos="426"/>
        </w:tabs>
        <w:spacing w:line="390" w:lineRule="exact"/>
        <w:ind w:firstLine="440" w:firstLineChars="200"/>
        <w:rPr>
          <w:rFonts w:hint="eastAsia" w:eastAsia="黑体"/>
          <w:color w:val="auto"/>
          <w:szCs w:val="21"/>
          <w:highlight w:val="none"/>
          <w:u w:val="single"/>
          <w:lang w:eastAsia="zh-CN"/>
        </w:rPr>
      </w:pPr>
      <w:r>
        <w:rPr>
          <w:color w:val="auto"/>
          <w:sz w:val="22"/>
          <w:szCs w:val="22"/>
          <w:highlight w:val="none"/>
        </w:rPr>
        <w:t>3.</w:t>
      </w:r>
      <w:r>
        <w:rPr>
          <w:rFonts w:hint="eastAsia"/>
          <w:color w:val="auto"/>
          <w:sz w:val="22"/>
          <w:szCs w:val="22"/>
          <w:highlight w:val="none"/>
        </w:rPr>
        <w:t>其他工程：</w:t>
      </w:r>
      <w:r>
        <w:rPr>
          <w:rFonts w:hint="eastAsia"/>
          <w:color w:val="auto"/>
          <w:sz w:val="22"/>
          <w:szCs w:val="22"/>
          <w:highlight w:val="none"/>
          <w:lang w:eastAsia="zh-CN"/>
        </w:rPr>
        <w:t>智慧前海视频云平台二期项目</w:t>
      </w:r>
      <w:r>
        <w:rPr>
          <w:rFonts w:hint="eastAsia"/>
          <w:color w:val="auto"/>
          <w:sz w:val="22"/>
          <w:szCs w:val="22"/>
          <w:highlight w:val="none"/>
          <w:u w:val="single"/>
        </w:rPr>
        <w:t>施工阶段及保修阶段的监理服务。监理服务的范围包括</w:t>
      </w:r>
      <w:r>
        <w:rPr>
          <w:rFonts w:hint="eastAsia"/>
          <w:color w:val="auto"/>
          <w:sz w:val="22"/>
          <w:szCs w:val="22"/>
          <w:highlight w:val="none"/>
          <w:u w:val="single"/>
          <w:lang w:eastAsia="zh-CN"/>
        </w:rPr>
        <w:t>智慧前海视频云平台二期项目</w:t>
      </w:r>
      <w:r>
        <w:rPr>
          <w:rFonts w:hint="eastAsia"/>
          <w:color w:val="auto"/>
          <w:sz w:val="22"/>
          <w:szCs w:val="22"/>
          <w:highlight w:val="none"/>
          <w:u w:val="single"/>
        </w:rPr>
        <w:t>监理所包含的所有子项目。工作内容含项目施工阶段的质量控制、投资控制、进度控制、合同管理、信息管理、组织与协调、风险管理、现场安全文明管理及保修阶段监理工作。</w:t>
      </w:r>
      <w:r>
        <w:rPr>
          <w:rFonts w:hint="eastAsia"/>
          <w:color w:val="auto"/>
          <w:szCs w:val="21"/>
          <w:highlight w:val="none"/>
          <w:u w:val="single"/>
        </w:rPr>
        <w:t>具体包括但不限于：</w:t>
      </w:r>
      <w:r>
        <w:rPr>
          <w:rFonts w:hint="eastAsia"/>
          <w:color w:val="auto"/>
          <w:kern w:val="18"/>
          <w:sz w:val="22"/>
          <w:szCs w:val="22"/>
          <w:highlight w:val="none"/>
        </w:rPr>
        <w:t>按</w:t>
      </w:r>
      <w:r>
        <w:rPr>
          <w:rFonts w:hint="eastAsia"/>
          <w:color w:val="auto"/>
          <w:szCs w:val="21"/>
          <w:highlight w:val="none"/>
          <w:u w:val="single"/>
        </w:rPr>
        <w:t>照第三部分《专用条件》第2条监理服务范围与工作内容</w:t>
      </w:r>
      <w:r>
        <w:rPr>
          <w:rFonts w:hint="eastAsia" w:ascii="黑体" w:eastAsia="黑体"/>
          <w:color w:val="auto"/>
          <w:kern w:val="18"/>
          <w:sz w:val="22"/>
          <w:szCs w:val="22"/>
          <w:highlight w:val="none"/>
          <w:lang w:eastAsia="zh-CN"/>
        </w:rPr>
        <w:t>。</w:t>
      </w:r>
    </w:p>
    <w:p>
      <w:pPr>
        <w:pStyle w:val="4"/>
        <w:keepNext w:val="0"/>
        <w:tabs>
          <w:tab w:val="left" w:pos="426"/>
        </w:tabs>
        <w:spacing w:before="0" w:after="0" w:line="390" w:lineRule="exact"/>
        <w:ind w:firstLine="440" w:firstLineChars="200"/>
        <w:rPr>
          <w:rFonts w:ascii="黑体" w:eastAsia="黑体"/>
          <w:b w:val="0"/>
          <w:color w:val="auto"/>
          <w:sz w:val="22"/>
          <w:szCs w:val="22"/>
          <w:highlight w:val="none"/>
        </w:rPr>
      </w:pPr>
      <w:bookmarkStart w:id="72" w:name="_Toc12225"/>
      <w:bookmarkStart w:id="73" w:name="_Toc391916897"/>
      <w:bookmarkStart w:id="74" w:name="_Toc26218"/>
      <w:bookmarkStart w:id="75" w:name="_Toc22022"/>
      <w:bookmarkStart w:id="76" w:name="_Toc10585"/>
      <w:bookmarkStart w:id="77" w:name="_Toc31880"/>
      <w:bookmarkStart w:id="78" w:name="_Toc397084569"/>
      <w:bookmarkStart w:id="79" w:name="_Toc27579"/>
      <w:r>
        <w:rPr>
          <w:rFonts w:hint="eastAsia" w:ascii="黑体" w:eastAsia="黑体"/>
          <w:b w:val="0"/>
          <w:color w:val="auto"/>
          <w:sz w:val="22"/>
          <w:szCs w:val="22"/>
          <w:highlight w:val="none"/>
        </w:rPr>
        <w:t>五、工程监理服务期限</w:t>
      </w:r>
      <w:bookmarkEnd w:id="72"/>
      <w:bookmarkEnd w:id="73"/>
      <w:bookmarkEnd w:id="74"/>
      <w:bookmarkEnd w:id="75"/>
      <w:bookmarkEnd w:id="76"/>
      <w:bookmarkEnd w:id="77"/>
      <w:bookmarkEnd w:id="78"/>
      <w:bookmarkEnd w:id="79"/>
    </w:p>
    <w:p>
      <w:pPr>
        <w:tabs>
          <w:tab w:val="left" w:pos="426"/>
        </w:tabs>
        <w:spacing w:line="390" w:lineRule="exact"/>
        <w:ind w:left="0" w:leftChars="0" w:firstLine="440" w:firstLineChars="200"/>
        <w:rPr>
          <w:color w:val="auto"/>
          <w:kern w:val="2"/>
          <w:sz w:val="22"/>
          <w:szCs w:val="22"/>
          <w:highlight w:val="none"/>
          <w:u w:val="none"/>
        </w:rPr>
      </w:pPr>
      <w:r>
        <w:rPr>
          <w:color w:val="auto"/>
          <w:sz w:val="22"/>
          <w:szCs w:val="22"/>
          <w:highlight w:val="none"/>
          <w:u w:val="none"/>
        </w:rPr>
        <w:t>1.</w:t>
      </w:r>
      <w:r>
        <w:rPr>
          <w:rFonts w:hint="default"/>
          <w:color w:val="auto"/>
          <w:sz w:val="22"/>
          <w:szCs w:val="22"/>
          <w:highlight w:val="none"/>
        </w:rPr>
        <w:t xml:space="preserve"> 本工程监理服务期限</w:t>
      </w:r>
      <w:r>
        <w:rPr>
          <w:rFonts w:hint="default"/>
          <w:color w:val="auto"/>
          <w:sz w:val="22"/>
          <w:szCs w:val="22"/>
          <w:highlight w:val="none"/>
          <w:lang w:val="en-US" w:eastAsia="zh-CN"/>
        </w:rPr>
        <w:t>包含施工阶段和保修阶段，服务期限</w:t>
      </w:r>
      <w:r>
        <w:rPr>
          <w:rFonts w:hint="eastAsia"/>
          <w:color w:val="auto"/>
          <w:sz w:val="22"/>
          <w:szCs w:val="22"/>
          <w:highlight w:val="none"/>
        </w:rPr>
        <w:t>自工程开工至工程竣工验收合格、保修期完成。</w:t>
      </w:r>
    </w:p>
    <w:p>
      <w:pPr>
        <w:tabs>
          <w:tab w:val="left" w:pos="426"/>
        </w:tabs>
        <w:spacing w:line="390" w:lineRule="exact"/>
        <w:ind w:left="1854" w:leftChars="228" w:hanging="1375" w:hangingChars="625"/>
        <w:rPr>
          <w:color w:val="auto"/>
          <w:kern w:val="18"/>
          <w:sz w:val="22"/>
          <w:szCs w:val="22"/>
          <w:highlight w:val="none"/>
          <w:u w:val="single" w:color="FFFFFF"/>
        </w:rPr>
      </w:pPr>
      <w:r>
        <w:rPr>
          <w:color w:val="auto"/>
          <w:kern w:val="18"/>
          <w:sz w:val="22"/>
          <w:szCs w:val="22"/>
          <w:highlight w:val="none"/>
          <w:u w:val="single" w:color="FFFFFF"/>
        </w:rPr>
        <w:t>2.</w:t>
      </w:r>
      <w:r>
        <w:rPr>
          <w:rFonts w:hint="eastAsia"/>
          <w:color w:val="auto"/>
          <w:kern w:val="18"/>
          <w:sz w:val="22"/>
          <w:szCs w:val="22"/>
          <w:highlight w:val="none"/>
          <w:u w:val="single" w:color="FFFFFF"/>
          <w:lang w:val="en-US" w:eastAsia="zh-CN"/>
        </w:rPr>
        <w:t xml:space="preserve"> </w:t>
      </w:r>
      <w:r>
        <w:rPr>
          <w:rFonts w:hint="eastAsia"/>
          <w:color w:val="auto"/>
          <w:sz w:val="22"/>
          <w:szCs w:val="22"/>
          <w:highlight w:val="none"/>
        </w:rPr>
        <w:t>保修阶段自工程竣工验收合格之日起</w:t>
      </w:r>
      <w:r>
        <w:rPr>
          <w:rFonts w:hint="eastAsia"/>
          <w:color w:val="auto"/>
          <w:kern w:val="18"/>
          <w:sz w:val="22"/>
          <w:szCs w:val="22"/>
          <w:highlight w:val="none"/>
          <w:u w:val="single"/>
          <w:lang w:val="en-US" w:eastAsia="zh-CN"/>
        </w:rPr>
        <w:t>3</w:t>
      </w:r>
      <w:r>
        <w:rPr>
          <w:rFonts w:hint="eastAsia"/>
          <w:color w:val="auto"/>
          <w:kern w:val="18"/>
          <w:sz w:val="22"/>
          <w:szCs w:val="22"/>
          <w:highlight w:val="none"/>
          <w:u w:val="single"/>
        </w:rPr>
        <w:t>年</w:t>
      </w:r>
      <w:r>
        <w:rPr>
          <w:rFonts w:hint="eastAsia"/>
          <w:color w:val="auto"/>
          <w:kern w:val="18"/>
          <w:sz w:val="22"/>
          <w:szCs w:val="22"/>
          <w:highlight w:val="none"/>
        </w:rPr>
        <w:t>。</w:t>
      </w:r>
    </w:p>
    <w:p>
      <w:pPr>
        <w:pStyle w:val="4"/>
        <w:keepNext w:val="0"/>
        <w:tabs>
          <w:tab w:val="left" w:pos="426"/>
        </w:tabs>
        <w:spacing w:before="0" w:after="0" w:line="390" w:lineRule="exact"/>
        <w:ind w:firstLine="440" w:firstLineChars="200"/>
        <w:rPr>
          <w:rFonts w:ascii="黑体" w:eastAsia="黑体"/>
          <w:b w:val="0"/>
          <w:color w:val="auto"/>
          <w:sz w:val="22"/>
          <w:szCs w:val="22"/>
          <w:highlight w:val="none"/>
        </w:rPr>
      </w:pPr>
      <w:bookmarkStart w:id="80" w:name="_Toc397084570"/>
      <w:bookmarkStart w:id="81" w:name="_Toc21836"/>
      <w:bookmarkStart w:id="82" w:name="_Toc20727"/>
      <w:bookmarkStart w:id="83" w:name="_Toc1394"/>
      <w:bookmarkStart w:id="84" w:name="_Toc11113"/>
      <w:bookmarkStart w:id="85" w:name="_Toc9607"/>
      <w:bookmarkStart w:id="86" w:name="_Toc391916898"/>
      <w:bookmarkStart w:id="87" w:name="_Toc2835"/>
      <w:r>
        <w:rPr>
          <w:rFonts w:hint="eastAsia" w:ascii="黑体" w:eastAsia="黑体"/>
          <w:b w:val="0"/>
          <w:color w:val="auto"/>
          <w:sz w:val="22"/>
          <w:szCs w:val="22"/>
          <w:highlight w:val="none"/>
        </w:rPr>
        <w:t>六、工程监理服务酬金</w:t>
      </w:r>
      <w:bookmarkEnd w:id="80"/>
      <w:bookmarkEnd w:id="81"/>
      <w:bookmarkEnd w:id="82"/>
      <w:bookmarkEnd w:id="83"/>
      <w:bookmarkEnd w:id="84"/>
      <w:bookmarkEnd w:id="85"/>
      <w:bookmarkEnd w:id="86"/>
      <w:bookmarkEnd w:id="87"/>
    </w:p>
    <w:p>
      <w:pPr>
        <w:tabs>
          <w:tab w:val="left" w:pos="426"/>
        </w:tabs>
        <w:spacing w:line="390" w:lineRule="exact"/>
        <w:ind w:firstLine="440" w:firstLineChars="200"/>
        <w:rPr>
          <w:color w:val="auto"/>
          <w:sz w:val="22"/>
          <w:szCs w:val="22"/>
          <w:highlight w:val="none"/>
        </w:rPr>
      </w:pPr>
      <w:r>
        <w:rPr>
          <w:rFonts w:hint="eastAsia"/>
          <w:color w:val="auto"/>
          <w:kern w:val="18"/>
          <w:sz w:val="22"/>
          <w:szCs w:val="22"/>
          <w:highlight w:val="none"/>
        </w:rPr>
        <w:t>按照第三部分《专用条件》第</w:t>
      </w:r>
      <w:r>
        <w:rPr>
          <w:rFonts w:hint="eastAsia"/>
          <w:color w:val="auto"/>
          <w:kern w:val="18"/>
          <w:sz w:val="22"/>
          <w:szCs w:val="22"/>
          <w:highlight w:val="none"/>
          <w:lang w:val="en-US" w:eastAsia="zh-CN"/>
        </w:rPr>
        <w:t>11</w:t>
      </w:r>
      <w:r>
        <w:rPr>
          <w:rFonts w:hint="eastAsia"/>
          <w:color w:val="auto"/>
          <w:kern w:val="18"/>
          <w:sz w:val="22"/>
          <w:szCs w:val="22"/>
          <w:highlight w:val="none"/>
        </w:rPr>
        <w:t>条《酬金计取》的计取，</w:t>
      </w:r>
      <w:r>
        <w:rPr>
          <w:rFonts w:hint="eastAsia"/>
          <w:color w:val="auto"/>
          <w:szCs w:val="21"/>
          <w:highlight w:val="none"/>
        </w:rPr>
        <w:t>本工程监理服务</w:t>
      </w:r>
      <w:r>
        <w:rPr>
          <w:rFonts w:hint="eastAsia"/>
          <w:color w:val="auto"/>
          <w:kern w:val="18"/>
          <w:szCs w:val="21"/>
          <w:highlight w:val="none"/>
          <w:lang w:val="en-US" w:eastAsia="zh-CN"/>
        </w:rPr>
        <w:t>投标监理费费率</w:t>
      </w:r>
      <w:r>
        <w:rPr>
          <w:rFonts w:hint="eastAsia"/>
          <w:color w:val="auto"/>
          <w:szCs w:val="21"/>
          <w:highlight w:val="none"/>
        </w:rPr>
        <w:t>为</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rFonts w:hint="eastAsia"/>
          <w:color w:val="auto"/>
          <w:szCs w:val="21"/>
          <w:highlight w:val="none"/>
          <w:u w:val="single"/>
          <w:lang w:val="en-US" w:eastAsia="zh-CN"/>
        </w:rPr>
        <w:t>%</w:t>
      </w:r>
      <w:r>
        <w:rPr>
          <w:color w:val="auto"/>
          <w:szCs w:val="21"/>
          <w:highlight w:val="none"/>
          <w:u w:val="single"/>
        </w:rPr>
        <w:t xml:space="preserve"> </w:t>
      </w:r>
      <w:r>
        <w:rPr>
          <w:rFonts w:hint="eastAsia"/>
          <w:color w:val="auto"/>
          <w:szCs w:val="21"/>
          <w:highlight w:val="none"/>
        </w:rPr>
        <w:t>。</w:t>
      </w:r>
      <w:r>
        <w:rPr>
          <w:rFonts w:hint="eastAsia"/>
          <w:color w:val="auto"/>
          <w:kern w:val="18"/>
          <w:sz w:val="22"/>
          <w:szCs w:val="22"/>
          <w:highlight w:val="none"/>
        </w:rPr>
        <w:t>各阶段监理服务酬金合计</w:t>
      </w:r>
      <w:r>
        <w:rPr>
          <w:rFonts w:hint="eastAsia"/>
          <w:color w:val="auto"/>
          <w:kern w:val="18"/>
          <w:sz w:val="22"/>
          <w:szCs w:val="22"/>
          <w:highlight w:val="none"/>
          <w:lang w:val="en-US" w:eastAsia="zh-CN"/>
        </w:rPr>
        <w:t>暂定</w:t>
      </w:r>
      <w:r>
        <w:rPr>
          <w:rFonts w:hint="eastAsia"/>
          <w:color w:val="auto"/>
          <w:kern w:val="18"/>
          <w:sz w:val="22"/>
          <w:szCs w:val="22"/>
          <w:highlight w:val="none"/>
        </w:rPr>
        <w:t>总金额为</w:t>
      </w:r>
      <w:r>
        <w:rPr>
          <w:rFonts w:hint="eastAsia"/>
          <w:color w:val="auto"/>
          <w:sz w:val="22"/>
          <w:szCs w:val="22"/>
          <w:highlight w:val="none"/>
        </w:rPr>
        <w:t>（大写）：</w:t>
      </w:r>
      <w:r>
        <w:rPr>
          <w:color w:val="auto"/>
          <w:sz w:val="22"/>
          <w:szCs w:val="22"/>
          <w:highlight w:val="none"/>
          <w:u w:val="single"/>
        </w:rPr>
        <w:t xml:space="preserve">         </w:t>
      </w:r>
      <w:r>
        <w:rPr>
          <w:rFonts w:hint="eastAsia"/>
          <w:color w:val="auto"/>
          <w:sz w:val="22"/>
          <w:szCs w:val="22"/>
          <w:highlight w:val="none"/>
        </w:rPr>
        <w:t>（￥</w:t>
      </w:r>
      <w:r>
        <w:rPr>
          <w:color w:val="auto"/>
          <w:sz w:val="22"/>
          <w:szCs w:val="22"/>
          <w:highlight w:val="none"/>
          <w:u w:val="single"/>
        </w:rPr>
        <w:t xml:space="preserve">          </w:t>
      </w:r>
      <w:r>
        <w:rPr>
          <w:rFonts w:hint="eastAsia"/>
          <w:color w:val="auto"/>
          <w:sz w:val="22"/>
          <w:szCs w:val="22"/>
          <w:highlight w:val="none"/>
        </w:rPr>
        <w:t>）。</w:t>
      </w:r>
    </w:p>
    <w:p>
      <w:pPr>
        <w:pStyle w:val="4"/>
        <w:keepNext w:val="0"/>
        <w:tabs>
          <w:tab w:val="left" w:pos="426"/>
        </w:tabs>
        <w:spacing w:before="0" w:after="0" w:line="390" w:lineRule="exact"/>
        <w:ind w:firstLine="440" w:firstLineChars="200"/>
        <w:rPr>
          <w:rFonts w:ascii="黑体" w:eastAsia="黑体"/>
          <w:b w:val="0"/>
          <w:color w:val="auto"/>
          <w:sz w:val="22"/>
          <w:szCs w:val="22"/>
          <w:highlight w:val="none"/>
        </w:rPr>
      </w:pPr>
      <w:bookmarkStart w:id="88" w:name="_Toc31393"/>
      <w:bookmarkStart w:id="89" w:name="_Toc17714"/>
      <w:bookmarkStart w:id="90" w:name="_Toc6506"/>
      <w:bookmarkStart w:id="91" w:name="_Toc11465"/>
      <w:bookmarkStart w:id="92" w:name="_Toc21523"/>
      <w:bookmarkStart w:id="93" w:name="_Toc15174"/>
      <w:bookmarkStart w:id="94" w:name="_Toc397084571"/>
      <w:r>
        <w:rPr>
          <w:rFonts w:hint="eastAsia" w:ascii="黑体" w:eastAsia="黑体"/>
          <w:b w:val="0"/>
          <w:color w:val="auto"/>
          <w:sz w:val="22"/>
          <w:szCs w:val="22"/>
          <w:highlight w:val="none"/>
        </w:rPr>
        <w:t>七、付款方式</w:t>
      </w:r>
      <w:bookmarkEnd w:id="88"/>
      <w:bookmarkEnd w:id="89"/>
      <w:bookmarkEnd w:id="90"/>
      <w:bookmarkEnd w:id="91"/>
      <w:bookmarkEnd w:id="92"/>
      <w:bookmarkEnd w:id="93"/>
      <w:bookmarkEnd w:id="94"/>
    </w:p>
    <w:p>
      <w:pPr>
        <w:tabs>
          <w:tab w:val="left" w:pos="426"/>
        </w:tabs>
        <w:ind w:firstLine="420" w:firstLineChars="200"/>
        <w:rPr>
          <w:color w:val="auto"/>
          <w:szCs w:val="21"/>
          <w:highlight w:val="none"/>
        </w:rPr>
      </w:pPr>
      <w:r>
        <w:rPr>
          <w:rFonts w:hint="eastAsia"/>
          <w:color w:val="auto"/>
          <w:szCs w:val="21"/>
          <w:highlight w:val="none"/>
        </w:rPr>
        <w:t>2.1第一次付款：合同签订后支付合同</w:t>
      </w:r>
      <w:r>
        <w:rPr>
          <w:rFonts w:hint="eastAsia"/>
          <w:color w:val="auto"/>
          <w:szCs w:val="21"/>
          <w:highlight w:val="none"/>
          <w:lang w:val="en-US" w:eastAsia="zh-CN"/>
        </w:rPr>
        <w:t>暂定</w:t>
      </w:r>
      <w:r>
        <w:rPr>
          <w:rFonts w:hint="eastAsia"/>
          <w:color w:val="auto"/>
          <w:szCs w:val="21"/>
          <w:highlight w:val="none"/>
        </w:rPr>
        <w:t xml:space="preserve">价款总额的30%； </w:t>
      </w:r>
    </w:p>
    <w:p>
      <w:pPr>
        <w:tabs>
          <w:tab w:val="left" w:pos="426"/>
        </w:tabs>
        <w:spacing w:line="360" w:lineRule="exact"/>
        <w:ind w:left="0" w:leftChars="0" w:firstLine="420" w:firstLineChars="200"/>
        <w:rPr>
          <w:color w:val="auto"/>
          <w:szCs w:val="21"/>
          <w:highlight w:val="none"/>
        </w:rPr>
      </w:pPr>
      <w:r>
        <w:rPr>
          <w:rFonts w:hint="eastAsia"/>
          <w:color w:val="auto"/>
          <w:szCs w:val="21"/>
          <w:highlight w:val="none"/>
        </w:rPr>
        <w:t>自本合同签订之日起15个工作日内，根据乙方提出的付款申请，甲方向乙方支付人民币</w:t>
      </w:r>
      <w:r>
        <w:rPr>
          <w:rFonts w:hint="eastAsia"/>
          <w:color w:val="auto"/>
          <w:szCs w:val="21"/>
          <w:highlight w:val="none"/>
          <w:u w:val="single"/>
        </w:rPr>
        <w:t xml:space="preserve">     </w:t>
      </w:r>
      <w:r>
        <w:rPr>
          <w:rFonts w:hint="eastAsia"/>
          <w:color w:val="auto"/>
          <w:szCs w:val="21"/>
          <w:highlight w:val="none"/>
          <w:u w:val="none"/>
          <w:lang w:val="en-US" w:eastAsia="zh-CN"/>
        </w:rPr>
        <w:t xml:space="preserve"> </w:t>
      </w:r>
      <w:r>
        <w:rPr>
          <w:rFonts w:hint="eastAsia"/>
          <w:color w:val="auto"/>
          <w:szCs w:val="21"/>
          <w:highlight w:val="none"/>
        </w:rPr>
        <w:t>元整，小写￥</w:t>
      </w:r>
      <w:r>
        <w:rPr>
          <w:rFonts w:hint="eastAsia"/>
          <w:color w:val="auto"/>
          <w:szCs w:val="21"/>
          <w:highlight w:val="none"/>
          <w:u w:val="single"/>
        </w:rPr>
        <w:t xml:space="preserve">         </w:t>
      </w:r>
      <w:r>
        <w:rPr>
          <w:rFonts w:hint="eastAsia"/>
          <w:color w:val="auto"/>
          <w:szCs w:val="21"/>
          <w:highlight w:val="none"/>
        </w:rPr>
        <w:t>元。</w:t>
      </w:r>
    </w:p>
    <w:p>
      <w:pPr>
        <w:tabs>
          <w:tab w:val="left" w:pos="426"/>
        </w:tabs>
        <w:ind w:firstLine="420" w:firstLineChars="200"/>
        <w:rPr>
          <w:rFonts w:hint="default" w:eastAsia="宋体"/>
          <w:color w:val="auto"/>
          <w:kern w:val="18"/>
          <w:szCs w:val="21"/>
          <w:highlight w:val="none"/>
          <w:lang w:val="en-US" w:eastAsia="zh-CN"/>
        </w:rPr>
      </w:pPr>
      <w:r>
        <w:rPr>
          <w:rFonts w:hint="eastAsia"/>
          <w:color w:val="auto"/>
          <w:szCs w:val="21"/>
          <w:highlight w:val="none"/>
        </w:rPr>
        <w:t>2.2</w:t>
      </w:r>
      <w:r>
        <w:rPr>
          <w:rFonts w:hint="eastAsia"/>
          <w:color w:val="auto"/>
          <w:szCs w:val="21"/>
          <w:highlight w:val="none"/>
          <w:lang w:val="en-US" w:eastAsia="zh-CN"/>
        </w:rPr>
        <w:t xml:space="preserve"> 结算时，监理服务酬金总</w:t>
      </w:r>
      <w:r>
        <w:rPr>
          <w:rFonts w:hint="eastAsia"/>
          <w:color w:val="auto"/>
          <w:kern w:val="18"/>
          <w:szCs w:val="21"/>
          <w:highlight w:val="none"/>
          <w:lang w:eastAsia="zh-CN"/>
        </w:rPr>
        <w:t>额</w:t>
      </w:r>
      <w:r>
        <w:rPr>
          <w:rFonts w:hint="eastAsia"/>
          <w:color w:val="auto"/>
          <w:kern w:val="18"/>
          <w:szCs w:val="21"/>
          <w:highlight w:val="none"/>
        </w:rPr>
        <w:t>以</w:t>
      </w:r>
      <w:r>
        <w:rPr>
          <w:rFonts w:hint="eastAsia"/>
          <w:color w:val="auto"/>
          <w:kern w:val="18"/>
          <w:szCs w:val="21"/>
          <w:highlight w:val="none"/>
          <w:lang w:val="en-US" w:eastAsia="zh-CN"/>
        </w:rPr>
        <w:t>经政府审计机构审计的</w:t>
      </w:r>
      <w:r>
        <w:rPr>
          <w:rFonts w:hint="eastAsia"/>
          <w:color w:val="auto"/>
          <w:kern w:val="18"/>
          <w:szCs w:val="21"/>
          <w:highlight w:val="none"/>
        </w:rPr>
        <w:t>工程</w:t>
      </w:r>
      <w:r>
        <w:rPr>
          <w:rFonts w:hint="eastAsia"/>
          <w:color w:val="auto"/>
          <w:kern w:val="18"/>
          <w:szCs w:val="21"/>
          <w:highlight w:val="none"/>
          <w:lang w:val="en-US" w:eastAsia="zh-CN"/>
        </w:rPr>
        <w:t>建设费用</w:t>
      </w:r>
      <w:r>
        <w:rPr>
          <w:rFonts w:hint="eastAsia"/>
          <w:color w:val="auto"/>
          <w:kern w:val="18"/>
          <w:szCs w:val="21"/>
          <w:highlight w:val="none"/>
        </w:rPr>
        <w:t>结算价为取费基数计算</w:t>
      </w:r>
      <w:r>
        <w:rPr>
          <w:rFonts w:hint="eastAsia"/>
          <w:color w:val="auto"/>
          <w:kern w:val="18"/>
          <w:szCs w:val="21"/>
          <w:highlight w:val="none"/>
          <w:lang w:eastAsia="zh-CN"/>
        </w:rPr>
        <w:t>，</w:t>
      </w:r>
      <w:r>
        <w:rPr>
          <w:rFonts w:hint="eastAsia"/>
          <w:color w:val="auto"/>
          <w:kern w:val="18"/>
          <w:szCs w:val="21"/>
          <w:highlight w:val="none"/>
          <w:lang w:val="en-US" w:eastAsia="zh-CN"/>
        </w:rPr>
        <w:t>其计算公式为：</w:t>
      </w:r>
    </w:p>
    <w:p>
      <w:pPr>
        <w:tabs>
          <w:tab w:val="left" w:pos="426"/>
        </w:tabs>
        <w:spacing w:line="360" w:lineRule="exact"/>
        <w:ind w:firstLine="210" w:firstLineChars="100"/>
        <w:rPr>
          <w:rFonts w:hint="default" w:eastAsia="宋体"/>
          <w:color w:val="auto"/>
          <w:szCs w:val="21"/>
          <w:highlight w:val="none"/>
          <w:lang w:val="en-US" w:eastAsia="zh-CN"/>
        </w:rPr>
      </w:pPr>
      <w:r>
        <w:rPr>
          <w:rFonts w:hint="eastAsia"/>
          <w:color w:val="auto"/>
          <w:szCs w:val="21"/>
          <w:highlight w:val="none"/>
        </w:rPr>
        <w:t>监理服务酬金</w:t>
      </w:r>
      <w:r>
        <w:rPr>
          <w:rFonts w:hint="eastAsia"/>
          <w:color w:val="auto"/>
          <w:szCs w:val="21"/>
          <w:highlight w:val="none"/>
          <w:lang w:val="en-US" w:eastAsia="zh-CN"/>
        </w:rPr>
        <w:t>总额</w:t>
      </w:r>
      <w:r>
        <w:rPr>
          <w:rFonts w:hint="eastAsia"/>
          <w:color w:val="auto"/>
          <w:szCs w:val="21"/>
          <w:highlight w:val="none"/>
        </w:rPr>
        <w:t>＝监理服务酬金基价×专业调整系数×工程复杂程度调整系数×高程调整系数</w:t>
      </w:r>
    </w:p>
    <w:p>
      <w:pPr>
        <w:tabs>
          <w:tab w:val="left" w:pos="426"/>
        </w:tabs>
        <w:spacing w:line="360" w:lineRule="exact"/>
        <w:ind w:firstLine="1890" w:firstLineChars="900"/>
        <w:rPr>
          <w:color w:val="auto"/>
          <w:szCs w:val="21"/>
          <w:highlight w:val="none"/>
          <w:u w:val="single"/>
        </w:rPr>
      </w:pPr>
      <w:r>
        <w:rPr>
          <w:rFonts w:hint="eastAsia"/>
          <w:color w:val="auto"/>
          <w:szCs w:val="21"/>
          <w:highlight w:val="none"/>
        </w:rPr>
        <w:t>＝</w:t>
      </w:r>
      <w:r>
        <w:rPr>
          <w:rFonts w:hint="eastAsia"/>
          <w:color w:val="auto"/>
          <w:szCs w:val="21"/>
          <w:highlight w:val="none"/>
          <w:u w:val="single"/>
          <w:lang w:val="en-US" w:eastAsia="zh-CN"/>
        </w:rPr>
        <w:t>审计后</w:t>
      </w:r>
      <w:r>
        <w:rPr>
          <w:rFonts w:hint="eastAsia"/>
          <w:color w:val="auto"/>
          <w:kern w:val="18"/>
          <w:szCs w:val="21"/>
          <w:highlight w:val="none"/>
          <w:u w:val="single"/>
          <w:lang w:val="en-US" w:eastAsia="zh-CN"/>
        </w:rPr>
        <w:t>工程建设费用</w:t>
      </w:r>
      <w:r>
        <w:rPr>
          <w:rFonts w:hint="eastAsia"/>
          <w:color w:val="auto"/>
          <w:kern w:val="18"/>
          <w:szCs w:val="21"/>
          <w:highlight w:val="none"/>
        </w:rPr>
        <w:t>×</w:t>
      </w:r>
      <w:r>
        <w:rPr>
          <w:rFonts w:hint="eastAsia"/>
          <w:color w:val="auto"/>
          <w:kern w:val="18"/>
          <w:szCs w:val="21"/>
          <w:highlight w:val="none"/>
          <w:lang w:val="en-US" w:eastAsia="zh-CN"/>
        </w:rPr>
        <w:t>投标监理费费率为</w:t>
      </w:r>
      <w:r>
        <w:rPr>
          <w:rFonts w:hint="eastAsia"/>
          <w:color w:val="auto"/>
          <w:kern w:val="18"/>
          <w:szCs w:val="21"/>
          <w:highlight w:val="none"/>
          <w:u w:val="single"/>
        </w:rPr>
        <w:t xml:space="preserve"> </w:t>
      </w:r>
      <w:r>
        <w:rPr>
          <w:rFonts w:hint="eastAsia"/>
          <w:color w:val="auto"/>
          <w:kern w:val="18"/>
          <w:szCs w:val="21"/>
          <w:highlight w:val="none"/>
          <w:u w:val="single"/>
          <w:lang w:val="en-US" w:eastAsia="zh-CN"/>
        </w:rPr>
        <w:t xml:space="preserve">  </w:t>
      </w:r>
      <w:r>
        <w:rPr>
          <w:rFonts w:hint="eastAsia"/>
          <w:color w:val="auto"/>
          <w:kern w:val="18"/>
          <w:szCs w:val="21"/>
          <w:highlight w:val="none"/>
          <w:u w:val="single"/>
        </w:rPr>
        <w:t xml:space="preserve"> </w:t>
      </w:r>
      <w:r>
        <w:rPr>
          <w:rFonts w:hint="eastAsia"/>
          <w:color w:val="auto"/>
          <w:kern w:val="18"/>
          <w:szCs w:val="21"/>
          <w:highlight w:val="none"/>
          <w:u w:val="single"/>
          <w:lang w:val="en-US" w:eastAsia="zh-CN"/>
        </w:rPr>
        <w:t>%</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u w:val="single"/>
        </w:rPr>
        <w:t>1.0</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u w:val="single"/>
        </w:rPr>
        <w:t>1.0</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u w:val="single"/>
        </w:rPr>
        <w:t>1.0</w:t>
      </w:r>
      <w:r>
        <w:rPr>
          <w:color w:val="auto"/>
          <w:szCs w:val="21"/>
          <w:highlight w:val="none"/>
          <w:u w:val="single"/>
        </w:rPr>
        <w:t xml:space="preserve"> </w:t>
      </w:r>
    </w:p>
    <w:p>
      <w:pPr>
        <w:tabs>
          <w:tab w:val="left" w:pos="426"/>
        </w:tabs>
        <w:spacing w:line="360" w:lineRule="exact"/>
        <w:ind w:firstLine="420" w:firstLineChars="200"/>
        <w:rPr>
          <w:rFonts w:hint="default"/>
          <w:color w:val="auto"/>
          <w:szCs w:val="21"/>
          <w:highlight w:val="none"/>
          <w:u w:val="single"/>
          <w:lang w:val="en-US" w:eastAsia="zh-CN"/>
        </w:rPr>
      </w:pPr>
      <w:r>
        <w:rPr>
          <w:rFonts w:hint="eastAsia"/>
          <w:color w:val="auto"/>
          <w:szCs w:val="21"/>
          <w:highlight w:val="none"/>
        </w:rPr>
        <w:t>第二次付款：</w:t>
      </w:r>
      <w:r>
        <w:rPr>
          <w:rFonts w:hint="eastAsia"/>
          <w:color w:val="auto"/>
          <w:szCs w:val="21"/>
          <w:highlight w:val="none"/>
          <w:lang w:val="en-US" w:eastAsia="zh-CN"/>
        </w:rPr>
        <w:t>项目</w:t>
      </w:r>
      <w:r>
        <w:rPr>
          <w:rFonts w:hint="eastAsia"/>
          <w:color w:val="auto"/>
          <w:szCs w:val="21"/>
          <w:highlight w:val="none"/>
        </w:rPr>
        <w:t>竣工验收</w:t>
      </w:r>
      <w:r>
        <w:rPr>
          <w:rFonts w:hint="eastAsia"/>
          <w:color w:val="auto"/>
          <w:szCs w:val="21"/>
          <w:highlight w:val="none"/>
          <w:lang w:val="en-US" w:eastAsia="zh-CN"/>
        </w:rPr>
        <w:t>后支付至结算监理服务酬金总额的97%。</w:t>
      </w:r>
    </w:p>
    <w:p>
      <w:pPr>
        <w:tabs>
          <w:tab w:val="left" w:pos="426"/>
        </w:tabs>
        <w:ind w:firstLine="420" w:firstLineChars="200"/>
        <w:rPr>
          <w:color w:val="auto"/>
          <w:szCs w:val="21"/>
          <w:highlight w:val="none"/>
        </w:rPr>
      </w:pPr>
      <w:r>
        <w:rPr>
          <w:color w:val="auto"/>
          <w:szCs w:val="21"/>
          <w:highlight w:val="none"/>
        </w:rPr>
        <w:t>2.3第三次付款：项目保修期完成后</w:t>
      </w:r>
      <w:r>
        <w:rPr>
          <w:rFonts w:hint="eastAsia"/>
          <w:color w:val="auto"/>
          <w:szCs w:val="21"/>
          <w:highlight w:val="none"/>
          <w:lang w:eastAsia="zh-CN"/>
        </w:rPr>
        <w:t>，</w:t>
      </w:r>
      <w:r>
        <w:rPr>
          <w:color w:val="auto"/>
          <w:szCs w:val="21"/>
          <w:highlight w:val="none"/>
        </w:rPr>
        <w:t>支付</w:t>
      </w:r>
      <w:r>
        <w:rPr>
          <w:rFonts w:hint="eastAsia"/>
          <w:color w:val="auto"/>
          <w:szCs w:val="21"/>
          <w:highlight w:val="none"/>
          <w:lang w:val="en-US" w:eastAsia="zh-CN"/>
        </w:rPr>
        <w:t>监理服务酬金剩余款项，为结算</w:t>
      </w:r>
      <w:r>
        <w:rPr>
          <w:rFonts w:hint="eastAsia"/>
          <w:color w:val="auto"/>
          <w:kern w:val="18"/>
          <w:szCs w:val="21"/>
          <w:highlight w:val="none"/>
          <w:lang w:val="en-US" w:eastAsia="zh-CN"/>
        </w:rPr>
        <w:t>监理服务酬金总额的3%。</w:t>
      </w:r>
    </w:p>
    <w:p>
      <w:pPr>
        <w:tabs>
          <w:tab w:val="left" w:pos="426"/>
        </w:tabs>
        <w:ind w:firstLine="420" w:firstLineChars="200"/>
        <w:rPr>
          <w:color w:val="auto"/>
          <w:szCs w:val="21"/>
          <w:highlight w:val="none"/>
        </w:rPr>
      </w:pPr>
      <w:r>
        <w:rPr>
          <w:rFonts w:hint="eastAsia"/>
          <w:color w:val="auto"/>
          <w:szCs w:val="21"/>
          <w:highlight w:val="none"/>
        </w:rPr>
        <w:t>本合同以人民币付款。</w:t>
      </w:r>
    </w:p>
    <w:p>
      <w:pPr>
        <w:tabs>
          <w:tab w:val="left" w:pos="426"/>
        </w:tabs>
        <w:ind w:firstLine="420" w:firstLineChars="200"/>
        <w:rPr>
          <w:color w:val="auto"/>
          <w:szCs w:val="21"/>
          <w:highlight w:val="none"/>
        </w:rPr>
      </w:pPr>
    </w:p>
    <w:p>
      <w:pPr>
        <w:tabs>
          <w:tab w:val="left" w:pos="426"/>
        </w:tabs>
        <w:spacing w:line="440" w:lineRule="exact"/>
        <w:ind w:left="-6" w:leftChars="-3" w:firstLine="502" w:firstLineChars="238"/>
        <w:rPr>
          <w:b/>
          <w:color w:val="auto"/>
          <w:szCs w:val="21"/>
          <w:highlight w:val="none"/>
        </w:rPr>
      </w:pPr>
      <w:r>
        <w:rPr>
          <w:rFonts w:hint="eastAsia"/>
          <w:b/>
          <w:color w:val="auto"/>
          <w:szCs w:val="21"/>
          <w:highlight w:val="none"/>
        </w:rPr>
        <w:t>甲方银行信息：</w:t>
      </w:r>
    </w:p>
    <w:p>
      <w:pPr>
        <w:tabs>
          <w:tab w:val="left" w:pos="426"/>
        </w:tabs>
        <w:spacing w:line="440" w:lineRule="exact"/>
        <w:ind w:left="-6" w:leftChars="-3" w:firstLine="499" w:firstLineChars="238"/>
        <w:rPr>
          <w:color w:val="auto"/>
          <w:szCs w:val="21"/>
          <w:highlight w:val="none"/>
        </w:rPr>
      </w:pPr>
      <w:r>
        <w:rPr>
          <w:rFonts w:hint="eastAsia"/>
          <w:color w:val="auto"/>
          <w:szCs w:val="21"/>
          <w:highlight w:val="none"/>
        </w:rPr>
        <w:t>开户名称： 深圳市前海深港现代服务业合作区管理局</w:t>
      </w:r>
    </w:p>
    <w:p>
      <w:pPr>
        <w:tabs>
          <w:tab w:val="left" w:pos="426"/>
        </w:tabs>
        <w:spacing w:line="440" w:lineRule="exact"/>
        <w:ind w:left="-6" w:leftChars="-3" w:firstLine="499" w:firstLineChars="238"/>
        <w:rPr>
          <w:color w:val="auto"/>
          <w:szCs w:val="21"/>
          <w:highlight w:val="none"/>
        </w:rPr>
      </w:pPr>
      <w:r>
        <w:rPr>
          <w:rFonts w:hint="eastAsia"/>
          <w:color w:val="auto"/>
          <w:szCs w:val="21"/>
          <w:highlight w:val="none"/>
        </w:rPr>
        <w:t>纳税人识别号：12440300553851438E</w:t>
      </w:r>
    </w:p>
    <w:p>
      <w:pPr>
        <w:tabs>
          <w:tab w:val="left" w:pos="426"/>
        </w:tabs>
        <w:spacing w:line="440" w:lineRule="exact"/>
        <w:ind w:left="-6" w:leftChars="-3" w:firstLine="499" w:firstLineChars="238"/>
        <w:rPr>
          <w:color w:val="auto"/>
          <w:szCs w:val="21"/>
          <w:highlight w:val="none"/>
        </w:rPr>
      </w:pPr>
      <w:r>
        <w:rPr>
          <w:rFonts w:hint="eastAsia"/>
          <w:color w:val="auto"/>
          <w:szCs w:val="21"/>
          <w:highlight w:val="none"/>
        </w:rPr>
        <w:t>地址：深圳市南山区南山街道月亮湾大道（东滨路口）前湾一路23号前海深港合作区综合办公楼</w:t>
      </w:r>
    </w:p>
    <w:p>
      <w:pPr>
        <w:tabs>
          <w:tab w:val="left" w:pos="426"/>
        </w:tabs>
        <w:spacing w:line="440" w:lineRule="exact"/>
        <w:ind w:left="-6" w:leftChars="-3" w:firstLine="499" w:firstLineChars="238"/>
        <w:rPr>
          <w:color w:val="auto"/>
          <w:szCs w:val="21"/>
          <w:highlight w:val="none"/>
        </w:rPr>
      </w:pPr>
      <w:r>
        <w:rPr>
          <w:rFonts w:hint="eastAsia"/>
          <w:color w:val="auto"/>
          <w:szCs w:val="21"/>
          <w:highlight w:val="none"/>
        </w:rPr>
        <w:t>开户银行：浦发银行深圳凤凰支行</w:t>
      </w:r>
    </w:p>
    <w:p>
      <w:pPr>
        <w:tabs>
          <w:tab w:val="left" w:pos="426"/>
        </w:tabs>
        <w:spacing w:line="440" w:lineRule="exact"/>
        <w:ind w:left="-6" w:leftChars="-3" w:firstLine="499" w:firstLineChars="238"/>
        <w:rPr>
          <w:color w:val="auto"/>
          <w:szCs w:val="21"/>
          <w:highlight w:val="none"/>
        </w:rPr>
      </w:pPr>
      <w:r>
        <w:rPr>
          <w:rFonts w:hint="eastAsia"/>
          <w:color w:val="auto"/>
          <w:szCs w:val="21"/>
          <w:highlight w:val="none"/>
        </w:rPr>
        <w:t>银行帐号：79030154900000052</w:t>
      </w:r>
    </w:p>
    <w:p>
      <w:pPr>
        <w:tabs>
          <w:tab w:val="left" w:pos="426"/>
        </w:tabs>
        <w:spacing w:line="440" w:lineRule="exact"/>
        <w:ind w:left="-6" w:leftChars="-3" w:firstLine="502" w:firstLineChars="238"/>
        <w:rPr>
          <w:b/>
          <w:color w:val="auto"/>
          <w:szCs w:val="21"/>
          <w:highlight w:val="none"/>
        </w:rPr>
      </w:pPr>
      <w:r>
        <w:rPr>
          <w:rFonts w:hint="eastAsia"/>
          <w:b/>
          <w:color w:val="auto"/>
          <w:szCs w:val="21"/>
          <w:highlight w:val="none"/>
        </w:rPr>
        <w:t>乙方银行信息：</w:t>
      </w:r>
    </w:p>
    <w:p>
      <w:pPr>
        <w:tabs>
          <w:tab w:val="left" w:pos="426"/>
        </w:tabs>
        <w:spacing w:line="440" w:lineRule="exact"/>
        <w:ind w:left="-6" w:leftChars="-3" w:firstLine="499" w:firstLineChars="238"/>
        <w:rPr>
          <w:color w:val="auto"/>
          <w:szCs w:val="21"/>
          <w:highlight w:val="none"/>
        </w:rPr>
      </w:pPr>
      <w:r>
        <w:rPr>
          <w:rFonts w:hint="eastAsia"/>
          <w:color w:val="auto"/>
          <w:szCs w:val="21"/>
          <w:highlight w:val="none"/>
        </w:rPr>
        <w:t>开户名称：</w:t>
      </w:r>
      <w:r>
        <w:rPr>
          <w:color w:val="auto"/>
          <w:szCs w:val="21"/>
          <w:highlight w:val="none"/>
        </w:rPr>
        <w:t xml:space="preserve"> </w:t>
      </w:r>
      <w:r>
        <w:rPr>
          <w:color w:val="auto"/>
          <w:kern w:val="18"/>
          <w:sz w:val="22"/>
          <w:szCs w:val="22"/>
          <w:highlight w:val="none"/>
          <w:u w:val="single"/>
        </w:rPr>
        <w:t xml:space="preserve">          </w:t>
      </w:r>
    </w:p>
    <w:p>
      <w:pPr>
        <w:tabs>
          <w:tab w:val="left" w:pos="426"/>
        </w:tabs>
        <w:spacing w:line="440" w:lineRule="exact"/>
        <w:ind w:left="-6" w:leftChars="-3" w:firstLine="499" w:firstLineChars="238"/>
        <w:rPr>
          <w:color w:val="auto"/>
          <w:szCs w:val="21"/>
          <w:highlight w:val="none"/>
        </w:rPr>
      </w:pPr>
      <w:r>
        <w:rPr>
          <w:rFonts w:hint="eastAsia"/>
          <w:color w:val="auto"/>
          <w:szCs w:val="21"/>
          <w:highlight w:val="none"/>
        </w:rPr>
        <w:t>纳税人识别号：</w:t>
      </w:r>
      <w:r>
        <w:rPr>
          <w:color w:val="auto"/>
          <w:kern w:val="18"/>
          <w:sz w:val="22"/>
          <w:szCs w:val="22"/>
          <w:highlight w:val="none"/>
          <w:u w:val="single"/>
        </w:rPr>
        <w:t xml:space="preserve">          </w:t>
      </w:r>
    </w:p>
    <w:p>
      <w:pPr>
        <w:tabs>
          <w:tab w:val="left" w:pos="426"/>
        </w:tabs>
        <w:spacing w:line="440" w:lineRule="exact"/>
        <w:ind w:left="-6" w:leftChars="-3" w:firstLine="499" w:firstLineChars="238"/>
        <w:rPr>
          <w:color w:val="auto"/>
          <w:szCs w:val="21"/>
          <w:highlight w:val="none"/>
        </w:rPr>
      </w:pPr>
      <w:r>
        <w:rPr>
          <w:rFonts w:hint="eastAsia"/>
          <w:color w:val="auto"/>
          <w:szCs w:val="21"/>
          <w:highlight w:val="none"/>
        </w:rPr>
        <w:t>地址：</w:t>
      </w:r>
      <w:r>
        <w:rPr>
          <w:color w:val="auto"/>
          <w:szCs w:val="21"/>
          <w:highlight w:val="none"/>
        </w:rPr>
        <w:t xml:space="preserve"> </w:t>
      </w:r>
      <w:r>
        <w:rPr>
          <w:color w:val="auto"/>
          <w:kern w:val="18"/>
          <w:sz w:val="22"/>
          <w:szCs w:val="22"/>
          <w:highlight w:val="none"/>
          <w:u w:val="single"/>
        </w:rPr>
        <w:t xml:space="preserve">          </w:t>
      </w:r>
    </w:p>
    <w:p>
      <w:pPr>
        <w:tabs>
          <w:tab w:val="left" w:pos="426"/>
        </w:tabs>
        <w:spacing w:line="440" w:lineRule="exact"/>
        <w:ind w:left="-6" w:leftChars="-3" w:firstLine="499" w:firstLineChars="238"/>
        <w:rPr>
          <w:color w:val="auto"/>
          <w:szCs w:val="21"/>
          <w:highlight w:val="none"/>
        </w:rPr>
      </w:pPr>
      <w:r>
        <w:rPr>
          <w:rFonts w:hint="eastAsia"/>
          <w:color w:val="auto"/>
          <w:szCs w:val="21"/>
          <w:highlight w:val="none"/>
        </w:rPr>
        <w:t>开户银行：</w:t>
      </w:r>
      <w:r>
        <w:rPr>
          <w:color w:val="auto"/>
          <w:szCs w:val="21"/>
          <w:highlight w:val="none"/>
        </w:rPr>
        <w:t xml:space="preserve"> </w:t>
      </w:r>
      <w:r>
        <w:rPr>
          <w:color w:val="auto"/>
          <w:kern w:val="18"/>
          <w:sz w:val="22"/>
          <w:szCs w:val="22"/>
          <w:highlight w:val="none"/>
          <w:u w:val="single"/>
        </w:rPr>
        <w:t xml:space="preserve">          </w:t>
      </w:r>
    </w:p>
    <w:p>
      <w:pPr>
        <w:tabs>
          <w:tab w:val="left" w:pos="426"/>
        </w:tabs>
        <w:spacing w:line="440" w:lineRule="exact"/>
        <w:ind w:left="-6" w:leftChars="-3" w:firstLine="499" w:firstLineChars="238"/>
        <w:rPr>
          <w:color w:val="auto"/>
          <w:kern w:val="18"/>
          <w:sz w:val="22"/>
          <w:szCs w:val="22"/>
          <w:highlight w:val="none"/>
          <w:u w:val="single"/>
        </w:rPr>
      </w:pPr>
      <w:r>
        <w:rPr>
          <w:rFonts w:hint="eastAsia"/>
          <w:color w:val="auto"/>
          <w:szCs w:val="21"/>
          <w:highlight w:val="none"/>
        </w:rPr>
        <w:t>银行账号：</w:t>
      </w:r>
      <w:r>
        <w:rPr>
          <w:color w:val="auto"/>
          <w:kern w:val="18"/>
          <w:sz w:val="22"/>
          <w:szCs w:val="22"/>
          <w:highlight w:val="none"/>
          <w:u w:val="single"/>
        </w:rPr>
        <w:t xml:space="preserve">          </w:t>
      </w:r>
    </w:p>
    <w:p>
      <w:pPr>
        <w:tabs>
          <w:tab w:val="left" w:pos="426"/>
        </w:tabs>
        <w:spacing w:line="390" w:lineRule="exact"/>
        <w:ind w:firstLine="440" w:firstLineChars="200"/>
        <w:rPr>
          <w:rFonts w:hint="eastAsia"/>
          <w:color w:val="auto"/>
          <w:sz w:val="22"/>
          <w:szCs w:val="22"/>
          <w:highlight w:val="none"/>
        </w:rPr>
      </w:pPr>
      <w:r>
        <w:rPr>
          <w:rFonts w:hint="eastAsia"/>
          <w:color w:val="auto"/>
          <w:sz w:val="22"/>
          <w:szCs w:val="22"/>
          <w:highlight w:val="none"/>
        </w:rPr>
        <w:t>若上述账户信息有任何变动，乙方应当提前10个工作日书面通知甲方；若乙方未按本条约定将账户信息变动情况书面通知甲方，由此导致甲方付款时间延迟或出现其他无法付款的情形，甲方不承担逾期付款的违约责任。</w:t>
      </w:r>
    </w:p>
    <w:p>
      <w:pPr>
        <w:pStyle w:val="4"/>
        <w:keepNext w:val="0"/>
        <w:tabs>
          <w:tab w:val="left" w:pos="426"/>
        </w:tabs>
        <w:spacing w:before="0" w:after="0" w:line="390" w:lineRule="exact"/>
        <w:ind w:firstLine="440" w:firstLineChars="200"/>
        <w:rPr>
          <w:rFonts w:ascii="黑体" w:eastAsia="黑体"/>
          <w:b w:val="0"/>
          <w:color w:val="auto"/>
          <w:sz w:val="22"/>
          <w:szCs w:val="22"/>
          <w:highlight w:val="none"/>
        </w:rPr>
      </w:pPr>
      <w:bookmarkStart w:id="95" w:name="_Toc313"/>
      <w:bookmarkStart w:id="96" w:name="_Toc14655"/>
      <w:bookmarkStart w:id="97" w:name="_Toc326"/>
      <w:bookmarkStart w:id="98" w:name="_Toc7818"/>
      <w:bookmarkStart w:id="99" w:name="_Toc391916899"/>
      <w:bookmarkStart w:id="100" w:name="_Toc13350"/>
      <w:bookmarkStart w:id="101" w:name="_Toc397084572"/>
      <w:bookmarkStart w:id="102" w:name="_Toc16933"/>
      <w:r>
        <w:rPr>
          <w:rFonts w:hint="eastAsia" w:ascii="黑体" w:eastAsia="黑体"/>
          <w:b w:val="0"/>
          <w:color w:val="auto"/>
          <w:sz w:val="22"/>
          <w:szCs w:val="22"/>
          <w:highlight w:val="none"/>
        </w:rPr>
        <w:t>八、总监理工程师</w:t>
      </w:r>
      <w:bookmarkEnd w:id="95"/>
      <w:bookmarkEnd w:id="96"/>
      <w:bookmarkEnd w:id="97"/>
      <w:bookmarkEnd w:id="98"/>
      <w:bookmarkEnd w:id="99"/>
      <w:bookmarkEnd w:id="100"/>
      <w:bookmarkEnd w:id="101"/>
      <w:bookmarkEnd w:id="102"/>
    </w:p>
    <w:p>
      <w:pPr>
        <w:tabs>
          <w:tab w:val="left" w:pos="426"/>
        </w:tabs>
        <w:spacing w:line="390" w:lineRule="exact"/>
        <w:ind w:firstLine="440" w:firstLineChars="200"/>
        <w:rPr>
          <w:color w:val="auto"/>
          <w:kern w:val="18"/>
          <w:sz w:val="22"/>
          <w:szCs w:val="22"/>
          <w:highlight w:val="none"/>
        </w:rPr>
      </w:pPr>
      <w:r>
        <w:rPr>
          <w:rFonts w:hint="eastAsia"/>
          <w:color w:val="auto"/>
          <w:kern w:val="18"/>
          <w:sz w:val="22"/>
          <w:szCs w:val="22"/>
          <w:highlight w:val="none"/>
        </w:rPr>
        <w:t>总监理工程师姓名：</w:t>
      </w:r>
      <w:r>
        <w:rPr>
          <w:color w:val="auto"/>
          <w:kern w:val="18"/>
          <w:sz w:val="22"/>
          <w:szCs w:val="22"/>
          <w:highlight w:val="none"/>
          <w:u w:val="single"/>
        </w:rPr>
        <w:t xml:space="preserve">          </w:t>
      </w:r>
      <w:r>
        <w:rPr>
          <w:rFonts w:hint="eastAsia"/>
          <w:color w:val="auto"/>
          <w:kern w:val="18"/>
          <w:sz w:val="22"/>
          <w:szCs w:val="22"/>
          <w:highlight w:val="none"/>
        </w:rPr>
        <w:t>，身份证号码：</w:t>
      </w:r>
      <w:r>
        <w:rPr>
          <w:color w:val="auto"/>
          <w:kern w:val="18"/>
          <w:sz w:val="22"/>
          <w:szCs w:val="22"/>
          <w:highlight w:val="none"/>
          <w:u w:val="single"/>
        </w:rPr>
        <w:t xml:space="preserve">              </w:t>
      </w:r>
      <w:r>
        <w:rPr>
          <w:rFonts w:hint="eastAsia"/>
          <w:color w:val="auto"/>
          <w:kern w:val="18"/>
          <w:sz w:val="22"/>
          <w:szCs w:val="22"/>
          <w:highlight w:val="none"/>
        </w:rPr>
        <w:t>，</w:t>
      </w:r>
      <w:r>
        <w:rPr>
          <w:color w:val="auto"/>
          <w:kern w:val="18"/>
          <w:sz w:val="22"/>
          <w:szCs w:val="22"/>
          <w:highlight w:val="none"/>
        </w:rPr>
        <w:t xml:space="preserve"> </w:t>
      </w:r>
      <w:r>
        <w:rPr>
          <w:rFonts w:hint="eastAsia"/>
          <w:color w:val="auto"/>
          <w:kern w:val="18"/>
          <w:sz w:val="22"/>
          <w:szCs w:val="22"/>
          <w:highlight w:val="none"/>
        </w:rPr>
        <w:t>注册号：</w:t>
      </w:r>
      <w:r>
        <w:rPr>
          <w:color w:val="auto"/>
          <w:kern w:val="18"/>
          <w:sz w:val="22"/>
          <w:szCs w:val="22"/>
          <w:highlight w:val="none"/>
          <w:u w:val="single"/>
        </w:rPr>
        <w:t xml:space="preserve"> </w:t>
      </w:r>
      <w:r>
        <w:rPr>
          <w:rFonts w:hint="eastAsia"/>
          <w:color w:val="auto"/>
          <w:kern w:val="18"/>
          <w:sz w:val="22"/>
          <w:szCs w:val="22"/>
          <w:highlight w:val="none"/>
          <w:u w:val="single"/>
        </w:rPr>
        <w:t xml:space="preserve">    </w:t>
      </w:r>
    </w:p>
    <w:p>
      <w:pPr>
        <w:pStyle w:val="4"/>
        <w:keepNext w:val="0"/>
        <w:tabs>
          <w:tab w:val="left" w:pos="426"/>
        </w:tabs>
        <w:spacing w:before="0" w:after="0" w:line="390" w:lineRule="exact"/>
        <w:ind w:firstLine="440" w:firstLineChars="200"/>
        <w:rPr>
          <w:rFonts w:ascii="黑体" w:eastAsia="黑体"/>
          <w:b w:val="0"/>
          <w:color w:val="auto"/>
          <w:sz w:val="22"/>
          <w:szCs w:val="22"/>
          <w:highlight w:val="none"/>
        </w:rPr>
      </w:pPr>
      <w:bookmarkStart w:id="103" w:name="_Toc13792"/>
      <w:bookmarkStart w:id="104" w:name="_Toc31104"/>
      <w:bookmarkStart w:id="105" w:name="_Toc10569"/>
      <w:bookmarkStart w:id="106" w:name="_Toc1676"/>
      <w:bookmarkStart w:id="107" w:name="_Toc3911"/>
      <w:bookmarkStart w:id="108" w:name="_Toc15009"/>
      <w:bookmarkStart w:id="109" w:name="_Toc397084574"/>
      <w:bookmarkStart w:id="110" w:name="_Toc391916901"/>
      <w:r>
        <w:rPr>
          <w:rFonts w:hint="eastAsia" w:ascii="黑体" w:eastAsia="黑体"/>
          <w:b w:val="0"/>
          <w:color w:val="auto"/>
          <w:sz w:val="22"/>
          <w:szCs w:val="22"/>
          <w:highlight w:val="none"/>
        </w:rPr>
        <w:t>九、双方承诺</w:t>
      </w:r>
      <w:bookmarkEnd w:id="103"/>
      <w:bookmarkEnd w:id="104"/>
      <w:bookmarkEnd w:id="105"/>
      <w:bookmarkEnd w:id="106"/>
    </w:p>
    <w:p>
      <w:pPr>
        <w:tabs>
          <w:tab w:val="left" w:pos="426"/>
        </w:tabs>
        <w:spacing w:line="390" w:lineRule="exact"/>
        <w:ind w:firstLine="440" w:firstLineChars="200"/>
        <w:rPr>
          <w:color w:val="auto"/>
          <w:sz w:val="22"/>
          <w:szCs w:val="22"/>
          <w:highlight w:val="none"/>
        </w:rPr>
      </w:pPr>
      <w:r>
        <w:rPr>
          <w:color w:val="auto"/>
          <w:sz w:val="22"/>
          <w:szCs w:val="22"/>
          <w:highlight w:val="none"/>
        </w:rPr>
        <w:t>1.</w:t>
      </w:r>
      <w:r>
        <w:rPr>
          <w:rFonts w:hint="eastAsia"/>
          <w:color w:val="auto"/>
          <w:sz w:val="22"/>
          <w:szCs w:val="22"/>
          <w:highlight w:val="none"/>
        </w:rPr>
        <w:t>监理人向委托人承诺，按照本合同约定提供监理与相关服务。</w:t>
      </w:r>
    </w:p>
    <w:p>
      <w:pPr>
        <w:tabs>
          <w:tab w:val="left" w:pos="426"/>
        </w:tabs>
        <w:spacing w:line="390" w:lineRule="exact"/>
        <w:ind w:firstLine="440" w:firstLineChars="200"/>
        <w:rPr>
          <w:color w:val="auto"/>
          <w:sz w:val="22"/>
          <w:szCs w:val="22"/>
          <w:highlight w:val="none"/>
        </w:rPr>
      </w:pPr>
      <w:r>
        <w:rPr>
          <w:color w:val="auto"/>
          <w:sz w:val="22"/>
          <w:szCs w:val="22"/>
          <w:highlight w:val="none"/>
        </w:rPr>
        <w:t>2.</w:t>
      </w:r>
      <w:r>
        <w:rPr>
          <w:rFonts w:hint="eastAsia"/>
          <w:color w:val="auto"/>
          <w:sz w:val="22"/>
          <w:szCs w:val="22"/>
          <w:highlight w:val="none"/>
        </w:rPr>
        <w:t>委托人向监理人承诺，按照本合同约定提供相应的人员、房屋、资料、设备、设施，并按本合同约定支付工程监理与相关服务酬金。</w:t>
      </w:r>
    </w:p>
    <w:p>
      <w:pPr>
        <w:pStyle w:val="4"/>
        <w:keepNext w:val="0"/>
        <w:tabs>
          <w:tab w:val="left" w:pos="426"/>
        </w:tabs>
        <w:spacing w:before="0" w:after="0" w:line="390" w:lineRule="exact"/>
        <w:ind w:firstLine="440" w:firstLineChars="200"/>
        <w:rPr>
          <w:rFonts w:ascii="黑体" w:eastAsia="黑体"/>
          <w:b w:val="0"/>
          <w:color w:val="auto"/>
          <w:sz w:val="22"/>
          <w:szCs w:val="22"/>
          <w:highlight w:val="none"/>
        </w:rPr>
      </w:pPr>
      <w:bookmarkStart w:id="111" w:name="_Toc27388"/>
      <w:bookmarkStart w:id="112" w:name="_Toc2449"/>
      <w:bookmarkStart w:id="113" w:name="_Toc31035"/>
      <w:bookmarkStart w:id="114" w:name="_Toc29632"/>
      <w:r>
        <w:rPr>
          <w:rFonts w:hint="eastAsia" w:ascii="黑体" w:eastAsia="黑体"/>
          <w:b w:val="0"/>
          <w:color w:val="auto"/>
          <w:sz w:val="22"/>
          <w:szCs w:val="22"/>
          <w:highlight w:val="none"/>
        </w:rPr>
        <w:t>十、其他</w:t>
      </w:r>
      <w:bookmarkEnd w:id="107"/>
      <w:bookmarkEnd w:id="108"/>
      <w:bookmarkEnd w:id="109"/>
      <w:bookmarkEnd w:id="110"/>
      <w:bookmarkEnd w:id="111"/>
      <w:bookmarkEnd w:id="112"/>
      <w:bookmarkEnd w:id="113"/>
      <w:bookmarkEnd w:id="114"/>
    </w:p>
    <w:p>
      <w:pPr>
        <w:tabs>
          <w:tab w:val="left" w:pos="426"/>
        </w:tabs>
        <w:spacing w:line="390" w:lineRule="exact"/>
        <w:ind w:firstLine="440" w:firstLineChars="200"/>
        <w:rPr>
          <w:color w:val="auto"/>
          <w:sz w:val="22"/>
          <w:szCs w:val="22"/>
          <w:highlight w:val="none"/>
        </w:rPr>
      </w:pPr>
      <w:r>
        <w:rPr>
          <w:rFonts w:hint="eastAsia"/>
          <w:color w:val="auto"/>
          <w:sz w:val="22"/>
          <w:szCs w:val="22"/>
          <w:highlight w:val="none"/>
        </w:rPr>
        <w:t>1．本合同一式六份，双方各执叁份，均具有同等法律效力。</w:t>
      </w:r>
    </w:p>
    <w:p>
      <w:pPr>
        <w:tabs>
          <w:tab w:val="left" w:pos="426"/>
        </w:tabs>
        <w:spacing w:line="390" w:lineRule="exact"/>
        <w:ind w:firstLine="440" w:firstLineChars="200"/>
        <w:rPr>
          <w:color w:val="auto"/>
          <w:sz w:val="22"/>
          <w:szCs w:val="22"/>
          <w:highlight w:val="none"/>
        </w:rPr>
      </w:pPr>
      <w:r>
        <w:rPr>
          <w:rFonts w:hint="eastAsia"/>
          <w:color w:val="auto"/>
          <w:sz w:val="22"/>
          <w:szCs w:val="22"/>
          <w:highlight w:val="none"/>
        </w:rPr>
        <w:t>2．本合同经双方</w:t>
      </w:r>
      <w:r>
        <w:rPr>
          <w:rFonts w:hint="eastAsia"/>
          <w:color w:val="auto"/>
          <w:sz w:val="22"/>
          <w:szCs w:val="22"/>
          <w:highlight w:val="none"/>
          <w:lang w:eastAsia="zh-CN"/>
        </w:rPr>
        <w:t>法定代表人或其</w:t>
      </w:r>
      <w:r>
        <w:rPr>
          <w:rFonts w:hint="eastAsia"/>
          <w:color w:val="auto"/>
          <w:sz w:val="22"/>
          <w:szCs w:val="22"/>
          <w:highlight w:val="none"/>
        </w:rPr>
        <w:t>授权代表签字、盖章</w:t>
      </w:r>
      <w:r>
        <w:rPr>
          <w:rFonts w:hint="eastAsia"/>
          <w:color w:val="auto"/>
          <w:sz w:val="22"/>
          <w:szCs w:val="22"/>
          <w:highlight w:val="none"/>
          <w:lang w:eastAsia="zh-CN"/>
        </w:rPr>
        <w:t>之日起</w:t>
      </w:r>
      <w:r>
        <w:rPr>
          <w:rFonts w:hint="eastAsia"/>
          <w:color w:val="auto"/>
          <w:sz w:val="22"/>
          <w:szCs w:val="22"/>
          <w:highlight w:val="none"/>
        </w:rPr>
        <w:t>生效，至双方全部合同义务履行完毕后终止。本合同未尽事宜双方由双方协商签署补充协议，补充协议与本合同具同等法律效力。</w:t>
      </w:r>
    </w:p>
    <w:p>
      <w:pPr>
        <w:tabs>
          <w:tab w:val="left" w:pos="426"/>
        </w:tabs>
        <w:spacing w:line="390" w:lineRule="exact"/>
        <w:ind w:firstLine="440" w:firstLineChars="200"/>
        <w:rPr>
          <w:color w:val="auto"/>
          <w:sz w:val="22"/>
          <w:szCs w:val="22"/>
          <w:highlight w:val="none"/>
        </w:rPr>
      </w:pPr>
      <w:r>
        <w:rPr>
          <w:rFonts w:hint="eastAsia"/>
          <w:color w:val="auto"/>
          <w:sz w:val="22"/>
          <w:szCs w:val="22"/>
          <w:highlight w:val="none"/>
        </w:rPr>
        <w:t>3.</w:t>
      </w:r>
      <w:r>
        <w:rPr>
          <w:rFonts w:hint="eastAsia"/>
          <w:color w:val="auto"/>
          <w:highlight w:val="none"/>
        </w:rPr>
        <w:t xml:space="preserve"> </w:t>
      </w:r>
      <w:r>
        <w:rPr>
          <w:rFonts w:hint="eastAsia"/>
          <w:color w:val="auto"/>
          <w:sz w:val="22"/>
          <w:szCs w:val="22"/>
          <w:highlight w:val="none"/>
        </w:rPr>
        <w:t>合同附件为本合同不可分割的组成部分，具有同等法律效力。</w:t>
      </w:r>
    </w:p>
    <w:p>
      <w:pPr>
        <w:tabs>
          <w:tab w:val="left" w:pos="426"/>
        </w:tabs>
        <w:spacing w:line="200" w:lineRule="exact"/>
        <w:ind w:firstLine="440" w:firstLineChars="200"/>
        <w:rPr>
          <w:color w:val="auto"/>
          <w:sz w:val="22"/>
          <w:szCs w:val="22"/>
          <w:highlight w:val="none"/>
        </w:rPr>
      </w:pPr>
    </w:p>
    <w:p>
      <w:pPr>
        <w:tabs>
          <w:tab w:val="left" w:pos="426"/>
        </w:tabs>
        <w:spacing w:line="200" w:lineRule="exact"/>
        <w:ind w:firstLine="440" w:firstLineChars="200"/>
        <w:rPr>
          <w:color w:val="auto"/>
          <w:sz w:val="22"/>
          <w:szCs w:val="22"/>
          <w:highlight w:val="none"/>
        </w:rPr>
      </w:pPr>
    </w:p>
    <w:p>
      <w:pPr>
        <w:tabs>
          <w:tab w:val="left" w:pos="426"/>
        </w:tabs>
        <w:spacing w:line="200" w:lineRule="exact"/>
        <w:rPr>
          <w:color w:val="auto"/>
          <w:sz w:val="22"/>
          <w:szCs w:val="22"/>
          <w:highlight w:val="none"/>
        </w:rPr>
      </w:pPr>
      <w:r>
        <w:rPr>
          <w:rFonts w:hint="eastAsia"/>
          <w:color w:val="auto"/>
          <w:szCs w:val="21"/>
          <w:highlight w:val="none"/>
        </w:rPr>
        <w:t>（本页以下无正文）</w:t>
      </w:r>
    </w:p>
    <w:p>
      <w:pPr>
        <w:tabs>
          <w:tab w:val="left" w:pos="426"/>
        </w:tabs>
        <w:spacing w:line="200" w:lineRule="exact"/>
        <w:ind w:firstLine="440" w:firstLineChars="200"/>
        <w:rPr>
          <w:color w:val="auto"/>
          <w:sz w:val="22"/>
          <w:szCs w:val="22"/>
          <w:highlight w:val="none"/>
        </w:rPr>
      </w:pPr>
    </w:p>
    <w:p>
      <w:pPr>
        <w:tabs>
          <w:tab w:val="left" w:pos="426"/>
        </w:tabs>
        <w:spacing w:line="200" w:lineRule="exact"/>
        <w:ind w:firstLine="440" w:firstLineChars="200"/>
        <w:rPr>
          <w:color w:val="auto"/>
          <w:sz w:val="22"/>
          <w:szCs w:val="22"/>
          <w:highlight w:val="none"/>
        </w:rPr>
      </w:pPr>
    </w:p>
    <w:p>
      <w:pPr>
        <w:tabs>
          <w:tab w:val="left" w:pos="426"/>
        </w:tabs>
        <w:spacing w:line="200" w:lineRule="exact"/>
        <w:ind w:firstLine="440" w:firstLineChars="200"/>
        <w:rPr>
          <w:color w:val="auto"/>
          <w:sz w:val="22"/>
          <w:szCs w:val="22"/>
          <w:highlight w:val="none"/>
        </w:rPr>
      </w:pPr>
    </w:p>
    <w:p>
      <w:pPr>
        <w:tabs>
          <w:tab w:val="left" w:pos="426"/>
        </w:tabs>
        <w:spacing w:line="200" w:lineRule="exact"/>
        <w:ind w:firstLine="440" w:firstLineChars="200"/>
        <w:rPr>
          <w:color w:val="auto"/>
          <w:sz w:val="22"/>
          <w:szCs w:val="22"/>
          <w:highlight w:val="none"/>
        </w:rPr>
      </w:pPr>
    </w:p>
    <w:p>
      <w:pPr>
        <w:tabs>
          <w:tab w:val="left" w:pos="426"/>
        </w:tabs>
        <w:spacing w:line="200" w:lineRule="exact"/>
        <w:ind w:firstLine="440" w:firstLineChars="200"/>
        <w:rPr>
          <w:color w:val="auto"/>
          <w:sz w:val="22"/>
          <w:szCs w:val="22"/>
          <w:highlight w:val="none"/>
        </w:rPr>
      </w:pPr>
    </w:p>
    <w:p>
      <w:pPr>
        <w:tabs>
          <w:tab w:val="left" w:pos="426"/>
        </w:tabs>
        <w:spacing w:line="200" w:lineRule="exact"/>
        <w:rPr>
          <w:color w:val="auto"/>
          <w:sz w:val="22"/>
          <w:szCs w:val="22"/>
          <w:highlight w:val="none"/>
        </w:rPr>
      </w:pPr>
      <w:r>
        <w:rPr>
          <w:rFonts w:hint="eastAsia"/>
          <w:color w:val="auto"/>
          <w:szCs w:val="21"/>
          <w:highlight w:val="none"/>
        </w:rPr>
        <w:t>（本页为签字页）</w:t>
      </w:r>
    </w:p>
    <w:p>
      <w:pPr>
        <w:tabs>
          <w:tab w:val="left" w:pos="426"/>
        </w:tabs>
        <w:spacing w:line="200" w:lineRule="exact"/>
        <w:ind w:firstLine="440" w:firstLineChars="200"/>
        <w:rPr>
          <w:color w:val="auto"/>
          <w:sz w:val="22"/>
          <w:szCs w:val="22"/>
          <w:highlight w:val="none"/>
        </w:rPr>
      </w:pPr>
    </w:p>
    <w:p>
      <w:pPr>
        <w:tabs>
          <w:tab w:val="left" w:pos="426"/>
        </w:tabs>
        <w:spacing w:line="200" w:lineRule="exact"/>
        <w:ind w:firstLine="440" w:firstLineChars="200"/>
        <w:rPr>
          <w:color w:val="auto"/>
          <w:sz w:val="22"/>
          <w:szCs w:val="22"/>
          <w:highlight w:val="none"/>
        </w:rPr>
      </w:pPr>
    </w:p>
    <w:tbl>
      <w:tblPr>
        <w:tblStyle w:val="19"/>
        <w:tblW w:w="9283" w:type="dxa"/>
        <w:jc w:val="center"/>
        <w:tblLayout w:type="fixed"/>
        <w:tblCellMar>
          <w:top w:w="0" w:type="dxa"/>
          <w:left w:w="108" w:type="dxa"/>
          <w:bottom w:w="0" w:type="dxa"/>
          <w:right w:w="108" w:type="dxa"/>
        </w:tblCellMar>
      </w:tblPr>
      <w:tblGrid>
        <w:gridCol w:w="694"/>
        <w:gridCol w:w="238"/>
        <w:gridCol w:w="180"/>
        <w:gridCol w:w="484"/>
        <w:gridCol w:w="1308"/>
        <w:gridCol w:w="1717"/>
        <w:gridCol w:w="236"/>
        <w:gridCol w:w="650"/>
        <w:gridCol w:w="371"/>
        <w:gridCol w:w="161"/>
        <w:gridCol w:w="1574"/>
        <w:gridCol w:w="1670"/>
      </w:tblGrid>
      <w:tr>
        <w:trPr>
          <w:trHeight w:val="567" w:hRule="atLeast"/>
          <w:jc w:val="center"/>
        </w:trPr>
        <w:tc>
          <w:tcPr>
            <w:tcW w:w="932" w:type="dxa"/>
            <w:gridSpan w:val="2"/>
            <w:vAlign w:val="center"/>
          </w:tcPr>
          <w:p>
            <w:pPr>
              <w:keepNext w:val="0"/>
              <w:keepLines w:val="0"/>
              <w:suppressLineNumbers w:val="0"/>
              <w:tabs>
                <w:tab w:val="left" w:pos="426"/>
              </w:tabs>
              <w:spacing w:before="0" w:beforeAutospacing="0" w:after="0" w:afterAutospacing="0" w:line="500" w:lineRule="exact"/>
              <w:ind w:left="-105" w:leftChars="-50" w:right="-105" w:rightChars="-50"/>
              <w:rPr>
                <w:rFonts w:hint="default"/>
                <w:color w:val="auto"/>
                <w:kern w:val="18"/>
                <w:sz w:val="22"/>
                <w:szCs w:val="22"/>
                <w:highlight w:val="none"/>
              </w:rPr>
            </w:pPr>
            <w:r>
              <w:rPr>
                <w:rFonts w:hint="eastAsia"/>
                <w:color w:val="auto"/>
                <w:sz w:val="22"/>
                <w:szCs w:val="22"/>
                <w:highlight w:val="none"/>
              </w:rPr>
              <w:t>委托人</w:t>
            </w:r>
            <w:r>
              <w:rPr>
                <w:rFonts w:hint="eastAsia"/>
                <w:color w:val="auto"/>
                <w:kern w:val="18"/>
                <w:sz w:val="22"/>
                <w:szCs w:val="22"/>
                <w:highlight w:val="none"/>
              </w:rPr>
              <w:t>：</w:t>
            </w:r>
          </w:p>
        </w:tc>
        <w:tc>
          <w:tcPr>
            <w:tcW w:w="3689" w:type="dxa"/>
            <w:gridSpan w:val="4"/>
            <w:tcBorders>
              <w:top w:val="nil"/>
              <w:left w:val="nil"/>
              <w:bottom w:val="single" w:color="auto" w:sz="2" w:space="0"/>
              <w:right w:val="nil"/>
            </w:tcBorders>
            <w:vAlign w:val="center"/>
          </w:tcPr>
          <w:p>
            <w:pPr>
              <w:keepNext w:val="0"/>
              <w:keepLines w:val="0"/>
              <w:suppressLineNumbers w:val="0"/>
              <w:tabs>
                <w:tab w:val="left" w:pos="426"/>
              </w:tabs>
              <w:spacing w:before="0" w:beforeAutospacing="0" w:after="0" w:afterAutospacing="0" w:line="500" w:lineRule="exact"/>
              <w:ind w:left="-105" w:leftChars="-50" w:right="-105" w:rightChars="-50"/>
              <w:jc w:val="right"/>
              <w:rPr>
                <w:rFonts w:hint="default"/>
                <w:color w:val="auto"/>
                <w:kern w:val="18"/>
                <w:sz w:val="22"/>
                <w:szCs w:val="22"/>
                <w:highlight w:val="none"/>
              </w:rPr>
            </w:pPr>
            <w:r>
              <w:rPr>
                <w:rFonts w:hint="eastAsia"/>
                <w:color w:val="auto"/>
                <w:sz w:val="22"/>
                <w:szCs w:val="22"/>
                <w:highlight w:val="none"/>
              </w:rPr>
              <w:t>（盖章）</w:t>
            </w:r>
          </w:p>
        </w:tc>
        <w:tc>
          <w:tcPr>
            <w:tcW w:w="236" w:type="dxa"/>
            <w:vAlign w:val="center"/>
          </w:tcPr>
          <w:p>
            <w:pPr>
              <w:keepNext w:val="0"/>
              <w:keepLines w:val="0"/>
              <w:suppressLineNumbers w:val="0"/>
              <w:tabs>
                <w:tab w:val="left" w:pos="426"/>
              </w:tabs>
              <w:spacing w:before="0" w:beforeAutospacing="0" w:after="0" w:afterAutospacing="0" w:line="240" w:lineRule="atLeast"/>
              <w:ind w:left="-105" w:leftChars="-50" w:right="-105" w:rightChars="-50"/>
              <w:jc w:val="center"/>
              <w:rPr>
                <w:rFonts w:hint="default"/>
                <w:color w:val="auto"/>
                <w:kern w:val="18"/>
                <w:sz w:val="22"/>
                <w:szCs w:val="22"/>
                <w:highlight w:val="none"/>
              </w:rPr>
            </w:pPr>
          </w:p>
        </w:tc>
        <w:tc>
          <w:tcPr>
            <w:tcW w:w="1021" w:type="dxa"/>
            <w:gridSpan w:val="2"/>
            <w:vAlign w:val="center"/>
          </w:tcPr>
          <w:p>
            <w:pPr>
              <w:keepNext w:val="0"/>
              <w:keepLines w:val="0"/>
              <w:suppressLineNumbers w:val="0"/>
              <w:tabs>
                <w:tab w:val="left" w:pos="426"/>
              </w:tabs>
              <w:spacing w:before="0" w:beforeAutospacing="0" w:after="0" w:afterAutospacing="0" w:line="500" w:lineRule="exact"/>
              <w:ind w:left="-105" w:leftChars="-50" w:right="-105" w:rightChars="-50"/>
              <w:rPr>
                <w:rFonts w:hint="default"/>
                <w:color w:val="auto"/>
                <w:kern w:val="18"/>
                <w:sz w:val="22"/>
                <w:szCs w:val="22"/>
                <w:highlight w:val="none"/>
              </w:rPr>
            </w:pPr>
            <w:r>
              <w:rPr>
                <w:rFonts w:hint="eastAsia"/>
                <w:color w:val="auto"/>
                <w:sz w:val="22"/>
                <w:szCs w:val="22"/>
                <w:highlight w:val="none"/>
              </w:rPr>
              <w:t>监理人</w:t>
            </w:r>
            <w:r>
              <w:rPr>
                <w:rFonts w:hint="eastAsia"/>
                <w:color w:val="auto"/>
                <w:kern w:val="18"/>
                <w:sz w:val="22"/>
                <w:szCs w:val="22"/>
                <w:highlight w:val="none"/>
              </w:rPr>
              <w:t>：</w:t>
            </w:r>
          </w:p>
        </w:tc>
        <w:tc>
          <w:tcPr>
            <w:tcW w:w="3405" w:type="dxa"/>
            <w:gridSpan w:val="3"/>
            <w:tcBorders>
              <w:top w:val="nil"/>
              <w:left w:val="nil"/>
              <w:bottom w:val="single" w:color="auto" w:sz="2" w:space="0"/>
              <w:right w:val="nil"/>
            </w:tcBorders>
            <w:vAlign w:val="center"/>
          </w:tcPr>
          <w:p>
            <w:pPr>
              <w:keepNext w:val="0"/>
              <w:keepLines w:val="0"/>
              <w:suppressLineNumbers w:val="0"/>
              <w:tabs>
                <w:tab w:val="left" w:pos="426"/>
              </w:tabs>
              <w:spacing w:before="0" w:beforeAutospacing="0" w:after="0" w:afterAutospacing="0" w:line="500" w:lineRule="exact"/>
              <w:ind w:left="-105" w:leftChars="-50" w:right="-105" w:rightChars="-50"/>
              <w:jc w:val="right"/>
              <w:rPr>
                <w:rFonts w:hint="default"/>
                <w:color w:val="auto"/>
                <w:kern w:val="18"/>
                <w:sz w:val="22"/>
                <w:szCs w:val="22"/>
                <w:highlight w:val="none"/>
              </w:rPr>
            </w:pPr>
            <w:r>
              <w:rPr>
                <w:rFonts w:hint="eastAsia"/>
                <w:color w:val="auto"/>
                <w:sz w:val="22"/>
                <w:szCs w:val="22"/>
                <w:highlight w:val="none"/>
              </w:rPr>
              <w:t>（</w:t>
            </w:r>
            <w:r>
              <w:rPr>
                <w:rFonts w:hint="eastAsia"/>
                <w:color w:val="auto"/>
                <w:kern w:val="18"/>
                <w:sz w:val="22"/>
                <w:szCs w:val="22"/>
                <w:highlight w:val="none"/>
              </w:rPr>
              <w:t>盖章</w:t>
            </w:r>
            <w:r>
              <w:rPr>
                <w:rFonts w:hint="eastAsia"/>
                <w:color w:val="auto"/>
                <w:sz w:val="22"/>
                <w:szCs w:val="22"/>
                <w:highlight w:val="none"/>
              </w:rPr>
              <w:t>）</w:t>
            </w:r>
          </w:p>
        </w:tc>
      </w:tr>
      <w:tr>
        <w:trPr>
          <w:trHeight w:val="567" w:hRule="atLeast"/>
          <w:jc w:val="center"/>
        </w:trPr>
        <w:tc>
          <w:tcPr>
            <w:tcW w:w="2904" w:type="dxa"/>
            <w:gridSpan w:val="5"/>
            <w:vAlign w:val="center"/>
          </w:tcPr>
          <w:p>
            <w:pPr>
              <w:keepNext w:val="0"/>
              <w:keepLines w:val="0"/>
              <w:suppressLineNumbers w:val="0"/>
              <w:tabs>
                <w:tab w:val="left" w:pos="426"/>
              </w:tabs>
              <w:spacing w:before="0" w:beforeAutospacing="0" w:after="0" w:afterAutospacing="0" w:line="500" w:lineRule="exact"/>
              <w:ind w:left="-105" w:leftChars="-50" w:right="-105" w:rightChars="-50"/>
              <w:rPr>
                <w:rFonts w:hint="default"/>
                <w:color w:val="auto"/>
                <w:kern w:val="18"/>
                <w:sz w:val="22"/>
                <w:szCs w:val="22"/>
                <w:highlight w:val="none"/>
              </w:rPr>
            </w:pPr>
            <w:r>
              <w:rPr>
                <w:rFonts w:hint="eastAsia"/>
                <w:color w:val="auto"/>
                <w:sz w:val="22"/>
                <w:szCs w:val="22"/>
                <w:highlight w:val="none"/>
              </w:rPr>
              <w:t>法定代表人或其</w:t>
            </w:r>
            <w:r>
              <w:rPr>
                <w:rFonts w:hint="eastAsia"/>
                <w:color w:val="auto"/>
                <w:sz w:val="22"/>
                <w:szCs w:val="22"/>
                <w:highlight w:val="none"/>
                <w:lang w:eastAsia="zh-CN"/>
              </w:rPr>
              <w:t>授权代表</w:t>
            </w:r>
            <w:r>
              <w:rPr>
                <w:rFonts w:hint="eastAsia"/>
                <w:color w:val="auto"/>
                <w:sz w:val="22"/>
                <w:szCs w:val="22"/>
                <w:highlight w:val="none"/>
              </w:rPr>
              <w:t>：</w:t>
            </w:r>
          </w:p>
        </w:tc>
        <w:tc>
          <w:tcPr>
            <w:tcW w:w="1717" w:type="dxa"/>
            <w:tcBorders>
              <w:top w:val="nil"/>
              <w:left w:val="nil"/>
              <w:bottom w:val="single" w:color="auto" w:sz="2" w:space="0"/>
              <w:right w:val="nil"/>
            </w:tcBorders>
            <w:vAlign w:val="center"/>
          </w:tcPr>
          <w:p>
            <w:pPr>
              <w:keepNext w:val="0"/>
              <w:keepLines w:val="0"/>
              <w:suppressLineNumbers w:val="0"/>
              <w:tabs>
                <w:tab w:val="left" w:pos="426"/>
              </w:tabs>
              <w:spacing w:before="0" w:beforeAutospacing="0" w:after="0" w:afterAutospacing="0" w:line="500" w:lineRule="exact"/>
              <w:ind w:left="-105" w:leftChars="-50" w:right="-105" w:rightChars="-50"/>
              <w:jc w:val="right"/>
              <w:rPr>
                <w:rFonts w:hint="default"/>
                <w:color w:val="auto"/>
                <w:kern w:val="18"/>
                <w:sz w:val="22"/>
                <w:szCs w:val="22"/>
                <w:highlight w:val="none"/>
              </w:rPr>
            </w:pPr>
            <w:r>
              <w:rPr>
                <w:rFonts w:hint="eastAsia"/>
                <w:color w:val="auto"/>
                <w:sz w:val="22"/>
                <w:szCs w:val="22"/>
                <w:highlight w:val="none"/>
              </w:rPr>
              <w:t>（签章）</w:t>
            </w:r>
          </w:p>
        </w:tc>
        <w:tc>
          <w:tcPr>
            <w:tcW w:w="236" w:type="dxa"/>
            <w:vAlign w:val="center"/>
          </w:tcPr>
          <w:p>
            <w:pPr>
              <w:keepNext w:val="0"/>
              <w:keepLines w:val="0"/>
              <w:suppressLineNumbers w:val="0"/>
              <w:tabs>
                <w:tab w:val="left" w:pos="426"/>
              </w:tabs>
              <w:spacing w:before="0" w:beforeAutospacing="0" w:after="0" w:afterAutospacing="0" w:line="240" w:lineRule="atLeast"/>
              <w:ind w:left="-105" w:leftChars="-50" w:right="-105" w:rightChars="-50"/>
              <w:jc w:val="center"/>
              <w:rPr>
                <w:rFonts w:hint="default"/>
                <w:color w:val="auto"/>
                <w:kern w:val="18"/>
                <w:sz w:val="22"/>
                <w:szCs w:val="22"/>
                <w:highlight w:val="none"/>
              </w:rPr>
            </w:pPr>
          </w:p>
        </w:tc>
        <w:tc>
          <w:tcPr>
            <w:tcW w:w="2756" w:type="dxa"/>
            <w:gridSpan w:val="4"/>
            <w:vAlign w:val="center"/>
          </w:tcPr>
          <w:p>
            <w:pPr>
              <w:keepNext w:val="0"/>
              <w:keepLines w:val="0"/>
              <w:suppressLineNumbers w:val="0"/>
              <w:tabs>
                <w:tab w:val="left" w:pos="426"/>
              </w:tabs>
              <w:spacing w:before="0" w:beforeAutospacing="0" w:after="0" w:afterAutospacing="0" w:line="500" w:lineRule="exact"/>
              <w:ind w:left="-105" w:leftChars="-50" w:right="-105" w:rightChars="-50"/>
              <w:rPr>
                <w:rFonts w:hint="default"/>
                <w:color w:val="auto"/>
                <w:kern w:val="18"/>
                <w:sz w:val="22"/>
                <w:szCs w:val="22"/>
                <w:highlight w:val="none"/>
              </w:rPr>
            </w:pPr>
            <w:r>
              <w:rPr>
                <w:rFonts w:hint="eastAsia"/>
                <w:color w:val="auto"/>
                <w:sz w:val="22"/>
                <w:szCs w:val="22"/>
                <w:highlight w:val="none"/>
              </w:rPr>
              <w:t>法定代表人或其</w:t>
            </w:r>
            <w:r>
              <w:rPr>
                <w:rFonts w:hint="eastAsia"/>
                <w:color w:val="auto"/>
                <w:sz w:val="22"/>
                <w:szCs w:val="22"/>
                <w:highlight w:val="none"/>
                <w:lang w:eastAsia="zh-CN"/>
              </w:rPr>
              <w:t>授权代表</w:t>
            </w:r>
            <w:r>
              <w:rPr>
                <w:rFonts w:hint="eastAsia"/>
                <w:color w:val="auto"/>
                <w:sz w:val="22"/>
                <w:szCs w:val="22"/>
                <w:highlight w:val="none"/>
              </w:rPr>
              <w:t>：</w:t>
            </w:r>
          </w:p>
        </w:tc>
        <w:tc>
          <w:tcPr>
            <w:tcW w:w="1670" w:type="dxa"/>
            <w:tcBorders>
              <w:top w:val="nil"/>
              <w:left w:val="nil"/>
              <w:bottom w:val="single" w:color="auto" w:sz="2" w:space="0"/>
              <w:right w:val="nil"/>
            </w:tcBorders>
            <w:vAlign w:val="center"/>
          </w:tcPr>
          <w:p>
            <w:pPr>
              <w:keepNext w:val="0"/>
              <w:keepLines w:val="0"/>
              <w:suppressLineNumbers w:val="0"/>
              <w:tabs>
                <w:tab w:val="left" w:pos="426"/>
              </w:tabs>
              <w:spacing w:before="0" w:beforeAutospacing="0" w:after="0" w:afterAutospacing="0" w:line="500" w:lineRule="exact"/>
              <w:ind w:left="-105" w:leftChars="-50" w:right="-105" w:rightChars="-50"/>
              <w:jc w:val="right"/>
              <w:rPr>
                <w:rFonts w:hint="default"/>
                <w:color w:val="auto"/>
                <w:kern w:val="18"/>
                <w:sz w:val="22"/>
                <w:szCs w:val="22"/>
                <w:highlight w:val="none"/>
              </w:rPr>
            </w:pPr>
            <w:r>
              <w:rPr>
                <w:rFonts w:hint="eastAsia"/>
                <w:color w:val="auto"/>
                <w:sz w:val="22"/>
                <w:szCs w:val="22"/>
                <w:highlight w:val="none"/>
              </w:rPr>
              <w:t>（签章）</w:t>
            </w:r>
          </w:p>
        </w:tc>
      </w:tr>
      <w:tr>
        <w:trPr>
          <w:trHeight w:val="567" w:hRule="atLeast"/>
          <w:jc w:val="center"/>
        </w:trPr>
        <w:tc>
          <w:tcPr>
            <w:tcW w:w="1112" w:type="dxa"/>
            <w:gridSpan w:val="3"/>
            <w:vAlign w:val="center"/>
          </w:tcPr>
          <w:p>
            <w:pPr>
              <w:keepNext w:val="0"/>
              <w:keepLines w:val="0"/>
              <w:suppressLineNumbers w:val="0"/>
              <w:tabs>
                <w:tab w:val="left" w:pos="426"/>
              </w:tabs>
              <w:spacing w:before="0" w:beforeAutospacing="0" w:after="0" w:afterAutospacing="0" w:line="500" w:lineRule="exact"/>
              <w:ind w:left="-105" w:leftChars="-50" w:right="-105" w:rightChars="-50"/>
              <w:rPr>
                <w:rFonts w:hint="default"/>
                <w:color w:val="auto"/>
                <w:kern w:val="18"/>
                <w:sz w:val="22"/>
                <w:szCs w:val="22"/>
                <w:highlight w:val="none"/>
              </w:rPr>
            </w:pPr>
            <w:r>
              <w:rPr>
                <w:rFonts w:hint="eastAsia"/>
                <w:color w:val="auto"/>
                <w:sz w:val="22"/>
                <w:szCs w:val="22"/>
                <w:highlight w:val="none"/>
              </w:rPr>
              <w:t>开户银行：</w:t>
            </w:r>
          </w:p>
        </w:tc>
        <w:tc>
          <w:tcPr>
            <w:tcW w:w="3509" w:type="dxa"/>
            <w:gridSpan w:val="3"/>
            <w:tcBorders>
              <w:top w:val="nil"/>
              <w:left w:val="nil"/>
              <w:bottom w:val="single" w:color="auto" w:sz="2" w:space="0"/>
              <w:right w:val="nil"/>
            </w:tcBorders>
            <w:vAlign w:val="center"/>
          </w:tcPr>
          <w:p>
            <w:pPr>
              <w:keepNext w:val="0"/>
              <w:keepLines w:val="0"/>
              <w:suppressLineNumbers w:val="0"/>
              <w:tabs>
                <w:tab w:val="left" w:pos="426"/>
              </w:tabs>
              <w:spacing w:before="0" w:beforeAutospacing="0" w:after="0" w:afterAutospacing="0" w:line="240" w:lineRule="atLeast"/>
              <w:ind w:left="-105" w:leftChars="-50" w:right="-105" w:rightChars="-50"/>
              <w:rPr>
                <w:rFonts w:hint="default"/>
                <w:color w:val="auto"/>
                <w:kern w:val="18"/>
                <w:sz w:val="22"/>
                <w:szCs w:val="22"/>
                <w:highlight w:val="none"/>
              </w:rPr>
            </w:pPr>
          </w:p>
        </w:tc>
        <w:tc>
          <w:tcPr>
            <w:tcW w:w="236" w:type="dxa"/>
            <w:vAlign w:val="center"/>
          </w:tcPr>
          <w:p>
            <w:pPr>
              <w:keepNext w:val="0"/>
              <w:keepLines w:val="0"/>
              <w:suppressLineNumbers w:val="0"/>
              <w:tabs>
                <w:tab w:val="left" w:pos="426"/>
              </w:tabs>
              <w:spacing w:before="0" w:beforeAutospacing="0" w:after="0" w:afterAutospacing="0" w:line="240" w:lineRule="atLeast"/>
              <w:ind w:left="-105" w:leftChars="-50" w:right="-105" w:rightChars="-50"/>
              <w:jc w:val="center"/>
              <w:rPr>
                <w:rFonts w:hint="default"/>
                <w:color w:val="auto"/>
                <w:kern w:val="18"/>
                <w:sz w:val="22"/>
                <w:szCs w:val="22"/>
                <w:highlight w:val="none"/>
              </w:rPr>
            </w:pPr>
          </w:p>
        </w:tc>
        <w:tc>
          <w:tcPr>
            <w:tcW w:w="1182" w:type="dxa"/>
            <w:gridSpan w:val="3"/>
            <w:vAlign w:val="center"/>
          </w:tcPr>
          <w:p>
            <w:pPr>
              <w:keepNext w:val="0"/>
              <w:keepLines w:val="0"/>
              <w:suppressLineNumbers w:val="0"/>
              <w:tabs>
                <w:tab w:val="left" w:pos="426"/>
              </w:tabs>
              <w:spacing w:before="0" w:beforeAutospacing="0" w:after="0" w:afterAutospacing="0" w:line="500" w:lineRule="exact"/>
              <w:ind w:left="-105" w:leftChars="-50" w:right="-105" w:rightChars="-50"/>
              <w:rPr>
                <w:rFonts w:hint="default"/>
                <w:color w:val="auto"/>
                <w:kern w:val="18"/>
                <w:sz w:val="22"/>
                <w:szCs w:val="22"/>
                <w:highlight w:val="none"/>
              </w:rPr>
            </w:pPr>
            <w:r>
              <w:rPr>
                <w:rFonts w:hint="eastAsia"/>
                <w:color w:val="auto"/>
                <w:sz w:val="22"/>
                <w:szCs w:val="22"/>
                <w:highlight w:val="none"/>
              </w:rPr>
              <w:t>开户银行：</w:t>
            </w:r>
          </w:p>
        </w:tc>
        <w:tc>
          <w:tcPr>
            <w:tcW w:w="3244" w:type="dxa"/>
            <w:gridSpan w:val="2"/>
            <w:tcBorders>
              <w:top w:val="nil"/>
              <w:left w:val="nil"/>
              <w:bottom w:val="single" w:color="auto" w:sz="2" w:space="0"/>
              <w:right w:val="nil"/>
            </w:tcBorders>
            <w:vAlign w:val="center"/>
          </w:tcPr>
          <w:p>
            <w:pPr>
              <w:keepNext w:val="0"/>
              <w:keepLines w:val="0"/>
              <w:suppressLineNumbers w:val="0"/>
              <w:tabs>
                <w:tab w:val="left" w:pos="426"/>
              </w:tabs>
              <w:spacing w:before="0" w:beforeAutospacing="0" w:after="0" w:afterAutospacing="0" w:line="240" w:lineRule="atLeast"/>
              <w:ind w:left="-105" w:leftChars="-50" w:right="-105" w:rightChars="-50"/>
              <w:rPr>
                <w:rFonts w:hint="default"/>
                <w:color w:val="auto"/>
                <w:kern w:val="18"/>
                <w:sz w:val="22"/>
                <w:szCs w:val="22"/>
                <w:highlight w:val="none"/>
              </w:rPr>
            </w:pPr>
          </w:p>
        </w:tc>
      </w:tr>
      <w:tr>
        <w:trPr>
          <w:trHeight w:val="567" w:hRule="atLeast"/>
          <w:jc w:val="center"/>
        </w:trPr>
        <w:tc>
          <w:tcPr>
            <w:tcW w:w="694" w:type="dxa"/>
            <w:vAlign w:val="center"/>
          </w:tcPr>
          <w:p>
            <w:pPr>
              <w:keepNext w:val="0"/>
              <w:keepLines w:val="0"/>
              <w:suppressLineNumbers w:val="0"/>
              <w:tabs>
                <w:tab w:val="left" w:pos="426"/>
              </w:tabs>
              <w:spacing w:before="0" w:beforeAutospacing="0" w:after="0" w:afterAutospacing="0" w:line="500" w:lineRule="exact"/>
              <w:ind w:left="-105" w:leftChars="-50" w:right="-105" w:rightChars="-50"/>
              <w:rPr>
                <w:rFonts w:hint="default"/>
                <w:color w:val="auto"/>
                <w:sz w:val="22"/>
                <w:szCs w:val="22"/>
                <w:highlight w:val="none"/>
              </w:rPr>
            </w:pPr>
            <w:r>
              <w:rPr>
                <w:rFonts w:hint="eastAsia"/>
                <w:color w:val="auto"/>
                <w:sz w:val="22"/>
                <w:szCs w:val="22"/>
                <w:highlight w:val="none"/>
              </w:rPr>
              <w:t>账号：</w:t>
            </w:r>
          </w:p>
        </w:tc>
        <w:tc>
          <w:tcPr>
            <w:tcW w:w="3927" w:type="dxa"/>
            <w:gridSpan w:val="5"/>
            <w:tcBorders>
              <w:top w:val="nil"/>
              <w:left w:val="nil"/>
              <w:bottom w:val="single" w:color="auto" w:sz="2" w:space="0"/>
              <w:right w:val="nil"/>
            </w:tcBorders>
            <w:vAlign w:val="center"/>
          </w:tcPr>
          <w:p>
            <w:pPr>
              <w:keepNext w:val="0"/>
              <w:keepLines w:val="0"/>
              <w:suppressLineNumbers w:val="0"/>
              <w:tabs>
                <w:tab w:val="left" w:pos="426"/>
              </w:tabs>
              <w:spacing w:before="0" w:beforeAutospacing="0" w:after="0" w:afterAutospacing="0" w:line="240" w:lineRule="atLeast"/>
              <w:ind w:left="-105" w:leftChars="-50" w:right="-105" w:rightChars="-50"/>
              <w:rPr>
                <w:rFonts w:hint="default"/>
                <w:color w:val="auto"/>
                <w:kern w:val="18"/>
                <w:sz w:val="22"/>
                <w:szCs w:val="22"/>
                <w:highlight w:val="none"/>
              </w:rPr>
            </w:pPr>
          </w:p>
        </w:tc>
        <w:tc>
          <w:tcPr>
            <w:tcW w:w="236" w:type="dxa"/>
            <w:vAlign w:val="center"/>
          </w:tcPr>
          <w:p>
            <w:pPr>
              <w:keepNext w:val="0"/>
              <w:keepLines w:val="0"/>
              <w:suppressLineNumbers w:val="0"/>
              <w:tabs>
                <w:tab w:val="left" w:pos="426"/>
              </w:tabs>
              <w:spacing w:before="0" w:beforeAutospacing="0" w:after="0" w:afterAutospacing="0" w:line="240" w:lineRule="atLeast"/>
              <w:ind w:left="-105" w:leftChars="-50" w:right="-105" w:rightChars="-50"/>
              <w:jc w:val="center"/>
              <w:rPr>
                <w:rFonts w:hint="default"/>
                <w:color w:val="auto"/>
                <w:kern w:val="18"/>
                <w:sz w:val="22"/>
                <w:szCs w:val="22"/>
                <w:highlight w:val="none"/>
              </w:rPr>
            </w:pPr>
          </w:p>
        </w:tc>
        <w:tc>
          <w:tcPr>
            <w:tcW w:w="650" w:type="dxa"/>
            <w:vAlign w:val="center"/>
          </w:tcPr>
          <w:p>
            <w:pPr>
              <w:keepNext w:val="0"/>
              <w:keepLines w:val="0"/>
              <w:suppressLineNumbers w:val="0"/>
              <w:tabs>
                <w:tab w:val="left" w:pos="426"/>
              </w:tabs>
              <w:spacing w:before="0" w:beforeAutospacing="0" w:after="0" w:afterAutospacing="0" w:line="500" w:lineRule="exact"/>
              <w:ind w:left="-105" w:leftChars="-50" w:right="-105" w:rightChars="-50"/>
              <w:rPr>
                <w:rFonts w:hint="default"/>
                <w:color w:val="auto"/>
                <w:sz w:val="22"/>
                <w:szCs w:val="22"/>
                <w:highlight w:val="none"/>
              </w:rPr>
            </w:pPr>
            <w:r>
              <w:rPr>
                <w:rFonts w:hint="eastAsia"/>
                <w:color w:val="auto"/>
                <w:sz w:val="22"/>
                <w:szCs w:val="22"/>
                <w:highlight w:val="none"/>
              </w:rPr>
              <w:t>账号：</w:t>
            </w:r>
          </w:p>
        </w:tc>
        <w:tc>
          <w:tcPr>
            <w:tcW w:w="3776" w:type="dxa"/>
            <w:gridSpan w:val="4"/>
            <w:tcBorders>
              <w:top w:val="nil"/>
              <w:left w:val="nil"/>
              <w:bottom w:val="single" w:color="auto" w:sz="2" w:space="0"/>
              <w:right w:val="nil"/>
            </w:tcBorders>
            <w:vAlign w:val="center"/>
          </w:tcPr>
          <w:p>
            <w:pPr>
              <w:keepNext w:val="0"/>
              <w:keepLines w:val="0"/>
              <w:suppressLineNumbers w:val="0"/>
              <w:tabs>
                <w:tab w:val="left" w:pos="426"/>
              </w:tabs>
              <w:spacing w:before="0" w:beforeAutospacing="0" w:after="0" w:afterAutospacing="0" w:line="240" w:lineRule="atLeast"/>
              <w:ind w:left="-105" w:leftChars="-50" w:right="-105" w:rightChars="-50"/>
              <w:rPr>
                <w:rFonts w:hint="default"/>
                <w:color w:val="auto"/>
                <w:kern w:val="18"/>
                <w:sz w:val="22"/>
                <w:szCs w:val="22"/>
                <w:highlight w:val="none"/>
              </w:rPr>
            </w:pPr>
          </w:p>
        </w:tc>
      </w:tr>
      <w:tr>
        <w:trPr>
          <w:trHeight w:val="567" w:hRule="atLeast"/>
          <w:jc w:val="center"/>
        </w:trPr>
        <w:tc>
          <w:tcPr>
            <w:tcW w:w="694" w:type="dxa"/>
            <w:vAlign w:val="center"/>
          </w:tcPr>
          <w:p>
            <w:pPr>
              <w:keepNext w:val="0"/>
              <w:keepLines w:val="0"/>
              <w:suppressLineNumbers w:val="0"/>
              <w:tabs>
                <w:tab w:val="left" w:pos="426"/>
              </w:tabs>
              <w:spacing w:before="0" w:beforeAutospacing="0" w:after="0" w:afterAutospacing="0" w:line="500" w:lineRule="exact"/>
              <w:ind w:left="-105" w:leftChars="-50" w:right="-105" w:rightChars="-50"/>
              <w:rPr>
                <w:rFonts w:hint="default"/>
                <w:color w:val="auto"/>
                <w:sz w:val="22"/>
                <w:szCs w:val="22"/>
                <w:highlight w:val="none"/>
              </w:rPr>
            </w:pPr>
            <w:r>
              <w:rPr>
                <w:rFonts w:hint="eastAsia"/>
                <w:color w:val="auto"/>
                <w:sz w:val="22"/>
                <w:szCs w:val="22"/>
                <w:highlight w:val="none"/>
              </w:rPr>
              <w:t>住所：</w:t>
            </w:r>
          </w:p>
        </w:tc>
        <w:tc>
          <w:tcPr>
            <w:tcW w:w="3927" w:type="dxa"/>
            <w:gridSpan w:val="5"/>
            <w:tcBorders>
              <w:top w:val="single" w:color="auto" w:sz="2" w:space="0"/>
              <w:left w:val="nil"/>
              <w:bottom w:val="single" w:color="auto" w:sz="2" w:space="0"/>
              <w:right w:val="nil"/>
            </w:tcBorders>
            <w:vAlign w:val="center"/>
          </w:tcPr>
          <w:p>
            <w:pPr>
              <w:keepNext w:val="0"/>
              <w:keepLines w:val="0"/>
              <w:suppressLineNumbers w:val="0"/>
              <w:tabs>
                <w:tab w:val="left" w:pos="426"/>
              </w:tabs>
              <w:spacing w:before="0" w:beforeAutospacing="0" w:after="0" w:afterAutospacing="0" w:line="240" w:lineRule="atLeast"/>
              <w:ind w:left="-105" w:leftChars="-50" w:right="-105" w:rightChars="-50"/>
              <w:rPr>
                <w:rFonts w:hint="default"/>
                <w:color w:val="auto"/>
                <w:kern w:val="18"/>
                <w:sz w:val="22"/>
                <w:szCs w:val="22"/>
                <w:highlight w:val="none"/>
              </w:rPr>
            </w:pPr>
          </w:p>
        </w:tc>
        <w:tc>
          <w:tcPr>
            <w:tcW w:w="236" w:type="dxa"/>
            <w:vAlign w:val="center"/>
          </w:tcPr>
          <w:p>
            <w:pPr>
              <w:keepNext w:val="0"/>
              <w:keepLines w:val="0"/>
              <w:suppressLineNumbers w:val="0"/>
              <w:tabs>
                <w:tab w:val="left" w:pos="426"/>
              </w:tabs>
              <w:spacing w:before="0" w:beforeAutospacing="0" w:after="0" w:afterAutospacing="0" w:line="240" w:lineRule="atLeast"/>
              <w:ind w:left="-105" w:leftChars="-50" w:right="-105" w:rightChars="-50"/>
              <w:jc w:val="center"/>
              <w:rPr>
                <w:rFonts w:hint="default"/>
                <w:color w:val="auto"/>
                <w:kern w:val="18"/>
                <w:sz w:val="22"/>
                <w:szCs w:val="22"/>
                <w:highlight w:val="none"/>
              </w:rPr>
            </w:pPr>
          </w:p>
        </w:tc>
        <w:tc>
          <w:tcPr>
            <w:tcW w:w="650" w:type="dxa"/>
            <w:vAlign w:val="center"/>
          </w:tcPr>
          <w:p>
            <w:pPr>
              <w:keepNext w:val="0"/>
              <w:keepLines w:val="0"/>
              <w:suppressLineNumbers w:val="0"/>
              <w:tabs>
                <w:tab w:val="left" w:pos="426"/>
              </w:tabs>
              <w:spacing w:before="0" w:beforeAutospacing="0" w:after="0" w:afterAutospacing="0" w:line="500" w:lineRule="exact"/>
              <w:ind w:left="-105" w:leftChars="-50" w:right="-105" w:rightChars="-50"/>
              <w:rPr>
                <w:rFonts w:hint="default"/>
                <w:color w:val="auto"/>
                <w:sz w:val="22"/>
                <w:szCs w:val="22"/>
                <w:highlight w:val="none"/>
              </w:rPr>
            </w:pPr>
            <w:r>
              <w:rPr>
                <w:rFonts w:hint="eastAsia"/>
                <w:color w:val="auto"/>
                <w:sz w:val="22"/>
                <w:szCs w:val="22"/>
                <w:highlight w:val="none"/>
              </w:rPr>
              <w:t>住所：</w:t>
            </w:r>
          </w:p>
        </w:tc>
        <w:tc>
          <w:tcPr>
            <w:tcW w:w="3776" w:type="dxa"/>
            <w:gridSpan w:val="4"/>
            <w:tcBorders>
              <w:top w:val="single" w:color="auto" w:sz="2" w:space="0"/>
              <w:left w:val="nil"/>
              <w:bottom w:val="single" w:color="auto" w:sz="2" w:space="0"/>
              <w:right w:val="nil"/>
            </w:tcBorders>
            <w:vAlign w:val="center"/>
          </w:tcPr>
          <w:p>
            <w:pPr>
              <w:keepNext w:val="0"/>
              <w:keepLines w:val="0"/>
              <w:suppressLineNumbers w:val="0"/>
              <w:tabs>
                <w:tab w:val="left" w:pos="426"/>
              </w:tabs>
              <w:spacing w:before="0" w:beforeAutospacing="0" w:after="0" w:afterAutospacing="0" w:line="240" w:lineRule="atLeast"/>
              <w:ind w:left="-105" w:leftChars="-50" w:right="-105" w:rightChars="-50"/>
              <w:rPr>
                <w:rFonts w:hint="default"/>
                <w:color w:val="auto"/>
                <w:kern w:val="18"/>
                <w:sz w:val="22"/>
                <w:szCs w:val="22"/>
                <w:highlight w:val="none"/>
              </w:rPr>
            </w:pPr>
          </w:p>
        </w:tc>
      </w:tr>
      <w:tr>
        <w:trPr>
          <w:trHeight w:val="567" w:hRule="atLeast"/>
          <w:jc w:val="center"/>
        </w:trPr>
        <w:tc>
          <w:tcPr>
            <w:tcW w:w="694" w:type="dxa"/>
            <w:vAlign w:val="center"/>
          </w:tcPr>
          <w:p>
            <w:pPr>
              <w:keepNext w:val="0"/>
              <w:keepLines w:val="0"/>
              <w:suppressLineNumbers w:val="0"/>
              <w:tabs>
                <w:tab w:val="left" w:pos="426"/>
              </w:tabs>
              <w:spacing w:before="0" w:beforeAutospacing="0" w:after="0" w:afterAutospacing="0" w:line="500" w:lineRule="exact"/>
              <w:ind w:left="-105" w:leftChars="-50" w:right="-105" w:rightChars="-50"/>
              <w:rPr>
                <w:rFonts w:hint="default"/>
                <w:color w:val="auto"/>
                <w:sz w:val="22"/>
                <w:szCs w:val="22"/>
                <w:highlight w:val="none"/>
              </w:rPr>
            </w:pPr>
            <w:r>
              <w:rPr>
                <w:rFonts w:hint="eastAsia"/>
                <w:color w:val="auto"/>
                <w:sz w:val="22"/>
                <w:szCs w:val="22"/>
                <w:highlight w:val="none"/>
              </w:rPr>
              <w:t>邮编：</w:t>
            </w:r>
          </w:p>
        </w:tc>
        <w:tc>
          <w:tcPr>
            <w:tcW w:w="3927" w:type="dxa"/>
            <w:gridSpan w:val="5"/>
            <w:tcBorders>
              <w:top w:val="single" w:color="auto" w:sz="2" w:space="0"/>
              <w:left w:val="nil"/>
              <w:bottom w:val="single" w:color="auto" w:sz="2" w:space="0"/>
              <w:right w:val="nil"/>
            </w:tcBorders>
            <w:vAlign w:val="center"/>
          </w:tcPr>
          <w:p>
            <w:pPr>
              <w:keepNext w:val="0"/>
              <w:keepLines w:val="0"/>
              <w:suppressLineNumbers w:val="0"/>
              <w:tabs>
                <w:tab w:val="left" w:pos="426"/>
              </w:tabs>
              <w:spacing w:before="0" w:beforeAutospacing="0" w:after="0" w:afterAutospacing="0" w:line="240" w:lineRule="atLeast"/>
              <w:ind w:left="-105" w:leftChars="-50" w:right="-105" w:rightChars="-50"/>
              <w:rPr>
                <w:rFonts w:hint="default"/>
                <w:color w:val="auto"/>
                <w:kern w:val="18"/>
                <w:sz w:val="22"/>
                <w:szCs w:val="22"/>
                <w:highlight w:val="none"/>
              </w:rPr>
            </w:pPr>
          </w:p>
        </w:tc>
        <w:tc>
          <w:tcPr>
            <w:tcW w:w="236" w:type="dxa"/>
            <w:vAlign w:val="center"/>
          </w:tcPr>
          <w:p>
            <w:pPr>
              <w:keepNext w:val="0"/>
              <w:keepLines w:val="0"/>
              <w:suppressLineNumbers w:val="0"/>
              <w:tabs>
                <w:tab w:val="left" w:pos="426"/>
              </w:tabs>
              <w:spacing w:before="0" w:beforeAutospacing="0" w:after="0" w:afterAutospacing="0" w:line="240" w:lineRule="atLeast"/>
              <w:ind w:left="-105" w:leftChars="-50" w:right="-105" w:rightChars="-50"/>
              <w:jc w:val="center"/>
              <w:rPr>
                <w:rFonts w:hint="default"/>
                <w:color w:val="auto"/>
                <w:kern w:val="18"/>
                <w:sz w:val="22"/>
                <w:szCs w:val="22"/>
                <w:highlight w:val="none"/>
              </w:rPr>
            </w:pPr>
          </w:p>
        </w:tc>
        <w:tc>
          <w:tcPr>
            <w:tcW w:w="650" w:type="dxa"/>
            <w:vAlign w:val="center"/>
          </w:tcPr>
          <w:p>
            <w:pPr>
              <w:keepNext w:val="0"/>
              <w:keepLines w:val="0"/>
              <w:suppressLineNumbers w:val="0"/>
              <w:tabs>
                <w:tab w:val="left" w:pos="426"/>
              </w:tabs>
              <w:spacing w:before="0" w:beforeAutospacing="0" w:after="0" w:afterAutospacing="0" w:line="500" w:lineRule="exact"/>
              <w:ind w:left="-105" w:leftChars="-50" w:right="-105" w:rightChars="-50"/>
              <w:rPr>
                <w:rFonts w:hint="default"/>
                <w:color w:val="auto"/>
                <w:sz w:val="22"/>
                <w:szCs w:val="22"/>
                <w:highlight w:val="none"/>
              </w:rPr>
            </w:pPr>
            <w:r>
              <w:rPr>
                <w:rFonts w:hint="eastAsia"/>
                <w:color w:val="auto"/>
                <w:sz w:val="22"/>
                <w:szCs w:val="22"/>
                <w:highlight w:val="none"/>
              </w:rPr>
              <w:t>邮编：</w:t>
            </w:r>
          </w:p>
        </w:tc>
        <w:tc>
          <w:tcPr>
            <w:tcW w:w="3776" w:type="dxa"/>
            <w:gridSpan w:val="4"/>
            <w:tcBorders>
              <w:top w:val="single" w:color="auto" w:sz="2" w:space="0"/>
              <w:left w:val="nil"/>
              <w:bottom w:val="single" w:color="auto" w:sz="2" w:space="0"/>
              <w:right w:val="nil"/>
            </w:tcBorders>
            <w:vAlign w:val="center"/>
          </w:tcPr>
          <w:p>
            <w:pPr>
              <w:keepNext w:val="0"/>
              <w:keepLines w:val="0"/>
              <w:suppressLineNumbers w:val="0"/>
              <w:tabs>
                <w:tab w:val="left" w:pos="426"/>
              </w:tabs>
              <w:spacing w:before="0" w:beforeAutospacing="0" w:after="0" w:afterAutospacing="0" w:line="240" w:lineRule="atLeast"/>
              <w:ind w:left="-105" w:leftChars="-50" w:right="-105" w:rightChars="-50"/>
              <w:rPr>
                <w:rFonts w:hint="default"/>
                <w:color w:val="auto"/>
                <w:kern w:val="18"/>
                <w:sz w:val="22"/>
                <w:szCs w:val="22"/>
                <w:highlight w:val="none"/>
              </w:rPr>
            </w:pPr>
          </w:p>
        </w:tc>
      </w:tr>
      <w:tr>
        <w:trPr>
          <w:trHeight w:val="567" w:hRule="atLeast"/>
          <w:jc w:val="center"/>
        </w:trPr>
        <w:tc>
          <w:tcPr>
            <w:tcW w:w="694" w:type="dxa"/>
            <w:vAlign w:val="center"/>
          </w:tcPr>
          <w:p>
            <w:pPr>
              <w:keepNext w:val="0"/>
              <w:keepLines w:val="0"/>
              <w:suppressLineNumbers w:val="0"/>
              <w:tabs>
                <w:tab w:val="left" w:pos="426"/>
              </w:tabs>
              <w:spacing w:before="0" w:beforeAutospacing="0" w:after="0" w:afterAutospacing="0" w:line="500" w:lineRule="exact"/>
              <w:ind w:left="-105" w:leftChars="-50" w:right="-105" w:rightChars="-50"/>
              <w:rPr>
                <w:rFonts w:hint="default"/>
                <w:color w:val="auto"/>
                <w:sz w:val="22"/>
                <w:szCs w:val="22"/>
                <w:highlight w:val="none"/>
              </w:rPr>
            </w:pPr>
            <w:r>
              <w:rPr>
                <w:rFonts w:hint="eastAsia"/>
                <w:color w:val="auto"/>
                <w:sz w:val="22"/>
                <w:szCs w:val="22"/>
                <w:highlight w:val="none"/>
              </w:rPr>
              <w:t>电话：</w:t>
            </w:r>
          </w:p>
        </w:tc>
        <w:tc>
          <w:tcPr>
            <w:tcW w:w="3927" w:type="dxa"/>
            <w:gridSpan w:val="5"/>
            <w:tcBorders>
              <w:top w:val="single" w:color="auto" w:sz="2" w:space="0"/>
              <w:left w:val="nil"/>
              <w:bottom w:val="single" w:color="auto" w:sz="2" w:space="0"/>
              <w:right w:val="nil"/>
            </w:tcBorders>
            <w:vAlign w:val="center"/>
          </w:tcPr>
          <w:p>
            <w:pPr>
              <w:keepNext w:val="0"/>
              <w:keepLines w:val="0"/>
              <w:suppressLineNumbers w:val="0"/>
              <w:tabs>
                <w:tab w:val="left" w:pos="426"/>
              </w:tabs>
              <w:spacing w:before="0" w:beforeAutospacing="0" w:after="0" w:afterAutospacing="0" w:line="240" w:lineRule="atLeast"/>
              <w:ind w:left="-105" w:leftChars="-50" w:right="-105" w:rightChars="-50"/>
              <w:rPr>
                <w:rFonts w:hint="default"/>
                <w:color w:val="auto"/>
                <w:kern w:val="18"/>
                <w:sz w:val="22"/>
                <w:szCs w:val="22"/>
                <w:highlight w:val="none"/>
              </w:rPr>
            </w:pPr>
          </w:p>
        </w:tc>
        <w:tc>
          <w:tcPr>
            <w:tcW w:w="236" w:type="dxa"/>
            <w:vAlign w:val="center"/>
          </w:tcPr>
          <w:p>
            <w:pPr>
              <w:keepNext w:val="0"/>
              <w:keepLines w:val="0"/>
              <w:suppressLineNumbers w:val="0"/>
              <w:tabs>
                <w:tab w:val="left" w:pos="426"/>
              </w:tabs>
              <w:spacing w:before="0" w:beforeAutospacing="0" w:after="0" w:afterAutospacing="0" w:line="240" w:lineRule="atLeast"/>
              <w:ind w:left="-105" w:leftChars="-50" w:right="-105" w:rightChars="-50"/>
              <w:jc w:val="center"/>
              <w:rPr>
                <w:rFonts w:hint="default"/>
                <w:color w:val="auto"/>
                <w:kern w:val="18"/>
                <w:sz w:val="22"/>
                <w:szCs w:val="22"/>
                <w:highlight w:val="none"/>
              </w:rPr>
            </w:pPr>
          </w:p>
        </w:tc>
        <w:tc>
          <w:tcPr>
            <w:tcW w:w="650" w:type="dxa"/>
            <w:vAlign w:val="center"/>
          </w:tcPr>
          <w:p>
            <w:pPr>
              <w:keepNext w:val="0"/>
              <w:keepLines w:val="0"/>
              <w:suppressLineNumbers w:val="0"/>
              <w:tabs>
                <w:tab w:val="left" w:pos="426"/>
              </w:tabs>
              <w:spacing w:before="0" w:beforeAutospacing="0" w:after="0" w:afterAutospacing="0" w:line="500" w:lineRule="exact"/>
              <w:ind w:left="-105" w:leftChars="-50" w:right="-105" w:rightChars="-50"/>
              <w:rPr>
                <w:rFonts w:hint="default"/>
                <w:color w:val="auto"/>
                <w:sz w:val="22"/>
                <w:szCs w:val="22"/>
                <w:highlight w:val="none"/>
              </w:rPr>
            </w:pPr>
            <w:r>
              <w:rPr>
                <w:rFonts w:hint="eastAsia"/>
                <w:color w:val="auto"/>
                <w:sz w:val="22"/>
                <w:szCs w:val="22"/>
                <w:highlight w:val="none"/>
              </w:rPr>
              <w:t>电话：</w:t>
            </w:r>
          </w:p>
        </w:tc>
        <w:tc>
          <w:tcPr>
            <w:tcW w:w="3776" w:type="dxa"/>
            <w:gridSpan w:val="4"/>
            <w:tcBorders>
              <w:top w:val="single" w:color="auto" w:sz="2" w:space="0"/>
              <w:left w:val="nil"/>
              <w:bottom w:val="single" w:color="auto" w:sz="2" w:space="0"/>
              <w:right w:val="nil"/>
            </w:tcBorders>
            <w:vAlign w:val="center"/>
          </w:tcPr>
          <w:p>
            <w:pPr>
              <w:keepNext w:val="0"/>
              <w:keepLines w:val="0"/>
              <w:suppressLineNumbers w:val="0"/>
              <w:tabs>
                <w:tab w:val="left" w:pos="426"/>
              </w:tabs>
              <w:spacing w:before="0" w:beforeAutospacing="0" w:after="0" w:afterAutospacing="0" w:line="240" w:lineRule="atLeast"/>
              <w:ind w:left="-105" w:leftChars="-50" w:right="-105" w:rightChars="-50"/>
              <w:rPr>
                <w:rFonts w:hint="default"/>
                <w:color w:val="auto"/>
                <w:kern w:val="18"/>
                <w:sz w:val="22"/>
                <w:szCs w:val="22"/>
                <w:highlight w:val="none"/>
              </w:rPr>
            </w:pPr>
          </w:p>
        </w:tc>
      </w:tr>
      <w:tr>
        <w:trPr>
          <w:trHeight w:val="567" w:hRule="atLeast"/>
          <w:jc w:val="center"/>
        </w:trPr>
        <w:tc>
          <w:tcPr>
            <w:tcW w:w="694" w:type="dxa"/>
            <w:vAlign w:val="center"/>
          </w:tcPr>
          <w:p>
            <w:pPr>
              <w:keepNext w:val="0"/>
              <w:keepLines w:val="0"/>
              <w:suppressLineNumbers w:val="0"/>
              <w:tabs>
                <w:tab w:val="left" w:pos="426"/>
              </w:tabs>
              <w:spacing w:before="0" w:beforeAutospacing="0" w:after="0" w:afterAutospacing="0" w:line="500" w:lineRule="exact"/>
              <w:ind w:left="-105" w:leftChars="-50" w:right="-105" w:rightChars="-50"/>
              <w:rPr>
                <w:rFonts w:hint="default"/>
                <w:color w:val="auto"/>
                <w:sz w:val="22"/>
                <w:szCs w:val="22"/>
                <w:highlight w:val="none"/>
              </w:rPr>
            </w:pPr>
            <w:r>
              <w:rPr>
                <w:rFonts w:hint="eastAsia"/>
                <w:color w:val="auto"/>
                <w:sz w:val="22"/>
                <w:szCs w:val="22"/>
                <w:highlight w:val="none"/>
              </w:rPr>
              <w:t>传真：</w:t>
            </w:r>
          </w:p>
        </w:tc>
        <w:tc>
          <w:tcPr>
            <w:tcW w:w="3927" w:type="dxa"/>
            <w:gridSpan w:val="5"/>
            <w:tcBorders>
              <w:top w:val="single" w:color="auto" w:sz="2" w:space="0"/>
              <w:left w:val="nil"/>
              <w:bottom w:val="single" w:color="auto" w:sz="2" w:space="0"/>
              <w:right w:val="nil"/>
            </w:tcBorders>
            <w:vAlign w:val="center"/>
          </w:tcPr>
          <w:p>
            <w:pPr>
              <w:keepNext w:val="0"/>
              <w:keepLines w:val="0"/>
              <w:suppressLineNumbers w:val="0"/>
              <w:tabs>
                <w:tab w:val="left" w:pos="426"/>
              </w:tabs>
              <w:spacing w:before="0" w:beforeAutospacing="0" w:after="0" w:afterAutospacing="0" w:line="240" w:lineRule="atLeast"/>
              <w:ind w:left="-105" w:leftChars="-50" w:right="-105" w:rightChars="-50"/>
              <w:rPr>
                <w:rFonts w:hint="default"/>
                <w:color w:val="auto"/>
                <w:kern w:val="18"/>
                <w:sz w:val="22"/>
                <w:szCs w:val="22"/>
                <w:highlight w:val="none"/>
              </w:rPr>
            </w:pPr>
          </w:p>
        </w:tc>
        <w:tc>
          <w:tcPr>
            <w:tcW w:w="236" w:type="dxa"/>
            <w:vAlign w:val="center"/>
          </w:tcPr>
          <w:p>
            <w:pPr>
              <w:keepNext w:val="0"/>
              <w:keepLines w:val="0"/>
              <w:suppressLineNumbers w:val="0"/>
              <w:tabs>
                <w:tab w:val="left" w:pos="426"/>
              </w:tabs>
              <w:spacing w:before="0" w:beforeAutospacing="0" w:after="0" w:afterAutospacing="0" w:line="240" w:lineRule="atLeast"/>
              <w:ind w:left="-105" w:leftChars="-50" w:right="-105" w:rightChars="-50"/>
              <w:jc w:val="center"/>
              <w:rPr>
                <w:rFonts w:hint="default"/>
                <w:color w:val="auto"/>
                <w:kern w:val="18"/>
                <w:sz w:val="22"/>
                <w:szCs w:val="22"/>
                <w:highlight w:val="none"/>
              </w:rPr>
            </w:pPr>
          </w:p>
        </w:tc>
        <w:tc>
          <w:tcPr>
            <w:tcW w:w="650" w:type="dxa"/>
            <w:vAlign w:val="center"/>
          </w:tcPr>
          <w:p>
            <w:pPr>
              <w:keepNext w:val="0"/>
              <w:keepLines w:val="0"/>
              <w:suppressLineNumbers w:val="0"/>
              <w:tabs>
                <w:tab w:val="left" w:pos="426"/>
              </w:tabs>
              <w:spacing w:before="0" w:beforeAutospacing="0" w:after="0" w:afterAutospacing="0" w:line="500" w:lineRule="exact"/>
              <w:ind w:left="-105" w:leftChars="-50" w:right="-105" w:rightChars="-50"/>
              <w:rPr>
                <w:rFonts w:hint="default"/>
                <w:color w:val="auto"/>
                <w:sz w:val="22"/>
                <w:szCs w:val="22"/>
                <w:highlight w:val="none"/>
              </w:rPr>
            </w:pPr>
            <w:r>
              <w:rPr>
                <w:rFonts w:hint="eastAsia"/>
                <w:color w:val="auto"/>
                <w:kern w:val="18"/>
                <w:sz w:val="22"/>
                <w:szCs w:val="22"/>
                <w:highlight w:val="none"/>
              </w:rPr>
              <w:t>传真：</w:t>
            </w:r>
          </w:p>
        </w:tc>
        <w:tc>
          <w:tcPr>
            <w:tcW w:w="3776" w:type="dxa"/>
            <w:gridSpan w:val="4"/>
            <w:tcBorders>
              <w:top w:val="single" w:color="auto" w:sz="2" w:space="0"/>
              <w:left w:val="nil"/>
              <w:bottom w:val="single" w:color="auto" w:sz="2" w:space="0"/>
              <w:right w:val="nil"/>
            </w:tcBorders>
            <w:vAlign w:val="center"/>
          </w:tcPr>
          <w:p>
            <w:pPr>
              <w:keepNext w:val="0"/>
              <w:keepLines w:val="0"/>
              <w:suppressLineNumbers w:val="0"/>
              <w:tabs>
                <w:tab w:val="left" w:pos="426"/>
              </w:tabs>
              <w:spacing w:before="0" w:beforeAutospacing="0" w:after="0" w:afterAutospacing="0" w:line="240" w:lineRule="atLeast"/>
              <w:ind w:left="-105" w:leftChars="-50" w:right="-105" w:rightChars="-50"/>
              <w:rPr>
                <w:rFonts w:hint="default"/>
                <w:color w:val="auto"/>
                <w:kern w:val="18"/>
                <w:sz w:val="22"/>
                <w:szCs w:val="22"/>
                <w:highlight w:val="none"/>
              </w:rPr>
            </w:pPr>
          </w:p>
        </w:tc>
      </w:tr>
      <w:tr>
        <w:trPr>
          <w:trHeight w:val="567" w:hRule="atLeast"/>
          <w:jc w:val="center"/>
        </w:trPr>
        <w:tc>
          <w:tcPr>
            <w:tcW w:w="1112" w:type="dxa"/>
            <w:gridSpan w:val="3"/>
            <w:vAlign w:val="center"/>
          </w:tcPr>
          <w:p>
            <w:pPr>
              <w:keepNext w:val="0"/>
              <w:keepLines w:val="0"/>
              <w:suppressLineNumbers w:val="0"/>
              <w:tabs>
                <w:tab w:val="left" w:pos="426"/>
              </w:tabs>
              <w:spacing w:before="0" w:beforeAutospacing="0" w:after="0" w:afterAutospacing="0" w:line="500" w:lineRule="exact"/>
              <w:ind w:left="-105" w:leftChars="-50" w:right="-105" w:rightChars="-50"/>
              <w:rPr>
                <w:rFonts w:hint="default"/>
                <w:color w:val="auto"/>
                <w:kern w:val="18"/>
                <w:sz w:val="22"/>
                <w:szCs w:val="22"/>
                <w:highlight w:val="none"/>
              </w:rPr>
            </w:pPr>
            <w:r>
              <w:rPr>
                <w:rFonts w:hint="eastAsia"/>
                <w:color w:val="auto"/>
                <w:sz w:val="22"/>
                <w:szCs w:val="22"/>
                <w:highlight w:val="none"/>
              </w:rPr>
              <w:t>电子邮箱：</w:t>
            </w:r>
          </w:p>
        </w:tc>
        <w:tc>
          <w:tcPr>
            <w:tcW w:w="3509" w:type="dxa"/>
            <w:gridSpan w:val="3"/>
            <w:tcBorders>
              <w:top w:val="nil"/>
              <w:left w:val="nil"/>
              <w:bottom w:val="single" w:color="auto" w:sz="2" w:space="0"/>
              <w:right w:val="nil"/>
            </w:tcBorders>
            <w:vAlign w:val="center"/>
          </w:tcPr>
          <w:p>
            <w:pPr>
              <w:keepNext w:val="0"/>
              <w:keepLines w:val="0"/>
              <w:suppressLineNumbers w:val="0"/>
              <w:tabs>
                <w:tab w:val="left" w:pos="426"/>
              </w:tabs>
              <w:spacing w:before="0" w:beforeAutospacing="0" w:after="0" w:afterAutospacing="0" w:line="240" w:lineRule="atLeast"/>
              <w:ind w:left="-105" w:leftChars="-50" w:right="-105" w:rightChars="-50"/>
              <w:rPr>
                <w:rFonts w:hint="default"/>
                <w:color w:val="auto"/>
                <w:kern w:val="18"/>
                <w:sz w:val="22"/>
                <w:szCs w:val="22"/>
                <w:highlight w:val="none"/>
              </w:rPr>
            </w:pPr>
          </w:p>
        </w:tc>
        <w:tc>
          <w:tcPr>
            <w:tcW w:w="236" w:type="dxa"/>
            <w:vAlign w:val="center"/>
          </w:tcPr>
          <w:p>
            <w:pPr>
              <w:keepNext w:val="0"/>
              <w:keepLines w:val="0"/>
              <w:suppressLineNumbers w:val="0"/>
              <w:tabs>
                <w:tab w:val="left" w:pos="426"/>
              </w:tabs>
              <w:spacing w:before="0" w:beforeAutospacing="0" w:after="0" w:afterAutospacing="0" w:line="240" w:lineRule="atLeast"/>
              <w:ind w:left="-105" w:leftChars="-50" w:right="-105" w:rightChars="-50"/>
              <w:jc w:val="center"/>
              <w:rPr>
                <w:rFonts w:hint="default"/>
                <w:color w:val="auto"/>
                <w:kern w:val="18"/>
                <w:sz w:val="22"/>
                <w:szCs w:val="22"/>
                <w:highlight w:val="none"/>
              </w:rPr>
            </w:pPr>
          </w:p>
        </w:tc>
        <w:tc>
          <w:tcPr>
            <w:tcW w:w="1182" w:type="dxa"/>
            <w:gridSpan w:val="3"/>
            <w:vAlign w:val="center"/>
          </w:tcPr>
          <w:p>
            <w:pPr>
              <w:keepNext w:val="0"/>
              <w:keepLines w:val="0"/>
              <w:suppressLineNumbers w:val="0"/>
              <w:tabs>
                <w:tab w:val="left" w:pos="426"/>
              </w:tabs>
              <w:spacing w:before="0" w:beforeAutospacing="0" w:after="0" w:afterAutospacing="0" w:line="500" w:lineRule="exact"/>
              <w:ind w:left="-105" w:leftChars="-50" w:right="-105" w:rightChars="-50"/>
              <w:rPr>
                <w:rFonts w:hint="default"/>
                <w:color w:val="auto"/>
                <w:kern w:val="18"/>
                <w:sz w:val="22"/>
                <w:szCs w:val="22"/>
                <w:highlight w:val="none"/>
              </w:rPr>
            </w:pPr>
            <w:r>
              <w:rPr>
                <w:rFonts w:hint="eastAsia"/>
                <w:color w:val="auto"/>
                <w:sz w:val="22"/>
                <w:szCs w:val="22"/>
                <w:highlight w:val="none"/>
              </w:rPr>
              <w:t>电子邮箱：</w:t>
            </w:r>
          </w:p>
        </w:tc>
        <w:tc>
          <w:tcPr>
            <w:tcW w:w="3244" w:type="dxa"/>
            <w:gridSpan w:val="2"/>
            <w:tcBorders>
              <w:top w:val="nil"/>
              <w:left w:val="nil"/>
              <w:bottom w:val="single" w:color="auto" w:sz="2" w:space="0"/>
              <w:right w:val="nil"/>
            </w:tcBorders>
            <w:vAlign w:val="center"/>
          </w:tcPr>
          <w:p>
            <w:pPr>
              <w:keepNext w:val="0"/>
              <w:keepLines w:val="0"/>
              <w:suppressLineNumbers w:val="0"/>
              <w:tabs>
                <w:tab w:val="left" w:pos="426"/>
              </w:tabs>
              <w:spacing w:before="0" w:beforeAutospacing="0" w:after="0" w:afterAutospacing="0" w:line="240" w:lineRule="atLeast"/>
              <w:ind w:left="-105" w:leftChars="-50" w:right="-105" w:rightChars="-50"/>
              <w:rPr>
                <w:rFonts w:hint="default"/>
                <w:color w:val="auto"/>
                <w:kern w:val="18"/>
                <w:sz w:val="22"/>
                <w:szCs w:val="22"/>
                <w:highlight w:val="none"/>
              </w:rPr>
            </w:pPr>
          </w:p>
        </w:tc>
      </w:tr>
      <w:tr>
        <w:trPr>
          <w:trHeight w:val="567" w:hRule="atLeast"/>
          <w:jc w:val="center"/>
        </w:trPr>
        <w:tc>
          <w:tcPr>
            <w:tcW w:w="1596" w:type="dxa"/>
            <w:gridSpan w:val="4"/>
            <w:vAlign w:val="center"/>
          </w:tcPr>
          <w:p>
            <w:pPr>
              <w:keepNext w:val="0"/>
              <w:keepLines w:val="0"/>
              <w:suppressLineNumbers w:val="0"/>
              <w:tabs>
                <w:tab w:val="left" w:pos="426"/>
              </w:tabs>
              <w:spacing w:before="0" w:beforeAutospacing="0" w:after="0" w:afterAutospacing="0" w:line="500" w:lineRule="exact"/>
              <w:ind w:left="-105" w:leftChars="-50" w:right="-105" w:rightChars="-50"/>
              <w:rPr>
                <w:rFonts w:hint="default"/>
                <w:color w:val="auto"/>
                <w:kern w:val="18"/>
                <w:sz w:val="22"/>
                <w:szCs w:val="22"/>
                <w:highlight w:val="none"/>
              </w:rPr>
            </w:pPr>
            <w:r>
              <w:rPr>
                <w:rFonts w:hint="eastAsia"/>
                <w:color w:val="auto"/>
                <w:sz w:val="22"/>
                <w:szCs w:val="22"/>
                <w:highlight w:val="none"/>
              </w:rPr>
              <w:t>合同订立时间：</w:t>
            </w:r>
          </w:p>
        </w:tc>
        <w:tc>
          <w:tcPr>
            <w:tcW w:w="7687" w:type="dxa"/>
            <w:gridSpan w:val="8"/>
            <w:vAlign w:val="center"/>
          </w:tcPr>
          <w:p>
            <w:pPr>
              <w:keepNext w:val="0"/>
              <w:keepLines w:val="0"/>
              <w:suppressLineNumbers w:val="0"/>
              <w:tabs>
                <w:tab w:val="left" w:pos="426"/>
              </w:tabs>
              <w:spacing w:before="0" w:beforeAutospacing="0" w:after="0" w:afterAutospacing="0" w:line="240" w:lineRule="atLeast"/>
              <w:ind w:left="-105" w:leftChars="-50" w:right="120" w:rightChars="57"/>
              <w:jc w:val="right"/>
              <w:rPr>
                <w:rFonts w:hint="default"/>
                <w:color w:val="auto"/>
                <w:kern w:val="18"/>
                <w:sz w:val="22"/>
                <w:szCs w:val="22"/>
                <w:highlight w:val="none"/>
              </w:rPr>
            </w:pPr>
            <w:r>
              <w:rPr>
                <w:rFonts w:hint="eastAsia"/>
                <w:color w:val="auto"/>
                <w:sz w:val="22"/>
                <w:szCs w:val="22"/>
                <w:highlight w:val="none"/>
              </w:rPr>
              <w:t>年</w:t>
            </w:r>
            <w:r>
              <w:rPr>
                <w:rFonts w:hint="default"/>
                <w:color w:val="auto"/>
                <w:sz w:val="22"/>
                <w:szCs w:val="22"/>
                <w:highlight w:val="none"/>
              </w:rPr>
              <w:t xml:space="preserve">    </w:t>
            </w:r>
            <w:r>
              <w:rPr>
                <w:rFonts w:hint="eastAsia"/>
                <w:color w:val="auto"/>
                <w:sz w:val="22"/>
                <w:szCs w:val="22"/>
                <w:highlight w:val="none"/>
              </w:rPr>
              <w:t>月</w:t>
            </w:r>
            <w:r>
              <w:rPr>
                <w:rFonts w:hint="default"/>
                <w:color w:val="auto"/>
                <w:sz w:val="22"/>
                <w:szCs w:val="22"/>
                <w:highlight w:val="none"/>
              </w:rPr>
              <w:t xml:space="preserve">    </w:t>
            </w:r>
            <w:r>
              <w:rPr>
                <w:rFonts w:hint="eastAsia"/>
                <w:color w:val="auto"/>
                <w:sz w:val="22"/>
                <w:szCs w:val="22"/>
                <w:highlight w:val="none"/>
              </w:rPr>
              <w:t>日</w:t>
            </w:r>
          </w:p>
        </w:tc>
      </w:tr>
    </w:tbl>
    <w:p>
      <w:pPr>
        <w:rPr>
          <w:rFonts w:hint="eastAsia" w:ascii="黑体"/>
          <w:color w:val="auto"/>
          <w:sz w:val="36"/>
          <w:szCs w:val="36"/>
          <w:highlight w:val="none"/>
        </w:rPr>
      </w:pPr>
      <w:bookmarkStart w:id="115" w:name="_Toc397084575"/>
      <w:r>
        <w:rPr>
          <w:rFonts w:hint="eastAsia" w:ascii="黑体"/>
          <w:color w:val="auto"/>
          <w:sz w:val="36"/>
          <w:szCs w:val="36"/>
          <w:highlight w:val="none"/>
        </w:rPr>
        <w:br w:type="page"/>
      </w:r>
    </w:p>
    <w:p>
      <w:pPr>
        <w:pStyle w:val="6"/>
        <w:tabs>
          <w:tab w:val="left" w:pos="426"/>
        </w:tabs>
        <w:spacing w:before="240" w:after="240" w:line="500" w:lineRule="exact"/>
        <w:jc w:val="center"/>
        <w:rPr>
          <w:rFonts w:hint="eastAsia" w:ascii="黑体" w:eastAsia="黑体"/>
          <w:b w:val="0"/>
          <w:color w:val="auto"/>
          <w:sz w:val="36"/>
          <w:szCs w:val="36"/>
          <w:highlight w:val="none"/>
          <w:lang w:eastAsia="zh-CN"/>
        </w:rPr>
      </w:pPr>
      <w:bookmarkStart w:id="116" w:name="_Toc23079"/>
      <w:bookmarkStart w:id="117" w:name="_Toc6354"/>
      <w:bookmarkStart w:id="118" w:name="_Toc12983"/>
      <w:bookmarkStart w:id="119" w:name="_Toc22514"/>
      <w:r>
        <w:rPr>
          <w:rFonts w:hint="eastAsia" w:ascii="黑体"/>
          <w:color w:val="auto"/>
          <w:sz w:val="36"/>
          <w:szCs w:val="36"/>
          <w:highlight w:val="none"/>
        </w:rPr>
        <w:t>第二部分</w:t>
      </w:r>
      <w:r>
        <w:rPr>
          <w:rFonts w:ascii="黑体"/>
          <w:color w:val="auto"/>
          <w:sz w:val="36"/>
          <w:szCs w:val="36"/>
          <w:highlight w:val="none"/>
        </w:rPr>
        <w:t xml:space="preserve">  </w:t>
      </w:r>
      <w:r>
        <w:rPr>
          <w:rFonts w:hint="eastAsia" w:ascii="黑体"/>
          <w:color w:val="auto"/>
          <w:sz w:val="36"/>
          <w:szCs w:val="36"/>
          <w:highlight w:val="none"/>
        </w:rPr>
        <w:t>通</w:t>
      </w:r>
      <w:r>
        <w:rPr>
          <w:rFonts w:ascii="黑体"/>
          <w:color w:val="auto"/>
          <w:sz w:val="36"/>
          <w:szCs w:val="36"/>
          <w:highlight w:val="none"/>
        </w:rPr>
        <w:t xml:space="preserve"> </w:t>
      </w:r>
      <w:r>
        <w:rPr>
          <w:rFonts w:hint="eastAsia" w:ascii="黑体"/>
          <w:color w:val="auto"/>
          <w:sz w:val="36"/>
          <w:szCs w:val="36"/>
          <w:highlight w:val="none"/>
        </w:rPr>
        <w:t>用</w:t>
      </w:r>
      <w:r>
        <w:rPr>
          <w:rFonts w:ascii="黑体"/>
          <w:color w:val="auto"/>
          <w:sz w:val="36"/>
          <w:szCs w:val="36"/>
          <w:highlight w:val="none"/>
        </w:rPr>
        <w:t xml:space="preserve"> </w:t>
      </w:r>
      <w:r>
        <w:rPr>
          <w:rFonts w:hint="eastAsia" w:ascii="黑体"/>
          <w:color w:val="auto"/>
          <w:sz w:val="36"/>
          <w:szCs w:val="36"/>
          <w:highlight w:val="none"/>
        </w:rPr>
        <w:t>条</w:t>
      </w:r>
      <w:r>
        <w:rPr>
          <w:rFonts w:ascii="黑体"/>
          <w:color w:val="auto"/>
          <w:sz w:val="36"/>
          <w:szCs w:val="36"/>
          <w:highlight w:val="none"/>
        </w:rPr>
        <w:t xml:space="preserve"> </w:t>
      </w:r>
      <w:r>
        <w:rPr>
          <w:rFonts w:hint="eastAsia" w:ascii="黑体"/>
          <w:color w:val="auto"/>
          <w:sz w:val="36"/>
          <w:szCs w:val="36"/>
          <w:highlight w:val="none"/>
        </w:rPr>
        <w:t>件</w:t>
      </w:r>
      <w:bookmarkEnd w:id="115"/>
      <w:bookmarkEnd w:id="116"/>
      <w:bookmarkEnd w:id="117"/>
      <w:bookmarkEnd w:id="118"/>
      <w:bookmarkEnd w:id="119"/>
    </w:p>
    <w:p>
      <w:pPr>
        <w:pStyle w:val="4"/>
        <w:keepNext w:val="0"/>
        <w:tabs>
          <w:tab w:val="left" w:pos="426"/>
        </w:tabs>
        <w:spacing w:before="360" w:after="240" w:line="380" w:lineRule="exact"/>
        <w:jc w:val="center"/>
        <w:rPr>
          <w:rFonts w:ascii="黑体" w:eastAsia="黑体"/>
          <w:b w:val="0"/>
          <w:color w:val="auto"/>
          <w:highlight w:val="none"/>
        </w:rPr>
      </w:pPr>
      <w:bookmarkStart w:id="120" w:name="_Toc8508"/>
      <w:bookmarkStart w:id="121" w:name="_Toc30439"/>
      <w:bookmarkStart w:id="122" w:name="_Toc24033"/>
      <w:bookmarkStart w:id="123" w:name="_Toc391916903"/>
      <w:bookmarkStart w:id="124" w:name="_Toc9361"/>
      <w:bookmarkStart w:id="125" w:name="_Toc397084576"/>
      <w:r>
        <w:rPr>
          <w:rFonts w:hint="eastAsia" w:ascii="黑体" w:eastAsia="黑体"/>
          <w:b w:val="0"/>
          <w:color w:val="auto"/>
          <w:highlight w:val="none"/>
        </w:rPr>
        <w:t>一、定义与解释</w:t>
      </w:r>
      <w:bookmarkEnd w:id="120"/>
      <w:bookmarkEnd w:id="121"/>
      <w:bookmarkEnd w:id="122"/>
      <w:bookmarkEnd w:id="123"/>
      <w:bookmarkEnd w:id="124"/>
      <w:bookmarkEnd w:id="125"/>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1</w:t>
      </w:r>
      <w:r>
        <w:rPr>
          <w:rFonts w:hint="eastAsia" w:ascii="黑体" w:eastAsia="黑体"/>
          <w:color w:val="auto"/>
          <w:kern w:val="18"/>
          <w:sz w:val="22"/>
          <w:szCs w:val="22"/>
          <w:highlight w:val="none"/>
        </w:rPr>
        <w:t>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定义</w:t>
      </w:r>
    </w:p>
    <w:p>
      <w:pPr>
        <w:tabs>
          <w:tab w:val="left" w:pos="426"/>
        </w:tabs>
        <w:spacing w:line="380" w:lineRule="exact"/>
        <w:ind w:firstLine="420" w:firstLineChars="200"/>
        <w:rPr>
          <w:color w:val="auto"/>
          <w:szCs w:val="21"/>
          <w:highlight w:val="none"/>
        </w:rPr>
      </w:pPr>
      <w:r>
        <w:rPr>
          <w:rFonts w:hint="eastAsia"/>
          <w:color w:val="auto"/>
          <w:szCs w:val="21"/>
          <w:highlight w:val="none"/>
        </w:rPr>
        <w:t>除根据上下文另有其意义外，组成工程监理合同（以下简称“监理合同”）的全部文件中的下列名词和用语应具有本款所赋予的含义：</w:t>
      </w:r>
    </w:p>
    <w:p>
      <w:pPr>
        <w:tabs>
          <w:tab w:val="left" w:pos="426"/>
        </w:tabs>
        <w:spacing w:line="380" w:lineRule="exact"/>
        <w:ind w:firstLine="420" w:firstLineChars="200"/>
        <w:rPr>
          <w:color w:val="auto"/>
          <w:szCs w:val="21"/>
          <w:highlight w:val="none"/>
        </w:rPr>
      </w:pPr>
      <w:r>
        <w:rPr>
          <w:color w:val="auto"/>
          <w:szCs w:val="21"/>
          <w:highlight w:val="none"/>
        </w:rPr>
        <w:t xml:space="preserve">1.1 </w:t>
      </w:r>
      <w:r>
        <w:rPr>
          <w:rFonts w:hint="eastAsia"/>
          <w:color w:val="auto"/>
          <w:szCs w:val="21"/>
          <w:highlight w:val="none"/>
        </w:rPr>
        <w:t>“工程”是指按照监理合同约定实施监理与相关服务的建设工程。</w:t>
      </w:r>
    </w:p>
    <w:p>
      <w:pPr>
        <w:tabs>
          <w:tab w:val="left" w:pos="426"/>
        </w:tabs>
        <w:spacing w:line="380" w:lineRule="exact"/>
        <w:ind w:firstLine="420" w:firstLineChars="200"/>
        <w:rPr>
          <w:color w:val="auto"/>
          <w:szCs w:val="21"/>
          <w:highlight w:val="none"/>
        </w:rPr>
      </w:pPr>
      <w:r>
        <w:rPr>
          <w:color w:val="auto"/>
          <w:szCs w:val="21"/>
          <w:highlight w:val="none"/>
        </w:rPr>
        <w:t xml:space="preserve">1.2 </w:t>
      </w:r>
      <w:r>
        <w:rPr>
          <w:rFonts w:hint="eastAsia"/>
          <w:color w:val="auto"/>
          <w:szCs w:val="21"/>
          <w:highlight w:val="none"/>
        </w:rPr>
        <w:t>“委托人”是指监理合同中委托监理与相关服务的一方，及其合法的继承人或受让人。</w:t>
      </w:r>
    </w:p>
    <w:p>
      <w:pPr>
        <w:tabs>
          <w:tab w:val="left" w:pos="426"/>
        </w:tabs>
        <w:spacing w:line="380" w:lineRule="exact"/>
        <w:ind w:firstLine="420" w:firstLineChars="200"/>
        <w:rPr>
          <w:color w:val="auto"/>
          <w:szCs w:val="21"/>
          <w:highlight w:val="none"/>
        </w:rPr>
      </w:pPr>
      <w:r>
        <w:rPr>
          <w:color w:val="auto"/>
          <w:szCs w:val="21"/>
          <w:highlight w:val="none"/>
        </w:rPr>
        <w:t xml:space="preserve">1.3 </w:t>
      </w:r>
      <w:r>
        <w:rPr>
          <w:rFonts w:hint="eastAsia"/>
          <w:color w:val="auto"/>
          <w:szCs w:val="21"/>
          <w:highlight w:val="none"/>
        </w:rPr>
        <w:t>“监理人”是指监理合同中提供监理与相关服务的一方，及其合法的继承人。</w:t>
      </w:r>
    </w:p>
    <w:p>
      <w:pPr>
        <w:tabs>
          <w:tab w:val="left" w:pos="426"/>
        </w:tabs>
        <w:spacing w:line="380" w:lineRule="exact"/>
        <w:ind w:firstLine="420" w:firstLineChars="200"/>
        <w:rPr>
          <w:color w:val="auto"/>
          <w:szCs w:val="21"/>
          <w:highlight w:val="none"/>
        </w:rPr>
      </w:pPr>
      <w:r>
        <w:rPr>
          <w:color w:val="auto"/>
          <w:szCs w:val="21"/>
          <w:highlight w:val="none"/>
        </w:rPr>
        <w:t xml:space="preserve">1.4 </w:t>
      </w:r>
      <w:r>
        <w:rPr>
          <w:rFonts w:hint="eastAsia"/>
          <w:color w:val="auto"/>
          <w:szCs w:val="21"/>
          <w:highlight w:val="none"/>
        </w:rPr>
        <w:t>“承包人”是指在工程范围内与委托人签订勘察、设计、施工等有关合同的当事人，及其合法的继承人。</w:t>
      </w:r>
    </w:p>
    <w:p>
      <w:pPr>
        <w:tabs>
          <w:tab w:val="left" w:pos="426"/>
        </w:tabs>
        <w:spacing w:line="380" w:lineRule="exact"/>
        <w:ind w:firstLine="420" w:firstLineChars="200"/>
        <w:rPr>
          <w:color w:val="auto"/>
          <w:szCs w:val="21"/>
          <w:highlight w:val="none"/>
        </w:rPr>
      </w:pPr>
      <w:r>
        <w:rPr>
          <w:color w:val="auto"/>
          <w:szCs w:val="21"/>
          <w:highlight w:val="none"/>
        </w:rPr>
        <w:t xml:space="preserve">1.5 </w:t>
      </w:r>
      <w:r>
        <w:rPr>
          <w:rFonts w:hint="eastAsia"/>
          <w:color w:val="auto"/>
          <w:szCs w:val="21"/>
          <w:highlight w:val="none"/>
        </w:rPr>
        <w:t>“监理”是指监理人根据法律、法规、有关工程建设标准及合同约定，代表委托人对工程的施工质量、进度、造价进行控制，对合同、信息进行管理，对施工承包人的安全生产管理实施监督，参与协调工程建设相关方的关系。</w:t>
      </w:r>
    </w:p>
    <w:p>
      <w:pPr>
        <w:tabs>
          <w:tab w:val="left" w:pos="426"/>
        </w:tabs>
        <w:spacing w:line="380" w:lineRule="exact"/>
        <w:ind w:firstLine="420" w:firstLineChars="200"/>
        <w:rPr>
          <w:color w:val="auto"/>
          <w:szCs w:val="21"/>
          <w:highlight w:val="none"/>
        </w:rPr>
      </w:pPr>
      <w:r>
        <w:rPr>
          <w:color w:val="auto"/>
          <w:szCs w:val="21"/>
          <w:highlight w:val="none"/>
        </w:rPr>
        <w:t xml:space="preserve">1.6 </w:t>
      </w:r>
      <w:r>
        <w:rPr>
          <w:rFonts w:hint="eastAsia"/>
          <w:color w:val="auto"/>
          <w:szCs w:val="21"/>
          <w:highlight w:val="none"/>
        </w:rPr>
        <w:t>“相关服务”是指监理人按照监理合同约定，在勘察、设计、招标、保修等阶段提供的服务。</w:t>
      </w:r>
    </w:p>
    <w:p>
      <w:pPr>
        <w:tabs>
          <w:tab w:val="left" w:pos="426"/>
        </w:tabs>
        <w:spacing w:line="380" w:lineRule="exact"/>
        <w:ind w:firstLine="420" w:firstLineChars="200"/>
        <w:rPr>
          <w:color w:val="auto"/>
          <w:szCs w:val="21"/>
          <w:highlight w:val="none"/>
        </w:rPr>
      </w:pPr>
      <w:r>
        <w:rPr>
          <w:color w:val="auto"/>
          <w:szCs w:val="21"/>
          <w:highlight w:val="none"/>
        </w:rPr>
        <w:t xml:space="preserve">1.7 </w:t>
      </w:r>
      <w:r>
        <w:rPr>
          <w:rFonts w:hint="eastAsia"/>
          <w:color w:val="auto"/>
          <w:szCs w:val="21"/>
          <w:highlight w:val="none"/>
        </w:rPr>
        <w:t>“正常工作”是指监理合同订立时约定的监理人在监理与相关服务期限和范围内的工作。</w:t>
      </w:r>
    </w:p>
    <w:p>
      <w:pPr>
        <w:tabs>
          <w:tab w:val="left" w:pos="426"/>
        </w:tabs>
        <w:spacing w:line="380" w:lineRule="exact"/>
        <w:ind w:firstLine="420" w:firstLineChars="200"/>
        <w:rPr>
          <w:color w:val="auto"/>
          <w:szCs w:val="21"/>
          <w:highlight w:val="none"/>
        </w:rPr>
      </w:pPr>
      <w:r>
        <w:rPr>
          <w:color w:val="auto"/>
          <w:szCs w:val="21"/>
          <w:highlight w:val="none"/>
        </w:rPr>
        <w:t xml:space="preserve">1.8 </w:t>
      </w:r>
      <w:r>
        <w:rPr>
          <w:rFonts w:hint="eastAsia"/>
          <w:color w:val="auto"/>
          <w:szCs w:val="21"/>
          <w:highlight w:val="none"/>
        </w:rPr>
        <w:t>“附加工作”是指监理合同约定的正常工作以外监理人的工作。</w:t>
      </w:r>
    </w:p>
    <w:p>
      <w:pPr>
        <w:tabs>
          <w:tab w:val="left" w:pos="426"/>
        </w:tabs>
        <w:spacing w:line="380" w:lineRule="exact"/>
        <w:ind w:firstLine="420" w:firstLineChars="200"/>
        <w:rPr>
          <w:color w:val="auto"/>
          <w:szCs w:val="21"/>
          <w:highlight w:val="none"/>
        </w:rPr>
      </w:pPr>
      <w:r>
        <w:rPr>
          <w:color w:val="auto"/>
          <w:szCs w:val="21"/>
          <w:highlight w:val="none"/>
        </w:rPr>
        <w:t xml:space="preserve">1.9 </w:t>
      </w:r>
      <w:r>
        <w:rPr>
          <w:rFonts w:hint="eastAsia"/>
          <w:color w:val="auto"/>
          <w:szCs w:val="21"/>
          <w:highlight w:val="none"/>
        </w:rPr>
        <w:t>“项目监理机构”是指监理人派驻工程负责履行监理合同的组织机构。</w:t>
      </w:r>
    </w:p>
    <w:p>
      <w:pPr>
        <w:tabs>
          <w:tab w:val="left" w:pos="426"/>
        </w:tabs>
        <w:spacing w:line="380" w:lineRule="exact"/>
        <w:ind w:firstLine="420" w:firstLineChars="200"/>
        <w:rPr>
          <w:color w:val="auto"/>
          <w:szCs w:val="21"/>
          <w:highlight w:val="none"/>
        </w:rPr>
      </w:pPr>
      <w:r>
        <w:rPr>
          <w:color w:val="auto"/>
          <w:szCs w:val="21"/>
          <w:highlight w:val="none"/>
        </w:rPr>
        <w:t xml:space="preserve">1.10 </w:t>
      </w:r>
      <w:r>
        <w:rPr>
          <w:rFonts w:hint="eastAsia"/>
          <w:color w:val="auto"/>
          <w:szCs w:val="21"/>
          <w:highlight w:val="none"/>
        </w:rPr>
        <w:t>“总监理工程师”是指由监理人的法定代表人以书面形式授权，负责履行监理合同、主持项目监理机构工作，并按照《深圳经济特区建设工程监理条例》的规定加入深圳市监理工程师协会，成为深圳市监理工程师协会个人会员的国家注册监理工程师。</w:t>
      </w:r>
    </w:p>
    <w:p>
      <w:pPr>
        <w:tabs>
          <w:tab w:val="left" w:pos="426"/>
        </w:tabs>
        <w:spacing w:line="380" w:lineRule="exact"/>
        <w:ind w:firstLine="420" w:firstLineChars="200"/>
        <w:rPr>
          <w:color w:val="auto"/>
          <w:szCs w:val="21"/>
          <w:highlight w:val="none"/>
        </w:rPr>
      </w:pPr>
      <w:r>
        <w:rPr>
          <w:color w:val="auto"/>
          <w:szCs w:val="21"/>
          <w:highlight w:val="none"/>
        </w:rPr>
        <w:t xml:space="preserve">1.11 </w:t>
      </w:r>
      <w:r>
        <w:rPr>
          <w:rFonts w:hint="eastAsia"/>
          <w:color w:val="auto"/>
          <w:szCs w:val="21"/>
          <w:highlight w:val="none"/>
        </w:rPr>
        <w:t>“总监理工程师代表”是指经总监理工程师授权，在项目监理机构中履行总监理工程师的部分职责，并按照《深圳特区建设工程监理条例》的规定加入深圳市监理工程师协会，成为深圳市监理工程师协会个人会员的深圳市监理工程师或国家注册监理工程师。对于一名国家注册监理工程师仅担任一项工程项目的总监理工程师时，不设总监理工程师代表。</w:t>
      </w:r>
    </w:p>
    <w:p>
      <w:pPr>
        <w:tabs>
          <w:tab w:val="left" w:pos="426"/>
        </w:tabs>
        <w:spacing w:line="380" w:lineRule="exact"/>
        <w:ind w:firstLine="420" w:firstLineChars="200"/>
        <w:rPr>
          <w:color w:val="auto"/>
          <w:szCs w:val="21"/>
          <w:highlight w:val="none"/>
        </w:rPr>
      </w:pPr>
      <w:r>
        <w:rPr>
          <w:color w:val="auto"/>
          <w:szCs w:val="21"/>
          <w:highlight w:val="none"/>
        </w:rPr>
        <w:t xml:space="preserve">1.12 </w:t>
      </w:r>
      <w:r>
        <w:rPr>
          <w:rFonts w:hint="eastAsia"/>
          <w:color w:val="auto"/>
          <w:szCs w:val="21"/>
          <w:highlight w:val="none"/>
        </w:rPr>
        <w:t>“专业监理工程师”，是指在总监理工程师的领导下，从事某专业工程监理工作或某监理业务工作，并按照《深圳特区建设工程监理条例》的规定加入深圳市监理工程师协会，成为深圳市监理工程师协会个人会员的深圳市监理工程师或国家注册监理工程师。</w:t>
      </w:r>
    </w:p>
    <w:p>
      <w:pPr>
        <w:tabs>
          <w:tab w:val="left" w:pos="426"/>
        </w:tabs>
        <w:spacing w:line="380" w:lineRule="exact"/>
        <w:ind w:firstLine="420" w:firstLineChars="200"/>
        <w:rPr>
          <w:color w:val="auto"/>
          <w:szCs w:val="21"/>
          <w:highlight w:val="none"/>
        </w:rPr>
      </w:pPr>
      <w:r>
        <w:rPr>
          <w:color w:val="auto"/>
          <w:szCs w:val="21"/>
          <w:highlight w:val="none"/>
        </w:rPr>
        <w:t xml:space="preserve">1.13 </w:t>
      </w:r>
      <w:r>
        <w:rPr>
          <w:rFonts w:hint="eastAsia"/>
          <w:color w:val="auto"/>
          <w:szCs w:val="21"/>
          <w:highlight w:val="none"/>
        </w:rPr>
        <w:t>“监理员”，是指在总监理工程师或专业监理工程师的领导下，从事某项具体监理工作业务，并按照《深圳特区建设工程监理条例》的规定加入深圳市监理工程师协会，成为深圳市监理工程师协会个人会员的深圳市监理员。</w:t>
      </w:r>
    </w:p>
    <w:p>
      <w:pPr>
        <w:tabs>
          <w:tab w:val="left" w:pos="426"/>
        </w:tabs>
        <w:spacing w:line="380" w:lineRule="exact"/>
        <w:ind w:firstLine="420" w:firstLineChars="200"/>
        <w:rPr>
          <w:color w:val="auto"/>
          <w:szCs w:val="21"/>
          <w:highlight w:val="none"/>
        </w:rPr>
      </w:pPr>
      <w:r>
        <w:rPr>
          <w:color w:val="auto"/>
          <w:szCs w:val="21"/>
          <w:highlight w:val="none"/>
        </w:rPr>
        <w:t xml:space="preserve">1.14 </w:t>
      </w:r>
      <w:r>
        <w:rPr>
          <w:rFonts w:hint="eastAsia"/>
          <w:color w:val="auto"/>
          <w:szCs w:val="21"/>
          <w:highlight w:val="none"/>
        </w:rPr>
        <w:t>“酬金”是指监理人履行监理合同义务，委托人按照监理合同约定给付监理人的金额。</w:t>
      </w:r>
    </w:p>
    <w:p>
      <w:pPr>
        <w:tabs>
          <w:tab w:val="left" w:pos="426"/>
        </w:tabs>
        <w:spacing w:line="380" w:lineRule="exact"/>
        <w:ind w:firstLine="420" w:firstLineChars="200"/>
        <w:rPr>
          <w:color w:val="auto"/>
          <w:szCs w:val="21"/>
          <w:highlight w:val="none"/>
        </w:rPr>
      </w:pPr>
      <w:r>
        <w:rPr>
          <w:color w:val="auto"/>
          <w:szCs w:val="21"/>
          <w:highlight w:val="none"/>
        </w:rPr>
        <w:t xml:space="preserve">1.15 </w:t>
      </w:r>
      <w:r>
        <w:rPr>
          <w:rFonts w:hint="eastAsia"/>
          <w:color w:val="auto"/>
          <w:szCs w:val="21"/>
          <w:highlight w:val="none"/>
        </w:rPr>
        <w:t>“正常工作酬金”是指监理人完成正常工作，委托人应给付监理人并在协议书中载明的签约酬金额。</w:t>
      </w:r>
    </w:p>
    <w:p>
      <w:pPr>
        <w:tabs>
          <w:tab w:val="left" w:pos="426"/>
        </w:tabs>
        <w:spacing w:line="380" w:lineRule="exact"/>
        <w:ind w:firstLine="420" w:firstLineChars="200"/>
        <w:rPr>
          <w:color w:val="auto"/>
          <w:szCs w:val="21"/>
          <w:highlight w:val="none"/>
        </w:rPr>
      </w:pPr>
      <w:r>
        <w:rPr>
          <w:color w:val="auto"/>
          <w:szCs w:val="21"/>
          <w:highlight w:val="none"/>
        </w:rPr>
        <w:t xml:space="preserve">1.16 </w:t>
      </w:r>
      <w:r>
        <w:rPr>
          <w:rFonts w:hint="eastAsia"/>
          <w:color w:val="auto"/>
          <w:szCs w:val="21"/>
          <w:highlight w:val="none"/>
        </w:rPr>
        <w:t>“附加工作酬金”是指监理人完成附加工作，委托人应给付监理人的金额。</w:t>
      </w:r>
    </w:p>
    <w:p>
      <w:pPr>
        <w:tabs>
          <w:tab w:val="left" w:pos="426"/>
        </w:tabs>
        <w:spacing w:line="380" w:lineRule="exact"/>
        <w:ind w:firstLine="420" w:firstLineChars="200"/>
        <w:rPr>
          <w:color w:val="auto"/>
          <w:szCs w:val="21"/>
          <w:highlight w:val="none"/>
        </w:rPr>
      </w:pPr>
      <w:r>
        <w:rPr>
          <w:color w:val="auto"/>
          <w:szCs w:val="21"/>
          <w:highlight w:val="none"/>
        </w:rPr>
        <w:t xml:space="preserve">1.17 </w:t>
      </w:r>
      <w:r>
        <w:rPr>
          <w:rFonts w:hint="eastAsia"/>
          <w:color w:val="auto"/>
          <w:szCs w:val="21"/>
          <w:highlight w:val="none"/>
        </w:rPr>
        <w:t>“一方”是指委托人或监理人；“双方”是指委托人和监理人；“第三方”是指除委托人和监理人以外的有关方。</w:t>
      </w:r>
    </w:p>
    <w:p>
      <w:pPr>
        <w:tabs>
          <w:tab w:val="left" w:pos="426"/>
        </w:tabs>
        <w:spacing w:line="380" w:lineRule="exact"/>
        <w:ind w:firstLine="420" w:firstLineChars="200"/>
        <w:rPr>
          <w:color w:val="auto"/>
          <w:szCs w:val="21"/>
          <w:highlight w:val="none"/>
        </w:rPr>
      </w:pPr>
      <w:r>
        <w:rPr>
          <w:color w:val="auto"/>
          <w:szCs w:val="21"/>
          <w:highlight w:val="none"/>
        </w:rPr>
        <w:t xml:space="preserve">1.18 </w:t>
      </w:r>
      <w:r>
        <w:rPr>
          <w:rFonts w:hint="eastAsia"/>
          <w:color w:val="auto"/>
          <w:szCs w:val="21"/>
          <w:highlight w:val="none"/>
        </w:rPr>
        <w:t>“书面形式”是指信件和数据电文（包括电报、电传、传真、电子数据交换和电子邮件）等可以有形地表现所载内容的形式。</w:t>
      </w:r>
    </w:p>
    <w:p>
      <w:pPr>
        <w:tabs>
          <w:tab w:val="left" w:pos="426"/>
        </w:tabs>
        <w:spacing w:line="380" w:lineRule="exact"/>
        <w:ind w:firstLine="420" w:firstLineChars="200"/>
        <w:rPr>
          <w:color w:val="auto"/>
          <w:szCs w:val="21"/>
          <w:highlight w:val="none"/>
        </w:rPr>
      </w:pPr>
      <w:r>
        <w:rPr>
          <w:color w:val="auto"/>
          <w:szCs w:val="21"/>
          <w:highlight w:val="none"/>
        </w:rPr>
        <w:t xml:space="preserve">1.19 </w:t>
      </w:r>
      <w:r>
        <w:rPr>
          <w:rFonts w:hint="eastAsia"/>
          <w:color w:val="auto"/>
          <w:szCs w:val="21"/>
          <w:highlight w:val="none"/>
        </w:rPr>
        <w:t>“天”是指一天零时至第二天零时的时间。</w:t>
      </w:r>
    </w:p>
    <w:p>
      <w:pPr>
        <w:tabs>
          <w:tab w:val="left" w:pos="426"/>
        </w:tabs>
        <w:spacing w:line="380" w:lineRule="exact"/>
        <w:ind w:firstLine="420" w:firstLineChars="200"/>
        <w:rPr>
          <w:color w:val="auto"/>
          <w:szCs w:val="21"/>
          <w:highlight w:val="none"/>
        </w:rPr>
      </w:pPr>
      <w:r>
        <w:rPr>
          <w:color w:val="auto"/>
          <w:szCs w:val="21"/>
          <w:highlight w:val="none"/>
        </w:rPr>
        <w:t xml:space="preserve">1.20 </w:t>
      </w:r>
      <w:r>
        <w:rPr>
          <w:rFonts w:hint="eastAsia"/>
          <w:color w:val="auto"/>
          <w:szCs w:val="21"/>
          <w:highlight w:val="none"/>
        </w:rPr>
        <w:t>“月”是指按公历从一个月中任何一天开始的一个公历月时间。</w:t>
      </w:r>
    </w:p>
    <w:p>
      <w:pPr>
        <w:tabs>
          <w:tab w:val="left" w:pos="426"/>
        </w:tabs>
        <w:spacing w:line="380" w:lineRule="exact"/>
        <w:ind w:firstLine="420" w:firstLineChars="200"/>
        <w:rPr>
          <w:color w:val="auto"/>
          <w:szCs w:val="21"/>
          <w:highlight w:val="none"/>
        </w:rPr>
      </w:pPr>
      <w:r>
        <w:rPr>
          <w:color w:val="auto"/>
          <w:szCs w:val="21"/>
          <w:highlight w:val="none"/>
        </w:rPr>
        <w:t xml:space="preserve">1.21 </w:t>
      </w:r>
      <w:r>
        <w:rPr>
          <w:rFonts w:hint="eastAsia"/>
          <w:color w:val="auto"/>
          <w:szCs w:val="21"/>
          <w:highlight w:val="none"/>
        </w:rPr>
        <w:t>“不可抗力”是指委托人和监理人在订立监理合同时不可预见，在监理合同履行过程中不可避免发生并不能克服的</w:t>
      </w:r>
      <w:r>
        <w:rPr>
          <w:rFonts w:hint="eastAsia" w:ascii="宋体" w:hAnsi="宋体" w:eastAsia="宋体" w:cs="宋体"/>
          <w:snapToGrid w:val="0"/>
          <w:color w:val="auto"/>
          <w:kern w:val="0"/>
          <w:szCs w:val="21"/>
          <w:highlight w:val="none"/>
        </w:rPr>
        <w:t>自然灾害和社会性突发事件，如地震、海啸、瘟疫、水灾、骚乱、暴动、战争和专用条件约定的其他情形。</w:t>
      </w:r>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2</w:t>
      </w:r>
      <w:r>
        <w:rPr>
          <w:rFonts w:hint="eastAsia" w:ascii="黑体" w:eastAsia="黑体"/>
          <w:color w:val="auto"/>
          <w:kern w:val="18"/>
          <w:sz w:val="22"/>
          <w:szCs w:val="22"/>
          <w:highlight w:val="none"/>
        </w:rPr>
        <w:t>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解释</w:t>
      </w:r>
    </w:p>
    <w:p>
      <w:pPr>
        <w:tabs>
          <w:tab w:val="left" w:pos="426"/>
        </w:tabs>
        <w:spacing w:line="380" w:lineRule="exact"/>
        <w:ind w:firstLine="420" w:firstLineChars="200"/>
        <w:rPr>
          <w:color w:val="auto"/>
          <w:szCs w:val="21"/>
          <w:highlight w:val="none"/>
        </w:rPr>
      </w:pPr>
      <w:r>
        <w:rPr>
          <w:color w:val="auto"/>
          <w:szCs w:val="21"/>
          <w:highlight w:val="none"/>
        </w:rPr>
        <w:t xml:space="preserve">2.1 </w:t>
      </w:r>
      <w:r>
        <w:rPr>
          <w:rFonts w:hint="eastAsia"/>
          <w:color w:val="auto"/>
          <w:szCs w:val="21"/>
          <w:highlight w:val="none"/>
        </w:rPr>
        <w:t>监理合同文件使用中文书写、解释和说明。如《专用条件》约定使用两种及以上语言文字时，应以中文为准。</w:t>
      </w:r>
    </w:p>
    <w:p>
      <w:pPr>
        <w:tabs>
          <w:tab w:val="left" w:pos="426"/>
        </w:tabs>
        <w:spacing w:line="380" w:lineRule="exact"/>
        <w:ind w:firstLine="420" w:firstLineChars="200"/>
        <w:rPr>
          <w:color w:val="auto"/>
          <w:szCs w:val="21"/>
          <w:highlight w:val="none"/>
        </w:rPr>
      </w:pPr>
      <w:r>
        <w:rPr>
          <w:color w:val="auto"/>
          <w:szCs w:val="21"/>
          <w:highlight w:val="none"/>
        </w:rPr>
        <w:t xml:space="preserve">2.2 </w:t>
      </w:r>
      <w:r>
        <w:rPr>
          <w:rFonts w:hint="eastAsia"/>
          <w:color w:val="auto"/>
          <w:szCs w:val="21"/>
          <w:highlight w:val="none"/>
        </w:rPr>
        <w:t>组成监理合同的下列文件彼此应能相互解释、互为说明。除《专用条件》另有约定外，监理合同文件的解释顺序如下：</w:t>
      </w:r>
    </w:p>
    <w:p>
      <w:pPr>
        <w:tabs>
          <w:tab w:val="left" w:pos="426"/>
        </w:tabs>
        <w:spacing w:line="380" w:lineRule="exact"/>
        <w:ind w:firstLine="420" w:firstLineChars="200"/>
        <w:rPr>
          <w:color w:val="auto"/>
          <w:szCs w:val="21"/>
          <w:highlight w:val="none"/>
        </w:rPr>
      </w:pPr>
      <w:r>
        <w:rPr>
          <w:rFonts w:hint="eastAsia"/>
          <w:color w:val="auto"/>
          <w:szCs w:val="21"/>
          <w:highlight w:val="none"/>
        </w:rPr>
        <w:t>⑴</w:t>
      </w:r>
      <w:r>
        <w:rPr>
          <w:color w:val="auto"/>
          <w:szCs w:val="21"/>
          <w:highlight w:val="none"/>
        </w:rPr>
        <w:t>.</w:t>
      </w:r>
      <w:r>
        <w:rPr>
          <w:rFonts w:hint="eastAsia"/>
          <w:color w:val="auto"/>
          <w:szCs w:val="21"/>
          <w:highlight w:val="none"/>
        </w:rPr>
        <w:t>合同书；</w:t>
      </w:r>
    </w:p>
    <w:p>
      <w:pPr>
        <w:tabs>
          <w:tab w:val="left" w:pos="426"/>
        </w:tabs>
        <w:spacing w:line="380" w:lineRule="exact"/>
        <w:ind w:firstLine="420" w:firstLineChars="200"/>
        <w:rPr>
          <w:color w:val="auto"/>
          <w:szCs w:val="21"/>
          <w:highlight w:val="none"/>
        </w:rPr>
      </w:pPr>
      <w:r>
        <w:rPr>
          <w:rFonts w:hint="eastAsia"/>
          <w:color w:val="auto"/>
          <w:szCs w:val="21"/>
          <w:highlight w:val="none"/>
        </w:rPr>
        <w:t>⑵</w:t>
      </w:r>
      <w:r>
        <w:rPr>
          <w:color w:val="auto"/>
          <w:szCs w:val="21"/>
          <w:highlight w:val="none"/>
        </w:rPr>
        <w:t>.</w:t>
      </w:r>
      <w:r>
        <w:rPr>
          <w:rFonts w:hint="eastAsia"/>
          <w:color w:val="auto"/>
          <w:szCs w:val="21"/>
          <w:highlight w:val="none"/>
        </w:rPr>
        <w:t>中标通知书（适用于招标工程）或委托书（适用于非招标工程）；</w:t>
      </w:r>
    </w:p>
    <w:p>
      <w:pPr>
        <w:tabs>
          <w:tab w:val="left" w:pos="426"/>
        </w:tabs>
        <w:spacing w:line="380" w:lineRule="exact"/>
        <w:ind w:firstLine="420" w:firstLineChars="200"/>
        <w:rPr>
          <w:color w:val="auto"/>
          <w:szCs w:val="21"/>
          <w:highlight w:val="none"/>
        </w:rPr>
      </w:pPr>
      <w:r>
        <w:rPr>
          <w:rFonts w:hint="eastAsia"/>
          <w:color w:val="auto"/>
          <w:szCs w:val="21"/>
          <w:highlight w:val="none"/>
        </w:rPr>
        <w:t>⑶</w:t>
      </w:r>
      <w:r>
        <w:rPr>
          <w:color w:val="auto"/>
          <w:szCs w:val="21"/>
          <w:highlight w:val="none"/>
        </w:rPr>
        <w:t>.</w:t>
      </w:r>
      <w:r>
        <w:rPr>
          <w:rFonts w:hint="eastAsia"/>
          <w:color w:val="auto"/>
          <w:szCs w:val="21"/>
          <w:highlight w:val="none"/>
        </w:rPr>
        <w:t>专用条件及附录</w:t>
      </w:r>
      <w:r>
        <w:rPr>
          <w:color w:val="auto"/>
          <w:szCs w:val="21"/>
          <w:highlight w:val="none"/>
        </w:rPr>
        <w:t>A</w:t>
      </w:r>
      <w:r>
        <w:rPr>
          <w:rFonts w:hint="eastAsia"/>
          <w:color w:val="auto"/>
          <w:szCs w:val="21"/>
          <w:highlight w:val="none"/>
        </w:rPr>
        <w:t>、附录</w:t>
      </w:r>
      <w:r>
        <w:rPr>
          <w:color w:val="auto"/>
          <w:szCs w:val="21"/>
          <w:highlight w:val="none"/>
        </w:rPr>
        <w:t>B</w:t>
      </w:r>
      <w:r>
        <w:rPr>
          <w:rFonts w:hint="eastAsia"/>
          <w:color w:val="auto"/>
          <w:szCs w:val="21"/>
          <w:highlight w:val="none"/>
        </w:rPr>
        <w:t>；</w:t>
      </w:r>
    </w:p>
    <w:p>
      <w:pPr>
        <w:tabs>
          <w:tab w:val="left" w:pos="426"/>
        </w:tabs>
        <w:spacing w:line="380" w:lineRule="exact"/>
        <w:ind w:firstLine="420" w:firstLineChars="200"/>
        <w:rPr>
          <w:color w:val="auto"/>
          <w:szCs w:val="21"/>
          <w:highlight w:val="none"/>
        </w:rPr>
      </w:pPr>
      <w:r>
        <w:rPr>
          <w:rFonts w:hint="eastAsia"/>
          <w:color w:val="auto"/>
          <w:szCs w:val="21"/>
          <w:highlight w:val="none"/>
        </w:rPr>
        <w:t>⑷</w:t>
      </w:r>
      <w:r>
        <w:rPr>
          <w:color w:val="auto"/>
          <w:szCs w:val="21"/>
          <w:highlight w:val="none"/>
        </w:rPr>
        <w:t>.</w:t>
      </w:r>
      <w:r>
        <w:rPr>
          <w:rFonts w:hint="eastAsia"/>
          <w:color w:val="auto"/>
          <w:szCs w:val="21"/>
          <w:highlight w:val="none"/>
        </w:rPr>
        <w:t>通用条件；</w:t>
      </w:r>
    </w:p>
    <w:p>
      <w:pPr>
        <w:tabs>
          <w:tab w:val="left" w:pos="426"/>
        </w:tabs>
        <w:spacing w:line="380" w:lineRule="exact"/>
        <w:ind w:firstLine="420" w:firstLineChars="200"/>
        <w:rPr>
          <w:color w:val="auto"/>
          <w:szCs w:val="21"/>
          <w:highlight w:val="none"/>
        </w:rPr>
      </w:pPr>
      <w:r>
        <w:rPr>
          <w:rFonts w:hint="eastAsia"/>
          <w:color w:val="auto"/>
          <w:szCs w:val="21"/>
          <w:highlight w:val="none"/>
        </w:rPr>
        <w:t>⑸</w:t>
      </w:r>
      <w:r>
        <w:rPr>
          <w:color w:val="auto"/>
          <w:szCs w:val="21"/>
          <w:highlight w:val="none"/>
        </w:rPr>
        <w:t>.</w:t>
      </w:r>
      <w:r>
        <w:rPr>
          <w:rFonts w:hint="eastAsia"/>
          <w:color w:val="auto"/>
          <w:szCs w:val="21"/>
          <w:highlight w:val="none"/>
        </w:rPr>
        <w:t>投标文件（适用于招标工程）或监理与相关服务建议书（适用于非招标工程）。</w:t>
      </w:r>
    </w:p>
    <w:p>
      <w:pPr>
        <w:tabs>
          <w:tab w:val="left" w:pos="426"/>
        </w:tabs>
        <w:spacing w:line="380" w:lineRule="exact"/>
        <w:ind w:firstLine="420" w:firstLineChars="200"/>
        <w:rPr>
          <w:color w:val="auto"/>
          <w:szCs w:val="21"/>
          <w:highlight w:val="none"/>
        </w:rPr>
      </w:pPr>
      <w:r>
        <w:rPr>
          <w:rFonts w:hint="eastAsia"/>
          <w:color w:val="auto"/>
          <w:szCs w:val="21"/>
          <w:highlight w:val="none"/>
        </w:rPr>
        <w:t>双方签订的补充协议与其他文件发生矛盾或歧义时，属于同一类内容的文件，应以最新签署的为准。</w:t>
      </w:r>
    </w:p>
    <w:p>
      <w:pPr>
        <w:pStyle w:val="4"/>
        <w:keepNext w:val="0"/>
        <w:tabs>
          <w:tab w:val="left" w:pos="426"/>
        </w:tabs>
        <w:spacing w:before="360" w:after="240" w:line="380" w:lineRule="exact"/>
        <w:jc w:val="center"/>
        <w:rPr>
          <w:rFonts w:ascii="黑体" w:eastAsia="黑体"/>
          <w:b w:val="0"/>
          <w:color w:val="auto"/>
          <w:highlight w:val="none"/>
        </w:rPr>
      </w:pPr>
      <w:bookmarkStart w:id="126" w:name="_Toc9398"/>
      <w:bookmarkStart w:id="127" w:name="_Toc397084577"/>
      <w:bookmarkStart w:id="128" w:name="_Toc12255"/>
      <w:bookmarkStart w:id="129" w:name="_Toc20621"/>
      <w:bookmarkStart w:id="130" w:name="_Toc391916904"/>
      <w:bookmarkStart w:id="131" w:name="_Toc15187"/>
      <w:r>
        <w:rPr>
          <w:rFonts w:hint="eastAsia" w:ascii="黑体" w:eastAsia="黑体"/>
          <w:b w:val="0"/>
          <w:color w:val="auto"/>
          <w:highlight w:val="none"/>
        </w:rPr>
        <w:t>二、监理人的义务</w:t>
      </w:r>
      <w:bookmarkEnd w:id="126"/>
      <w:bookmarkEnd w:id="127"/>
      <w:bookmarkEnd w:id="128"/>
      <w:bookmarkEnd w:id="129"/>
      <w:bookmarkEnd w:id="130"/>
      <w:bookmarkEnd w:id="131"/>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3</w:t>
      </w:r>
      <w:r>
        <w:rPr>
          <w:rFonts w:hint="eastAsia" w:ascii="黑体" w:eastAsia="黑体"/>
          <w:color w:val="auto"/>
          <w:kern w:val="18"/>
          <w:sz w:val="22"/>
          <w:szCs w:val="22"/>
          <w:highlight w:val="none"/>
        </w:rPr>
        <w:t>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监理服务范围与工作内容</w:t>
      </w:r>
    </w:p>
    <w:p>
      <w:pPr>
        <w:tabs>
          <w:tab w:val="left" w:pos="426"/>
        </w:tabs>
        <w:spacing w:line="380" w:lineRule="exact"/>
        <w:ind w:firstLine="422" w:firstLineChars="200"/>
        <w:rPr>
          <w:b/>
          <w:color w:val="auto"/>
          <w:kern w:val="18"/>
          <w:szCs w:val="21"/>
          <w:highlight w:val="none"/>
        </w:rPr>
      </w:pPr>
      <w:r>
        <w:rPr>
          <w:b/>
          <w:color w:val="auto"/>
          <w:kern w:val="18"/>
          <w:szCs w:val="21"/>
          <w:highlight w:val="none"/>
        </w:rPr>
        <w:t xml:space="preserve">3.1 </w:t>
      </w:r>
      <w:r>
        <w:rPr>
          <w:rFonts w:hint="eastAsia"/>
          <w:b/>
          <w:color w:val="auto"/>
          <w:kern w:val="18"/>
          <w:szCs w:val="21"/>
          <w:highlight w:val="none"/>
        </w:rPr>
        <w:t>施工阶段</w:t>
      </w:r>
    </w:p>
    <w:p>
      <w:pPr>
        <w:tabs>
          <w:tab w:val="left" w:pos="426"/>
        </w:tabs>
        <w:ind w:firstLine="420" w:firstLineChars="200"/>
        <w:rPr>
          <w:color w:val="auto"/>
          <w:szCs w:val="21"/>
          <w:highlight w:val="none"/>
        </w:rPr>
      </w:pPr>
      <w:r>
        <w:rPr>
          <w:rFonts w:hint="eastAsia"/>
          <w:color w:val="auto"/>
          <w:szCs w:val="21"/>
          <w:highlight w:val="none"/>
        </w:rPr>
        <w:t>为了确保</w:t>
      </w:r>
      <w:r>
        <w:rPr>
          <w:rFonts w:hint="eastAsia"/>
          <w:color w:val="auto"/>
          <w:szCs w:val="21"/>
          <w:highlight w:val="none"/>
          <w:lang w:eastAsia="zh-CN"/>
        </w:rPr>
        <w:t>智慧前海视频云平台二期项目</w:t>
      </w:r>
      <w:r>
        <w:rPr>
          <w:rFonts w:hint="eastAsia"/>
          <w:color w:val="auto"/>
          <w:szCs w:val="21"/>
          <w:highlight w:val="none"/>
        </w:rPr>
        <w:t>监理能够取得预期效果，监理人应帮助委托人实现预期的建设目标，全面维护项目委托人的合法利益。</w:t>
      </w:r>
    </w:p>
    <w:p>
      <w:pPr>
        <w:tabs>
          <w:tab w:val="left" w:pos="426"/>
        </w:tabs>
        <w:ind w:firstLine="420" w:firstLineChars="200"/>
        <w:rPr>
          <w:color w:val="auto"/>
          <w:szCs w:val="21"/>
          <w:highlight w:val="none"/>
        </w:rPr>
      </w:pPr>
      <w:r>
        <w:rPr>
          <w:rFonts w:hint="eastAsia"/>
          <w:color w:val="auto"/>
          <w:szCs w:val="21"/>
          <w:highlight w:val="none"/>
        </w:rPr>
        <w:t>监理人与委托人签订监理合同后，须根据合同的要求，在采购文件、投标文件及合同的基础上编制详细的《项目监理实施细则》，进一步明确监理工作的职责和监理工作程序，指定监理项目部和执行服务的监理工程师，履行</w:t>
      </w:r>
      <w:r>
        <w:rPr>
          <w:rFonts w:hint="eastAsia"/>
          <w:color w:val="auto"/>
          <w:szCs w:val="21"/>
          <w:highlight w:val="none"/>
          <w:lang w:eastAsia="zh-CN"/>
        </w:rPr>
        <w:t>监理人</w:t>
      </w:r>
      <w:r>
        <w:rPr>
          <w:rFonts w:hint="eastAsia"/>
          <w:color w:val="auto"/>
          <w:szCs w:val="21"/>
          <w:highlight w:val="none"/>
        </w:rPr>
        <w:t>的职责和义务，全面维护委托人的合法利益。</w:t>
      </w:r>
    </w:p>
    <w:p>
      <w:pPr>
        <w:tabs>
          <w:tab w:val="left" w:pos="426"/>
        </w:tabs>
        <w:spacing w:line="380" w:lineRule="exact"/>
        <w:ind w:firstLine="420" w:firstLineChars="200"/>
        <w:rPr>
          <w:color w:val="auto"/>
          <w:szCs w:val="21"/>
          <w:highlight w:val="none"/>
        </w:rPr>
      </w:pPr>
      <w:r>
        <w:rPr>
          <w:rFonts w:hint="eastAsia"/>
          <w:color w:val="auto"/>
          <w:szCs w:val="21"/>
          <w:highlight w:val="none"/>
        </w:rPr>
        <w:t>除《专用条件》另有特别约定外，监理服务范围与监理服务工作还包括：</w:t>
      </w:r>
    </w:p>
    <w:p>
      <w:pPr>
        <w:tabs>
          <w:tab w:val="left" w:pos="426"/>
          <w:tab w:val="left" w:pos="480"/>
        </w:tabs>
        <w:spacing w:before="156" w:beforeLines="50" w:after="156" w:afterLines="50"/>
        <w:outlineLvl w:val="2"/>
        <w:rPr>
          <w:rFonts w:ascii="黑体" w:eastAsia="黑体"/>
          <w:color w:val="auto"/>
          <w:sz w:val="24"/>
          <w:highlight w:val="none"/>
        </w:rPr>
      </w:pPr>
      <w:r>
        <w:rPr>
          <w:rFonts w:hint="eastAsia" w:ascii="黑体" w:eastAsia="黑体"/>
          <w:color w:val="auto"/>
          <w:sz w:val="24"/>
          <w:highlight w:val="none"/>
        </w:rPr>
        <w:t xml:space="preserve">   </w:t>
      </w:r>
      <w:bookmarkStart w:id="132" w:name="_Toc13309"/>
      <w:bookmarkStart w:id="133" w:name="_Toc9231"/>
      <w:bookmarkStart w:id="134" w:name="_Toc29519"/>
      <w:bookmarkStart w:id="135" w:name="_Toc7121"/>
      <w:r>
        <w:rPr>
          <w:rFonts w:hint="eastAsia" w:ascii="黑体" w:eastAsia="黑体"/>
          <w:color w:val="auto"/>
          <w:sz w:val="24"/>
          <w:highlight w:val="none"/>
        </w:rPr>
        <w:t>1、监理的服务范围</w:t>
      </w:r>
      <w:bookmarkEnd w:id="132"/>
      <w:bookmarkEnd w:id="133"/>
      <w:bookmarkEnd w:id="134"/>
      <w:bookmarkEnd w:id="135"/>
    </w:p>
    <w:p>
      <w:pPr>
        <w:tabs>
          <w:tab w:val="left" w:pos="426"/>
        </w:tabs>
        <w:ind w:firstLine="420" w:firstLineChars="200"/>
        <w:rPr>
          <w:rFonts w:hint="eastAsia"/>
          <w:szCs w:val="21"/>
          <w:highlight w:val="none"/>
          <w:lang w:val="en-US"/>
        </w:rPr>
      </w:pPr>
      <w:r>
        <w:rPr>
          <w:rFonts w:hint="eastAsia"/>
          <w:szCs w:val="21"/>
          <w:highlight w:val="none"/>
          <w:lang w:val="en-US" w:eastAsia="zh-CN"/>
        </w:rPr>
        <w:t>本项目位于桂湾、前湾、妈湾片区，为加强重要路口、重点区域治安管理，支撑城市管理、重大活动应急保障等需求，对现有盲区进行补盲，同时升级后台应用系统。本项目由前端建设、前端线路配套、智慧城市视频管理应用、智能显控系统、计算存储资源等组成。主要建设内容包括：</w:t>
      </w:r>
    </w:p>
    <w:p>
      <w:pPr>
        <w:tabs>
          <w:tab w:val="left" w:pos="426"/>
        </w:tabs>
        <w:ind w:firstLine="420" w:firstLineChars="200"/>
        <w:rPr>
          <w:rFonts w:hint="eastAsia"/>
          <w:szCs w:val="21"/>
          <w:highlight w:val="none"/>
          <w:lang w:val="en-US"/>
        </w:rPr>
      </w:pPr>
      <w:r>
        <w:rPr>
          <w:rFonts w:hint="eastAsia"/>
          <w:szCs w:val="21"/>
          <w:highlight w:val="none"/>
          <w:lang w:val="en-US" w:eastAsia="zh-CN"/>
        </w:rPr>
        <w:t>（1）前端及配套建设：安装摄像机280台，其中高清球机130台，高清枪机79台，AR制高点摄像机7台，智能人脸抓拍机49台、智能卡口摄像机14台（包含补光灯14台）、临时布控球1套，以及前端线路配套建设，包括管道铺设、电缆光缆敷设、绿化、人行道、机动车道开挖与恢复等，主要针对前海安全生产、前海市政道路、前海出入口及前海合作区内重点部位进行监控。</w:t>
      </w:r>
    </w:p>
    <w:p>
      <w:pPr>
        <w:tabs>
          <w:tab w:val="left" w:pos="426"/>
        </w:tabs>
        <w:ind w:firstLine="420" w:firstLineChars="200"/>
        <w:rPr>
          <w:rFonts w:hint="eastAsia"/>
          <w:szCs w:val="21"/>
          <w:highlight w:val="none"/>
          <w:lang w:val="en-US"/>
        </w:rPr>
      </w:pPr>
      <w:r>
        <w:rPr>
          <w:rFonts w:hint="eastAsia"/>
          <w:szCs w:val="21"/>
          <w:highlight w:val="none"/>
          <w:lang w:val="en-US" w:eastAsia="zh-CN"/>
        </w:rPr>
        <w:t>（2）智慧城市视频管理应用建设：</w:t>
      </w:r>
      <w:r>
        <w:rPr>
          <w:rFonts w:hint="eastAsia" w:ascii="Times New Roman" w:hAnsi="Times New Roman" w:eastAsia="宋体" w:cs="Times New Roman"/>
          <w:kern w:val="2"/>
          <w:sz w:val="21"/>
          <w:szCs w:val="24"/>
          <w:highlight w:val="none"/>
          <w:lang w:val="en-US" w:eastAsia="zh-CN" w:bidi="ar"/>
        </w:rPr>
        <w:t>安装布控报警</w:t>
      </w:r>
      <w:r>
        <w:rPr>
          <w:rFonts w:hint="default" w:ascii="Times New Roman" w:hAnsi="Times New Roman" w:eastAsia="宋体" w:cs="Times New Roman"/>
          <w:kern w:val="2"/>
          <w:sz w:val="21"/>
          <w:szCs w:val="24"/>
          <w:highlight w:val="none"/>
          <w:lang w:val="en-US" w:eastAsia="zh-CN" w:bidi="ar"/>
        </w:rPr>
        <w:t>1</w:t>
      </w:r>
      <w:r>
        <w:rPr>
          <w:rFonts w:hint="eastAsia" w:ascii="Times New Roman" w:hAnsi="Times New Roman" w:eastAsia="宋体" w:cs="Times New Roman"/>
          <w:kern w:val="2"/>
          <w:sz w:val="21"/>
          <w:szCs w:val="24"/>
          <w:highlight w:val="none"/>
          <w:lang w:val="en-US" w:eastAsia="zh-CN" w:bidi="ar"/>
        </w:rPr>
        <w:t>套、智能搜索</w:t>
      </w:r>
      <w:r>
        <w:rPr>
          <w:rFonts w:hint="default" w:ascii="Times New Roman" w:hAnsi="Times New Roman" w:eastAsia="宋体" w:cs="Times New Roman"/>
          <w:kern w:val="2"/>
          <w:sz w:val="21"/>
          <w:szCs w:val="24"/>
          <w:highlight w:val="none"/>
          <w:lang w:val="en-US" w:eastAsia="zh-CN" w:bidi="ar"/>
        </w:rPr>
        <w:t>1</w:t>
      </w:r>
      <w:r>
        <w:rPr>
          <w:rFonts w:hint="eastAsia" w:ascii="Times New Roman" w:hAnsi="Times New Roman" w:eastAsia="宋体" w:cs="Times New Roman"/>
          <w:kern w:val="2"/>
          <w:sz w:val="21"/>
          <w:szCs w:val="24"/>
          <w:highlight w:val="none"/>
          <w:lang w:val="en-US" w:eastAsia="zh-CN" w:bidi="ar"/>
        </w:rPr>
        <w:t>套、人脸应用</w:t>
      </w:r>
      <w:r>
        <w:rPr>
          <w:rFonts w:hint="default" w:ascii="Times New Roman" w:hAnsi="Times New Roman" w:eastAsia="宋体" w:cs="Times New Roman"/>
          <w:kern w:val="2"/>
          <w:sz w:val="21"/>
          <w:szCs w:val="24"/>
          <w:highlight w:val="none"/>
          <w:lang w:val="en-US" w:eastAsia="zh-CN" w:bidi="ar"/>
        </w:rPr>
        <w:t>1</w:t>
      </w:r>
      <w:r>
        <w:rPr>
          <w:rFonts w:hint="eastAsia" w:ascii="Times New Roman" w:hAnsi="Times New Roman" w:eastAsia="宋体" w:cs="Times New Roman"/>
          <w:kern w:val="2"/>
          <w:sz w:val="21"/>
          <w:szCs w:val="24"/>
          <w:highlight w:val="none"/>
          <w:lang w:val="en-US" w:eastAsia="zh-CN" w:bidi="ar"/>
        </w:rPr>
        <w:t>套、车辆应用</w:t>
      </w:r>
      <w:r>
        <w:rPr>
          <w:rFonts w:hint="default" w:ascii="Times New Roman" w:hAnsi="Times New Roman" w:eastAsia="宋体" w:cs="Times New Roman"/>
          <w:kern w:val="2"/>
          <w:sz w:val="21"/>
          <w:szCs w:val="24"/>
          <w:highlight w:val="none"/>
          <w:lang w:val="en-US" w:eastAsia="zh-CN" w:bidi="ar"/>
        </w:rPr>
        <w:t>1</w:t>
      </w:r>
      <w:r>
        <w:rPr>
          <w:rFonts w:hint="eastAsia" w:ascii="Times New Roman" w:hAnsi="Times New Roman" w:eastAsia="宋体" w:cs="Times New Roman"/>
          <w:kern w:val="2"/>
          <w:sz w:val="21"/>
          <w:szCs w:val="24"/>
          <w:highlight w:val="none"/>
          <w:lang w:val="en-US" w:eastAsia="zh-CN" w:bidi="ar"/>
        </w:rPr>
        <w:t>套、城管智能巡查应用</w:t>
      </w:r>
      <w:r>
        <w:rPr>
          <w:rFonts w:hint="default" w:ascii="Times New Roman" w:hAnsi="Times New Roman" w:eastAsia="宋体" w:cs="Times New Roman"/>
          <w:kern w:val="2"/>
          <w:sz w:val="21"/>
          <w:szCs w:val="24"/>
          <w:highlight w:val="none"/>
          <w:lang w:val="en-US" w:eastAsia="zh-CN" w:bidi="ar"/>
        </w:rPr>
        <w:t>1</w:t>
      </w:r>
      <w:r>
        <w:rPr>
          <w:rFonts w:hint="eastAsia" w:ascii="Times New Roman" w:hAnsi="Times New Roman" w:eastAsia="宋体" w:cs="Times New Roman"/>
          <w:kern w:val="2"/>
          <w:sz w:val="21"/>
          <w:szCs w:val="24"/>
          <w:highlight w:val="none"/>
          <w:lang w:val="en-US" w:eastAsia="zh-CN" w:bidi="ar"/>
        </w:rPr>
        <w:t>套、</w:t>
      </w:r>
      <w:r>
        <w:rPr>
          <w:rFonts w:hint="default" w:ascii="Times New Roman" w:hAnsi="Times New Roman" w:eastAsia="宋体" w:cs="Times New Roman"/>
          <w:kern w:val="2"/>
          <w:sz w:val="21"/>
          <w:szCs w:val="24"/>
          <w:highlight w:val="none"/>
          <w:lang w:val="en-US" w:eastAsia="zh-CN" w:bidi="ar"/>
        </w:rPr>
        <w:t>AR</w:t>
      </w:r>
      <w:r>
        <w:rPr>
          <w:rFonts w:hint="eastAsia" w:ascii="Times New Roman" w:hAnsi="Times New Roman" w:eastAsia="宋体" w:cs="Times New Roman"/>
          <w:kern w:val="2"/>
          <w:sz w:val="21"/>
          <w:szCs w:val="24"/>
          <w:highlight w:val="none"/>
          <w:lang w:val="en-US" w:eastAsia="zh-CN" w:bidi="ar"/>
        </w:rPr>
        <w:t>实景地图应用</w:t>
      </w:r>
      <w:r>
        <w:rPr>
          <w:rFonts w:hint="default" w:ascii="Times New Roman" w:hAnsi="Times New Roman" w:eastAsia="宋体" w:cs="Times New Roman"/>
          <w:kern w:val="2"/>
          <w:sz w:val="21"/>
          <w:szCs w:val="24"/>
          <w:highlight w:val="none"/>
          <w:lang w:val="en-US" w:eastAsia="zh-CN" w:bidi="ar"/>
        </w:rPr>
        <w:t>1</w:t>
      </w:r>
      <w:r>
        <w:rPr>
          <w:rFonts w:hint="eastAsia" w:ascii="Times New Roman" w:hAnsi="Times New Roman" w:eastAsia="宋体" w:cs="Times New Roman"/>
          <w:kern w:val="2"/>
          <w:sz w:val="21"/>
          <w:szCs w:val="24"/>
          <w:highlight w:val="none"/>
          <w:lang w:val="en-US" w:eastAsia="zh-CN" w:bidi="ar"/>
        </w:rPr>
        <w:t>套。升级平台功能，提升人脸识别、车辆识别和智能快速搜索功能；通过对平台整合的高清视频资源进行智能分析处理，针对影响市容环境、环境卫生等不良行为进行分析和自动告警，并能够根据素材进行不断的机器学习和完善优化。</w:t>
      </w:r>
    </w:p>
    <w:p>
      <w:pPr>
        <w:tabs>
          <w:tab w:val="left" w:pos="426"/>
        </w:tabs>
        <w:ind w:firstLine="420" w:firstLineChars="200"/>
        <w:rPr>
          <w:rFonts w:hint="eastAsia"/>
          <w:szCs w:val="21"/>
          <w:highlight w:val="none"/>
          <w:lang w:val="en-US"/>
        </w:rPr>
      </w:pPr>
      <w:r>
        <w:rPr>
          <w:rFonts w:hint="eastAsia"/>
          <w:szCs w:val="21"/>
          <w:highlight w:val="none"/>
          <w:lang w:val="en-US" w:eastAsia="zh-CN"/>
        </w:rPr>
        <w:t>（3）智能显控系统建设：安装数据沙盘1套，对接现有管理平台的数据以及其他各类业务系统数据，提供数据可视化平台。</w:t>
      </w:r>
    </w:p>
    <w:p>
      <w:pPr>
        <w:tabs>
          <w:tab w:val="left" w:pos="426"/>
        </w:tabs>
        <w:ind w:firstLine="420" w:firstLineChars="200"/>
        <w:rPr>
          <w:rFonts w:hint="eastAsia"/>
          <w:szCs w:val="21"/>
          <w:highlight w:val="none"/>
        </w:rPr>
      </w:pPr>
      <w:r>
        <w:rPr>
          <w:rFonts w:hint="eastAsia"/>
          <w:szCs w:val="21"/>
          <w:highlight w:val="none"/>
          <w:lang w:val="en-US" w:eastAsia="zh-CN"/>
        </w:rPr>
        <w:t>（4）计算存储资源扩容：安装服务器8台、交换机2台、智慧城管分析一体机1台、视频云存储设备8台</w:t>
      </w:r>
      <w:r>
        <w:rPr>
          <w:rFonts w:hint="eastAsia" w:ascii="Times New Roman" w:hAnsi="Times New Roman" w:eastAsia="宋体" w:cs="Times New Roman"/>
          <w:kern w:val="2"/>
          <w:sz w:val="21"/>
          <w:szCs w:val="24"/>
          <w:highlight w:val="none"/>
          <w:lang w:val="en-US" w:eastAsia="zh-CN" w:bidi="ar"/>
        </w:rPr>
        <w:t>，支撑前端摄像头视频资源存储及相关应用建设</w:t>
      </w:r>
      <w:r>
        <w:rPr>
          <w:rFonts w:hint="eastAsia"/>
          <w:szCs w:val="21"/>
          <w:highlight w:val="none"/>
          <w:lang w:val="en-US" w:eastAsia="zh-CN"/>
        </w:rPr>
        <w:t>。</w:t>
      </w:r>
    </w:p>
    <w:p>
      <w:pPr>
        <w:shd w:val="clear" w:color="auto" w:fill="FFFFFF"/>
        <w:tabs>
          <w:tab w:val="left" w:pos="426"/>
        </w:tabs>
        <w:spacing w:beforeLines="0" w:afterLines="0"/>
        <w:ind w:firstLine="420" w:firstLineChars="200"/>
        <w:rPr>
          <w:rFonts w:ascii="黑体" w:eastAsia="黑体"/>
          <w:color w:val="auto"/>
          <w:sz w:val="24"/>
          <w:highlight w:val="none"/>
        </w:rPr>
      </w:pPr>
      <w:r>
        <w:rPr>
          <w:rFonts w:hint="eastAsia"/>
          <w:szCs w:val="21"/>
          <w:highlight w:val="none"/>
        </w:rPr>
        <w:t>（</w:t>
      </w:r>
      <w:r>
        <w:rPr>
          <w:rFonts w:hint="eastAsia"/>
          <w:szCs w:val="21"/>
          <w:highlight w:val="none"/>
          <w:lang w:val="en-US" w:eastAsia="zh-CN"/>
        </w:rPr>
        <w:t>5</w:t>
      </w:r>
      <w:r>
        <w:rPr>
          <w:rFonts w:hint="eastAsia"/>
          <w:szCs w:val="21"/>
          <w:highlight w:val="none"/>
        </w:rPr>
        <w:t>）</w:t>
      </w:r>
      <w:r>
        <w:rPr>
          <w:rFonts w:hint="eastAsia"/>
          <w:szCs w:val="21"/>
          <w:highlight w:val="none"/>
          <w:lang w:eastAsia="zh-CN"/>
        </w:rPr>
        <w:t>根据需要，</w:t>
      </w:r>
      <w:r>
        <w:rPr>
          <w:rFonts w:hint="eastAsia"/>
          <w:szCs w:val="21"/>
          <w:highlight w:val="none"/>
        </w:rPr>
        <w:t>与前海已有的视频需求资源对接</w:t>
      </w:r>
      <w:r>
        <w:rPr>
          <w:rFonts w:hint="eastAsia"/>
          <w:szCs w:val="21"/>
          <w:highlight w:val="none"/>
          <w:lang w:eastAsia="zh-CN"/>
        </w:rPr>
        <w:t>，配合完成与其他政府部门视频联网对接，以及与前海管理局其他业务系统对接</w:t>
      </w:r>
      <w:r>
        <w:rPr>
          <w:rFonts w:hint="eastAsia"/>
          <w:szCs w:val="21"/>
          <w:highlight w:val="none"/>
        </w:rPr>
        <w:t>。</w:t>
      </w:r>
    </w:p>
    <w:p>
      <w:pPr>
        <w:tabs>
          <w:tab w:val="left" w:pos="426"/>
          <w:tab w:val="left" w:pos="480"/>
        </w:tabs>
        <w:spacing w:before="156" w:beforeLines="50" w:after="156" w:afterLines="50"/>
        <w:outlineLvl w:val="2"/>
        <w:rPr>
          <w:rFonts w:ascii="黑体" w:eastAsia="黑体"/>
          <w:color w:val="auto"/>
          <w:sz w:val="24"/>
          <w:highlight w:val="none"/>
        </w:rPr>
      </w:pPr>
      <w:r>
        <w:rPr>
          <w:rFonts w:hint="eastAsia" w:ascii="黑体" w:eastAsia="黑体"/>
          <w:color w:val="auto"/>
          <w:sz w:val="24"/>
          <w:highlight w:val="none"/>
        </w:rPr>
        <w:t xml:space="preserve">   </w:t>
      </w:r>
      <w:bookmarkStart w:id="136" w:name="_Toc12004"/>
      <w:bookmarkStart w:id="137" w:name="_Toc15405"/>
      <w:bookmarkStart w:id="138" w:name="_Toc17537"/>
      <w:bookmarkStart w:id="139" w:name="_Toc3835"/>
      <w:r>
        <w:rPr>
          <w:rFonts w:hint="eastAsia" w:ascii="黑体" w:eastAsia="黑体"/>
          <w:color w:val="auto"/>
          <w:sz w:val="24"/>
          <w:highlight w:val="none"/>
        </w:rPr>
        <w:t>2、项目管理要求</w:t>
      </w:r>
      <w:bookmarkEnd w:id="136"/>
      <w:bookmarkEnd w:id="137"/>
      <w:bookmarkEnd w:id="138"/>
      <w:bookmarkEnd w:id="139"/>
    </w:p>
    <w:p>
      <w:pPr>
        <w:tabs>
          <w:tab w:val="left" w:pos="426"/>
        </w:tabs>
        <w:ind w:firstLine="420" w:firstLineChars="200"/>
        <w:rPr>
          <w:color w:val="auto"/>
          <w:szCs w:val="21"/>
          <w:highlight w:val="none"/>
        </w:rPr>
      </w:pPr>
      <w:r>
        <w:rPr>
          <w:rFonts w:hint="eastAsia"/>
          <w:color w:val="auto"/>
          <w:szCs w:val="21"/>
          <w:highlight w:val="none"/>
        </w:rPr>
        <w:t>2．1、项目人员安排要求</w:t>
      </w:r>
    </w:p>
    <w:p>
      <w:pPr>
        <w:tabs>
          <w:tab w:val="left" w:pos="426"/>
        </w:tabs>
        <w:ind w:firstLine="420" w:firstLineChars="200"/>
        <w:rPr>
          <w:rFonts w:hint="eastAsia"/>
          <w:color w:val="auto"/>
          <w:szCs w:val="21"/>
          <w:highlight w:val="none"/>
          <w:lang w:val="en-US" w:eastAsia="zh-CN"/>
        </w:rPr>
      </w:pPr>
      <w:r>
        <w:rPr>
          <w:rFonts w:hint="eastAsia"/>
          <w:color w:val="auto"/>
          <w:szCs w:val="21"/>
          <w:highlight w:val="none"/>
        </w:rPr>
        <w:t>2．1.1人员数量要求：</w:t>
      </w:r>
      <w:r>
        <w:rPr>
          <w:rFonts w:hint="eastAsia"/>
          <w:szCs w:val="21"/>
        </w:rPr>
        <w:t>中标单位在本项目必须有2名常驻现场监理工程师，总监理工程师必须保证每天到项目现场；中标单位应设置1名机动监理人员，根据项目进度安排及招标单位要求进场开展监理工作。</w:t>
      </w:r>
    </w:p>
    <w:p>
      <w:pPr>
        <w:tabs>
          <w:tab w:val="left" w:pos="426"/>
        </w:tabs>
        <w:ind w:firstLine="420" w:firstLineChars="200"/>
        <w:rPr>
          <w:color w:val="auto"/>
          <w:szCs w:val="21"/>
          <w:highlight w:val="none"/>
        </w:rPr>
      </w:pPr>
      <w:r>
        <w:rPr>
          <w:rFonts w:hint="eastAsia"/>
          <w:color w:val="auto"/>
          <w:szCs w:val="21"/>
          <w:highlight w:val="none"/>
        </w:rPr>
        <w:t>2．1.2</w:t>
      </w:r>
      <w:r>
        <w:rPr>
          <w:rFonts w:hint="eastAsia"/>
          <w:color w:val="auto"/>
          <w:szCs w:val="21"/>
          <w:highlight w:val="none"/>
          <w:lang w:val="en-US" w:eastAsia="zh-CN"/>
        </w:rPr>
        <w:t>委托人</w:t>
      </w:r>
      <w:r>
        <w:rPr>
          <w:rFonts w:hint="eastAsia"/>
          <w:color w:val="auto"/>
          <w:szCs w:val="21"/>
          <w:highlight w:val="none"/>
        </w:rPr>
        <w:t>拟投入本项目的项目负责人及项目团队成员应具有相关工作经验，其职称、学位、证书、资历等相关情况</w:t>
      </w:r>
      <w:r>
        <w:rPr>
          <w:rFonts w:hint="eastAsia"/>
          <w:color w:val="auto"/>
          <w:szCs w:val="21"/>
          <w:highlight w:val="none"/>
          <w:lang w:val="en-US" w:eastAsia="zh-CN"/>
        </w:rPr>
        <w:t>应满足项目开展监理工作的要求</w:t>
      </w:r>
      <w:r>
        <w:rPr>
          <w:rFonts w:hint="eastAsia"/>
          <w:color w:val="auto"/>
          <w:szCs w:val="21"/>
          <w:highlight w:val="none"/>
        </w:rPr>
        <w:t>。</w:t>
      </w:r>
    </w:p>
    <w:p>
      <w:pPr>
        <w:tabs>
          <w:tab w:val="left" w:pos="426"/>
        </w:tabs>
        <w:ind w:firstLine="420" w:firstLineChars="200"/>
        <w:rPr>
          <w:color w:val="auto"/>
          <w:szCs w:val="21"/>
          <w:highlight w:val="none"/>
        </w:rPr>
      </w:pPr>
      <w:r>
        <w:rPr>
          <w:rFonts w:hint="eastAsia"/>
          <w:color w:val="auto"/>
          <w:szCs w:val="21"/>
          <w:highlight w:val="none"/>
        </w:rPr>
        <w:t>2．1.3未经</w:t>
      </w:r>
      <w:r>
        <w:rPr>
          <w:rFonts w:hint="eastAsia"/>
          <w:color w:val="auto"/>
          <w:szCs w:val="21"/>
          <w:highlight w:val="none"/>
          <w:lang w:val="en-US" w:eastAsia="zh-CN"/>
        </w:rPr>
        <w:t>委托人</w:t>
      </w:r>
      <w:r>
        <w:rPr>
          <w:rFonts w:hint="eastAsia"/>
          <w:color w:val="auto"/>
          <w:szCs w:val="21"/>
          <w:highlight w:val="none"/>
        </w:rPr>
        <w:t>同意，</w:t>
      </w:r>
      <w:r>
        <w:rPr>
          <w:rFonts w:hint="eastAsia"/>
          <w:color w:val="auto"/>
          <w:szCs w:val="21"/>
          <w:highlight w:val="none"/>
          <w:lang w:val="en-US" w:eastAsia="zh-CN"/>
        </w:rPr>
        <w:t>监理人</w:t>
      </w:r>
      <w:r>
        <w:rPr>
          <w:rFonts w:hint="eastAsia"/>
          <w:color w:val="auto"/>
          <w:szCs w:val="21"/>
          <w:highlight w:val="none"/>
        </w:rPr>
        <w:t>不得随意更换总监理工程师和现场监理工程师。</w:t>
      </w:r>
    </w:p>
    <w:p>
      <w:pPr>
        <w:tabs>
          <w:tab w:val="left" w:pos="426"/>
        </w:tabs>
        <w:ind w:firstLine="420" w:firstLineChars="200"/>
        <w:rPr>
          <w:color w:val="auto"/>
          <w:szCs w:val="21"/>
          <w:highlight w:val="none"/>
        </w:rPr>
      </w:pPr>
      <w:r>
        <w:rPr>
          <w:rFonts w:hint="eastAsia"/>
          <w:color w:val="auto"/>
          <w:szCs w:val="21"/>
          <w:highlight w:val="none"/>
        </w:rPr>
        <w:t>当监理工程师发生以下所列行为之一的，经</w:t>
      </w:r>
      <w:r>
        <w:rPr>
          <w:rFonts w:hint="eastAsia"/>
          <w:color w:val="auto"/>
          <w:szCs w:val="21"/>
          <w:highlight w:val="none"/>
          <w:lang w:val="en-US" w:eastAsia="zh-CN"/>
        </w:rPr>
        <w:t>承包人</w:t>
      </w:r>
      <w:r>
        <w:rPr>
          <w:rFonts w:hint="eastAsia"/>
          <w:color w:val="auto"/>
          <w:szCs w:val="21"/>
          <w:highlight w:val="none"/>
        </w:rPr>
        <w:t>或</w:t>
      </w:r>
      <w:r>
        <w:rPr>
          <w:rFonts w:hint="eastAsia"/>
          <w:color w:val="auto"/>
          <w:szCs w:val="21"/>
          <w:highlight w:val="none"/>
          <w:lang w:val="en-US" w:eastAsia="zh-CN"/>
        </w:rPr>
        <w:t>委托人</w:t>
      </w:r>
      <w:r>
        <w:rPr>
          <w:rFonts w:hint="eastAsia"/>
          <w:color w:val="auto"/>
          <w:szCs w:val="21"/>
          <w:highlight w:val="none"/>
        </w:rPr>
        <w:t>要求，可以更换监理工程师：</w:t>
      </w:r>
    </w:p>
    <w:p>
      <w:pPr>
        <w:tabs>
          <w:tab w:val="left" w:pos="426"/>
        </w:tabs>
        <w:ind w:firstLine="420" w:firstLineChars="200"/>
        <w:rPr>
          <w:color w:val="auto"/>
          <w:szCs w:val="21"/>
          <w:highlight w:val="none"/>
        </w:rPr>
      </w:pPr>
      <w:r>
        <w:rPr>
          <w:rFonts w:hint="eastAsia"/>
          <w:color w:val="auto"/>
          <w:szCs w:val="21"/>
          <w:highlight w:val="none"/>
        </w:rPr>
        <w:t>1）在项目管理中不到岗或未认真履行岗位职责；</w:t>
      </w:r>
    </w:p>
    <w:p>
      <w:pPr>
        <w:tabs>
          <w:tab w:val="left" w:pos="426"/>
        </w:tabs>
        <w:ind w:firstLine="420" w:firstLineChars="200"/>
        <w:rPr>
          <w:color w:val="auto"/>
          <w:szCs w:val="21"/>
          <w:highlight w:val="none"/>
        </w:rPr>
      </w:pPr>
      <w:r>
        <w:rPr>
          <w:rFonts w:hint="eastAsia"/>
          <w:color w:val="auto"/>
          <w:szCs w:val="21"/>
          <w:highlight w:val="none"/>
        </w:rPr>
        <w:t>2）管理的项目发生重大质量、安全责任事故；</w:t>
      </w:r>
    </w:p>
    <w:p>
      <w:pPr>
        <w:tabs>
          <w:tab w:val="left" w:pos="426"/>
        </w:tabs>
        <w:ind w:firstLine="420" w:firstLineChars="200"/>
        <w:rPr>
          <w:color w:val="auto"/>
          <w:szCs w:val="21"/>
          <w:highlight w:val="none"/>
        </w:rPr>
      </w:pPr>
      <w:r>
        <w:rPr>
          <w:rFonts w:hint="eastAsia"/>
          <w:color w:val="auto"/>
          <w:szCs w:val="21"/>
          <w:highlight w:val="none"/>
        </w:rPr>
        <w:t>3）严重违法违规行为；</w:t>
      </w:r>
    </w:p>
    <w:p>
      <w:pPr>
        <w:tabs>
          <w:tab w:val="left" w:pos="426"/>
        </w:tabs>
        <w:ind w:firstLine="420" w:firstLineChars="200"/>
        <w:rPr>
          <w:color w:val="auto"/>
          <w:szCs w:val="21"/>
          <w:highlight w:val="none"/>
        </w:rPr>
      </w:pPr>
      <w:r>
        <w:rPr>
          <w:rFonts w:hint="eastAsia"/>
          <w:color w:val="auto"/>
          <w:szCs w:val="21"/>
          <w:highlight w:val="none"/>
        </w:rPr>
        <w:t>4）因身体原因（应有市级及以上医院证明）不能胜任项目管理工作的；</w:t>
      </w:r>
    </w:p>
    <w:p>
      <w:pPr>
        <w:tabs>
          <w:tab w:val="left" w:pos="426"/>
        </w:tabs>
        <w:ind w:firstLine="420" w:firstLineChars="200"/>
        <w:rPr>
          <w:color w:val="auto"/>
          <w:szCs w:val="21"/>
          <w:highlight w:val="none"/>
        </w:rPr>
      </w:pPr>
      <w:r>
        <w:rPr>
          <w:rFonts w:hint="eastAsia"/>
          <w:color w:val="auto"/>
          <w:szCs w:val="21"/>
          <w:highlight w:val="none"/>
        </w:rPr>
        <w:t>5）其它不可抗拒的原因。</w:t>
      </w:r>
    </w:p>
    <w:p>
      <w:pPr>
        <w:tabs>
          <w:tab w:val="left" w:pos="426"/>
        </w:tabs>
        <w:ind w:firstLine="420" w:firstLineChars="200"/>
        <w:rPr>
          <w:color w:val="auto"/>
          <w:szCs w:val="21"/>
          <w:highlight w:val="none"/>
        </w:rPr>
      </w:pPr>
      <w:r>
        <w:rPr>
          <w:rFonts w:hint="eastAsia"/>
          <w:color w:val="auto"/>
          <w:szCs w:val="21"/>
          <w:highlight w:val="none"/>
        </w:rPr>
        <w:t>2．2、项目其他要求</w:t>
      </w:r>
    </w:p>
    <w:p>
      <w:pPr>
        <w:tabs>
          <w:tab w:val="left" w:pos="426"/>
        </w:tabs>
        <w:ind w:firstLine="420" w:firstLineChars="200"/>
        <w:rPr>
          <w:color w:val="auto"/>
          <w:szCs w:val="21"/>
          <w:highlight w:val="none"/>
        </w:rPr>
      </w:pPr>
      <w:r>
        <w:rPr>
          <w:rFonts w:hint="eastAsia"/>
          <w:color w:val="auto"/>
          <w:szCs w:val="21"/>
          <w:highlight w:val="none"/>
        </w:rPr>
        <w:t>2.2.1项目监理重点难点分析</w:t>
      </w:r>
    </w:p>
    <w:p>
      <w:pPr>
        <w:tabs>
          <w:tab w:val="left" w:pos="426"/>
        </w:tabs>
        <w:ind w:firstLine="420" w:firstLineChars="200"/>
        <w:rPr>
          <w:color w:val="auto"/>
          <w:szCs w:val="21"/>
          <w:highlight w:val="none"/>
        </w:rPr>
      </w:pPr>
      <w:r>
        <w:rPr>
          <w:rFonts w:hint="eastAsia"/>
          <w:color w:val="auto"/>
          <w:szCs w:val="21"/>
          <w:highlight w:val="none"/>
          <w:lang w:val="en-US" w:eastAsia="zh-CN"/>
        </w:rPr>
        <w:t>监理人</w:t>
      </w:r>
      <w:r>
        <w:rPr>
          <w:rFonts w:hint="eastAsia"/>
          <w:color w:val="auto"/>
          <w:szCs w:val="21"/>
          <w:highlight w:val="none"/>
        </w:rPr>
        <w:t>应根据建设工程涉及面广、涉及部门多、建设规模大、建设内容多、建设难度大的特点，从实际出发分析本项目监理工作的重点、难点，并根据分析的结果制定相应的监理工作规划、对策和策略，以便日后有针对性的开展信息系统工程的监理服务工作。</w:t>
      </w:r>
    </w:p>
    <w:p>
      <w:pPr>
        <w:tabs>
          <w:tab w:val="left" w:pos="426"/>
        </w:tabs>
        <w:ind w:firstLine="420" w:firstLineChars="200"/>
        <w:rPr>
          <w:color w:val="auto"/>
          <w:szCs w:val="21"/>
          <w:highlight w:val="none"/>
        </w:rPr>
      </w:pPr>
      <w:r>
        <w:rPr>
          <w:rFonts w:hint="eastAsia"/>
          <w:color w:val="auto"/>
          <w:szCs w:val="21"/>
          <w:highlight w:val="none"/>
        </w:rPr>
        <w:t>2.2.2监理工作验收</w:t>
      </w:r>
    </w:p>
    <w:p>
      <w:pPr>
        <w:tabs>
          <w:tab w:val="left" w:pos="426"/>
        </w:tabs>
        <w:ind w:firstLine="420" w:firstLineChars="200"/>
        <w:rPr>
          <w:color w:val="auto"/>
          <w:szCs w:val="21"/>
          <w:highlight w:val="none"/>
        </w:rPr>
      </w:pPr>
      <w:r>
        <w:rPr>
          <w:rFonts w:hint="eastAsia"/>
          <w:color w:val="auto"/>
          <w:szCs w:val="21"/>
          <w:highlight w:val="none"/>
        </w:rPr>
        <w:t>1）通过审核监理</w:t>
      </w:r>
      <w:r>
        <w:rPr>
          <w:rFonts w:hint="eastAsia"/>
          <w:color w:val="auto"/>
          <w:highlight w:val="none"/>
          <w:lang w:val="en-US" w:eastAsia="zh-CN"/>
        </w:rPr>
        <w:t>人</w:t>
      </w:r>
      <w:r>
        <w:rPr>
          <w:rFonts w:hint="eastAsia"/>
          <w:color w:val="auto"/>
          <w:szCs w:val="21"/>
          <w:highlight w:val="none"/>
        </w:rPr>
        <w:t>应提交的各类监理文档和最终监理总结报告，综合评估</w:t>
      </w:r>
      <w:r>
        <w:rPr>
          <w:rFonts w:hint="eastAsia"/>
          <w:color w:val="auto"/>
          <w:szCs w:val="21"/>
          <w:highlight w:val="none"/>
          <w:lang w:val="en-US" w:eastAsia="zh-CN"/>
        </w:rPr>
        <w:t>监理人</w:t>
      </w:r>
      <w:r>
        <w:rPr>
          <w:rFonts w:hint="eastAsia"/>
          <w:color w:val="auto"/>
          <w:szCs w:val="21"/>
          <w:highlight w:val="none"/>
        </w:rPr>
        <w:t>在项目建设进度、质量把关、重难点问题解决、项目投资等方面的监理情况。在文档齐全，项目建设过程中没有出现重大质量事故，项目整体通过验收前提下予以验收。</w:t>
      </w:r>
    </w:p>
    <w:p>
      <w:pPr>
        <w:tabs>
          <w:tab w:val="left" w:pos="426"/>
        </w:tabs>
        <w:ind w:firstLine="420" w:firstLineChars="200"/>
        <w:rPr>
          <w:rFonts w:ascii="黑体" w:eastAsia="黑体"/>
          <w:color w:val="auto"/>
          <w:sz w:val="24"/>
          <w:highlight w:val="none"/>
        </w:rPr>
      </w:pPr>
      <w:r>
        <w:rPr>
          <w:rFonts w:hint="eastAsia"/>
          <w:color w:val="auto"/>
          <w:szCs w:val="21"/>
          <w:highlight w:val="none"/>
        </w:rPr>
        <w:t>2）本监理工作的最终验收由双方联合组织验收小组验收。</w:t>
      </w:r>
    </w:p>
    <w:p>
      <w:pPr>
        <w:tabs>
          <w:tab w:val="left" w:pos="426"/>
          <w:tab w:val="left" w:pos="480"/>
        </w:tabs>
        <w:spacing w:before="156" w:beforeLines="50" w:after="156" w:afterLines="50"/>
        <w:outlineLvl w:val="2"/>
        <w:rPr>
          <w:rFonts w:ascii="黑体" w:eastAsia="黑体"/>
          <w:color w:val="auto"/>
          <w:sz w:val="24"/>
          <w:highlight w:val="none"/>
        </w:rPr>
      </w:pPr>
      <w:r>
        <w:rPr>
          <w:rFonts w:hint="eastAsia" w:ascii="黑体" w:eastAsia="黑体"/>
          <w:color w:val="auto"/>
          <w:sz w:val="24"/>
          <w:highlight w:val="none"/>
        </w:rPr>
        <w:t xml:space="preserve">   </w:t>
      </w:r>
      <w:bookmarkStart w:id="140" w:name="_Toc11968"/>
      <w:bookmarkStart w:id="141" w:name="_Toc15442"/>
      <w:bookmarkStart w:id="142" w:name="_Toc14259"/>
      <w:bookmarkStart w:id="143" w:name="_Toc30096"/>
      <w:r>
        <w:rPr>
          <w:rFonts w:hint="eastAsia" w:ascii="黑体" w:eastAsia="黑体"/>
          <w:color w:val="auto"/>
          <w:sz w:val="24"/>
          <w:highlight w:val="none"/>
        </w:rPr>
        <w:t>3、项目技术要求</w:t>
      </w:r>
      <w:bookmarkEnd w:id="140"/>
      <w:bookmarkEnd w:id="141"/>
      <w:bookmarkEnd w:id="142"/>
      <w:bookmarkEnd w:id="143"/>
    </w:p>
    <w:p>
      <w:pPr>
        <w:tabs>
          <w:tab w:val="left" w:pos="426"/>
        </w:tabs>
        <w:ind w:firstLine="420" w:firstLineChars="200"/>
        <w:rPr>
          <w:color w:val="auto"/>
          <w:szCs w:val="21"/>
          <w:highlight w:val="none"/>
        </w:rPr>
      </w:pPr>
      <w:r>
        <w:rPr>
          <w:rFonts w:hint="eastAsia"/>
          <w:color w:val="auto"/>
          <w:szCs w:val="21"/>
          <w:highlight w:val="none"/>
        </w:rPr>
        <w:t>以项目建设合同、监理委托合同、国家有关法规、技术规范与标准、项目</w:t>
      </w:r>
      <w:r>
        <w:rPr>
          <w:rFonts w:hint="eastAsia"/>
          <w:color w:val="auto"/>
          <w:szCs w:val="21"/>
          <w:highlight w:val="none"/>
          <w:lang w:eastAsia="zh-CN"/>
        </w:rPr>
        <w:t>委托人</w:t>
      </w:r>
      <w:r>
        <w:rPr>
          <w:rFonts w:hint="eastAsia"/>
          <w:color w:val="auto"/>
          <w:szCs w:val="21"/>
          <w:highlight w:val="none"/>
        </w:rPr>
        <w:t>需求为依据，协助</w:t>
      </w:r>
      <w:r>
        <w:rPr>
          <w:rFonts w:hint="eastAsia"/>
          <w:color w:val="auto"/>
          <w:szCs w:val="21"/>
          <w:highlight w:val="none"/>
          <w:lang w:eastAsia="zh-CN"/>
        </w:rPr>
        <w:t>委托人</w:t>
      </w:r>
      <w:r>
        <w:rPr>
          <w:rFonts w:hint="eastAsia"/>
          <w:color w:val="auto"/>
          <w:szCs w:val="21"/>
          <w:highlight w:val="none"/>
        </w:rPr>
        <w:t>全面地进行深化设计、项目管理、技术咨询和技术监督，对项目全过程进行咨询、监督、管理、指导、评价，并采取相应的组织措施、技术措施、经济措施和合同措施，确保建设行为合法、合理、科学、经济，使建设进度、投资、质量达到建设合同规定的目标。主要包括：</w:t>
      </w:r>
    </w:p>
    <w:p>
      <w:pPr>
        <w:tabs>
          <w:tab w:val="left" w:pos="426"/>
        </w:tabs>
        <w:ind w:firstLine="420" w:firstLineChars="200"/>
        <w:rPr>
          <w:color w:val="auto"/>
          <w:szCs w:val="21"/>
          <w:highlight w:val="none"/>
        </w:rPr>
      </w:pPr>
      <w:r>
        <w:rPr>
          <w:rFonts w:hint="eastAsia"/>
          <w:color w:val="auto"/>
          <w:szCs w:val="21"/>
          <w:highlight w:val="none"/>
        </w:rPr>
        <w:t>3.1、投资目标</w:t>
      </w:r>
    </w:p>
    <w:p>
      <w:pPr>
        <w:tabs>
          <w:tab w:val="left" w:pos="426"/>
        </w:tabs>
        <w:ind w:firstLine="420" w:firstLineChars="200"/>
        <w:rPr>
          <w:color w:val="auto"/>
          <w:szCs w:val="21"/>
          <w:highlight w:val="none"/>
        </w:rPr>
      </w:pPr>
      <w:r>
        <w:rPr>
          <w:rFonts w:hint="eastAsia"/>
          <w:color w:val="auto"/>
          <w:szCs w:val="21"/>
          <w:highlight w:val="none"/>
        </w:rPr>
        <w:t>通过对项目实施方案的优化，确保投资控制在合理、性价比高的范围内，并为</w:t>
      </w:r>
      <w:r>
        <w:rPr>
          <w:rFonts w:hint="eastAsia"/>
          <w:color w:val="auto"/>
          <w:szCs w:val="21"/>
          <w:highlight w:val="none"/>
          <w:lang w:eastAsia="zh-CN"/>
        </w:rPr>
        <w:t>委托人</w:t>
      </w:r>
      <w:r>
        <w:rPr>
          <w:rFonts w:hint="eastAsia"/>
          <w:color w:val="auto"/>
          <w:szCs w:val="21"/>
          <w:highlight w:val="none"/>
        </w:rPr>
        <w:t>付款提供足够的依据；协助</w:t>
      </w:r>
      <w:r>
        <w:rPr>
          <w:rFonts w:hint="eastAsia"/>
          <w:color w:val="auto"/>
          <w:szCs w:val="21"/>
          <w:highlight w:val="none"/>
          <w:lang w:eastAsia="zh-CN"/>
        </w:rPr>
        <w:t>委托人</w:t>
      </w:r>
      <w:r>
        <w:rPr>
          <w:rFonts w:hint="eastAsia"/>
          <w:color w:val="auto"/>
          <w:szCs w:val="21"/>
          <w:highlight w:val="none"/>
        </w:rPr>
        <w:t>做好项目支付预算的现金流量表，将付款进度与项目质量和进度结合起来；制定相关的变更控制流程，严格控制系统建设过程中各类设计变更，保证</w:t>
      </w:r>
      <w:r>
        <w:rPr>
          <w:rFonts w:hint="eastAsia"/>
          <w:color w:val="auto"/>
          <w:szCs w:val="21"/>
          <w:highlight w:val="none"/>
          <w:lang w:eastAsia="zh-CN"/>
        </w:rPr>
        <w:t>委托人</w:t>
      </w:r>
      <w:r>
        <w:rPr>
          <w:rFonts w:hint="eastAsia"/>
          <w:color w:val="auto"/>
          <w:szCs w:val="21"/>
          <w:highlight w:val="none"/>
        </w:rPr>
        <w:t>投资的效果；当发现资金使用严重偏离计划时，应及时指出，并提出对策建议，同时督促承建单位尽快采取措施。</w:t>
      </w:r>
    </w:p>
    <w:p>
      <w:pPr>
        <w:tabs>
          <w:tab w:val="left" w:pos="426"/>
        </w:tabs>
        <w:ind w:firstLine="420" w:firstLineChars="200"/>
        <w:rPr>
          <w:color w:val="auto"/>
          <w:szCs w:val="21"/>
          <w:highlight w:val="none"/>
        </w:rPr>
      </w:pPr>
      <w:r>
        <w:rPr>
          <w:rFonts w:hint="eastAsia"/>
          <w:color w:val="auto"/>
          <w:szCs w:val="21"/>
          <w:highlight w:val="none"/>
        </w:rPr>
        <w:t>3.2、质量目标</w:t>
      </w:r>
    </w:p>
    <w:p>
      <w:pPr>
        <w:tabs>
          <w:tab w:val="left" w:pos="426"/>
        </w:tabs>
        <w:ind w:firstLine="420" w:firstLineChars="200"/>
        <w:rPr>
          <w:color w:val="auto"/>
          <w:szCs w:val="21"/>
          <w:highlight w:val="none"/>
        </w:rPr>
      </w:pPr>
      <w:r>
        <w:rPr>
          <w:rFonts w:hint="eastAsia"/>
          <w:color w:val="auto"/>
          <w:szCs w:val="21"/>
          <w:highlight w:val="none"/>
        </w:rPr>
        <w:t>确保</w:t>
      </w:r>
      <w:r>
        <w:rPr>
          <w:rFonts w:hint="eastAsia"/>
          <w:color w:val="auto"/>
          <w:szCs w:val="21"/>
          <w:highlight w:val="none"/>
          <w:lang w:eastAsia="zh-CN"/>
        </w:rPr>
        <w:t>智慧前海视频云平台二期项目</w:t>
      </w:r>
      <w:r>
        <w:rPr>
          <w:rFonts w:hint="eastAsia"/>
          <w:color w:val="auto"/>
          <w:szCs w:val="21"/>
          <w:highlight w:val="none"/>
        </w:rPr>
        <w:t>监理质量能达到实际服务要求的质量目标</w:t>
      </w:r>
      <w:r>
        <w:rPr>
          <w:rFonts w:hint="eastAsia"/>
          <w:color w:val="auto"/>
          <w:szCs w:val="21"/>
          <w:highlight w:val="none"/>
          <w:lang w:eastAsia="zh-CN"/>
        </w:rPr>
        <w:t>，</w:t>
      </w:r>
      <w:r>
        <w:rPr>
          <w:rFonts w:hint="eastAsia"/>
          <w:color w:val="auto"/>
          <w:szCs w:val="21"/>
          <w:highlight w:val="none"/>
        </w:rPr>
        <w:t>确保项目建设质量达到项目合同中规定的质量目标；要求监理在整个项目实施过程中做好对质量的事前控制，事中监督和事后评估，以确保项目质量合格；投标单位应针对本项目建设提出信息系统工程监理的质量控制原则、方法、措施、工作流程和目标。</w:t>
      </w:r>
    </w:p>
    <w:p>
      <w:pPr>
        <w:tabs>
          <w:tab w:val="left" w:pos="426"/>
        </w:tabs>
        <w:ind w:firstLine="420" w:firstLineChars="200"/>
        <w:rPr>
          <w:color w:val="auto"/>
          <w:szCs w:val="21"/>
          <w:highlight w:val="none"/>
        </w:rPr>
      </w:pPr>
      <w:r>
        <w:rPr>
          <w:rFonts w:hint="eastAsia"/>
          <w:color w:val="auto"/>
          <w:szCs w:val="21"/>
          <w:highlight w:val="none"/>
        </w:rPr>
        <w:t>包括但不限于以下工作：</w:t>
      </w:r>
    </w:p>
    <w:p>
      <w:pPr>
        <w:tabs>
          <w:tab w:val="left" w:pos="426"/>
        </w:tabs>
        <w:ind w:firstLine="420" w:firstLineChars="200"/>
        <w:rPr>
          <w:color w:val="auto"/>
          <w:szCs w:val="21"/>
          <w:highlight w:val="none"/>
        </w:rPr>
      </w:pPr>
      <w:r>
        <w:rPr>
          <w:rFonts w:hint="eastAsia"/>
          <w:color w:val="auto"/>
          <w:szCs w:val="21"/>
          <w:highlight w:val="none"/>
        </w:rPr>
        <w:t>协助</w:t>
      </w:r>
      <w:r>
        <w:rPr>
          <w:rFonts w:hint="eastAsia"/>
          <w:color w:val="auto"/>
          <w:szCs w:val="21"/>
          <w:highlight w:val="none"/>
          <w:lang w:eastAsia="zh-CN"/>
        </w:rPr>
        <w:t>委托人</w:t>
      </w:r>
      <w:r>
        <w:rPr>
          <w:rFonts w:hint="eastAsia"/>
          <w:color w:val="auto"/>
          <w:szCs w:val="21"/>
          <w:highlight w:val="none"/>
        </w:rPr>
        <w:t>进行详细需求设计方案的审核和确认；</w:t>
      </w:r>
    </w:p>
    <w:p>
      <w:pPr>
        <w:tabs>
          <w:tab w:val="left" w:pos="426"/>
        </w:tabs>
        <w:ind w:firstLine="420" w:firstLineChars="200"/>
        <w:rPr>
          <w:color w:val="auto"/>
          <w:szCs w:val="21"/>
          <w:highlight w:val="none"/>
        </w:rPr>
      </w:pPr>
      <w:r>
        <w:rPr>
          <w:rFonts w:hint="eastAsia"/>
          <w:color w:val="auto"/>
          <w:szCs w:val="21"/>
          <w:highlight w:val="none"/>
        </w:rPr>
        <w:t>协助</w:t>
      </w:r>
      <w:r>
        <w:rPr>
          <w:rFonts w:hint="eastAsia"/>
          <w:color w:val="auto"/>
          <w:szCs w:val="21"/>
          <w:highlight w:val="none"/>
          <w:lang w:eastAsia="zh-CN"/>
        </w:rPr>
        <w:t>委托人</w:t>
      </w:r>
      <w:r>
        <w:rPr>
          <w:rFonts w:hint="eastAsia"/>
          <w:color w:val="auto"/>
          <w:szCs w:val="21"/>
          <w:highlight w:val="none"/>
        </w:rPr>
        <w:t>审核硬件与支撑软件选型方案、质量进行检验、测试和验收审核；</w:t>
      </w:r>
    </w:p>
    <w:p>
      <w:pPr>
        <w:tabs>
          <w:tab w:val="left" w:pos="426"/>
        </w:tabs>
        <w:ind w:firstLine="420" w:firstLineChars="200"/>
        <w:rPr>
          <w:color w:val="auto"/>
          <w:szCs w:val="21"/>
          <w:highlight w:val="none"/>
        </w:rPr>
      </w:pPr>
      <w:r>
        <w:rPr>
          <w:rFonts w:hint="eastAsia"/>
          <w:color w:val="auto"/>
          <w:szCs w:val="21"/>
          <w:highlight w:val="none"/>
        </w:rPr>
        <w:t>对承建单位的建设质量进行审核；</w:t>
      </w:r>
    </w:p>
    <w:p>
      <w:pPr>
        <w:tabs>
          <w:tab w:val="left" w:pos="426"/>
        </w:tabs>
        <w:ind w:firstLine="420" w:firstLineChars="200"/>
        <w:rPr>
          <w:color w:val="auto"/>
          <w:szCs w:val="21"/>
          <w:highlight w:val="none"/>
        </w:rPr>
      </w:pPr>
      <w:r>
        <w:rPr>
          <w:rFonts w:hint="eastAsia"/>
          <w:color w:val="auto"/>
          <w:szCs w:val="21"/>
          <w:highlight w:val="none"/>
        </w:rPr>
        <w:t>对承建单位技术培训质量的控制，审核确认承建单位的培训计划、培训总结报告。</w:t>
      </w:r>
    </w:p>
    <w:p>
      <w:pPr>
        <w:tabs>
          <w:tab w:val="left" w:pos="426"/>
        </w:tabs>
        <w:ind w:firstLine="420" w:firstLineChars="200"/>
        <w:rPr>
          <w:color w:val="auto"/>
          <w:szCs w:val="21"/>
          <w:highlight w:val="none"/>
        </w:rPr>
      </w:pPr>
      <w:r>
        <w:rPr>
          <w:rFonts w:hint="eastAsia"/>
          <w:color w:val="auto"/>
          <w:szCs w:val="21"/>
          <w:highlight w:val="none"/>
        </w:rPr>
        <w:t>3.3、进度目标</w:t>
      </w:r>
    </w:p>
    <w:p>
      <w:pPr>
        <w:tabs>
          <w:tab w:val="left" w:pos="426"/>
        </w:tabs>
        <w:ind w:firstLine="420" w:firstLineChars="200"/>
        <w:rPr>
          <w:color w:val="auto"/>
          <w:szCs w:val="21"/>
          <w:highlight w:val="none"/>
        </w:rPr>
      </w:pPr>
      <w:r>
        <w:rPr>
          <w:rFonts w:hint="eastAsia"/>
          <w:color w:val="auto"/>
          <w:szCs w:val="21"/>
          <w:highlight w:val="none"/>
        </w:rPr>
        <w:t>确保</w:t>
      </w:r>
      <w:r>
        <w:rPr>
          <w:rFonts w:hint="eastAsia"/>
          <w:color w:val="auto"/>
          <w:szCs w:val="21"/>
          <w:highlight w:val="none"/>
          <w:lang w:eastAsia="zh-CN"/>
        </w:rPr>
        <w:t>智慧前海视频云平台二期项目</w:t>
      </w:r>
      <w:r>
        <w:rPr>
          <w:rFonts w:hint="eastAsia"/>
          <w:color w:val="auto"/>
          <w:szCs w:val="21"/>
          <w:highlight w:val="none"/>
        </w:rPr>
        <w:t>按项目承包合同规定的工期完工；</w:t>
      </w:r>
    </w:p>
    <w:p>
      <w:pPr>
        <w:tabs>
          <w:tab w:val="left" w:pos="426"/>
        </w:tabs>
        <w:ind w:firstLine="420" w:firstLineChars="200"/>
        <w:rPr>
          <w:color w:val="auto"/>
          <w:szCs w:val="21"/>
          <w:highlight w:val="none"/>
        </w:rPr>
      </w:pPr>
      <w:r>
        <w:rPr>
          <w:rFonts w:hint="eastAsia"/>
          <w:color w:val="auto"/>
          <w:szCs w:val="21"/>
          <w:highlight w:val="none"/>
        </w:rPr>
        <w:t>对项目实施进度进行实时跟踪，必要时要求</w:t>
      </w:r>
      <w:r>
        <w:rPr>
          <w:rFonts w:hint="eastAsia"/>
          <w:color w:val="auto"/>
          <w:szCs w:val="21"/>
          <w:highlight w:val="none"/>
          <w:lang w:val="en-US" w:eastAsia="zh-CN"/>
        </w:rPr>
        <w:t>承包人</w:t>
      </w:r>
      <w:r>
        <w:rPr>
          <w:rFonts w:hint="eastAsia"/>
          <w:color w:val="auto"/>
          <w:szCs w:val="21"/>
          <w:highlight w:val="none"/>
        </w:rPr>
        <w:t>对进度计划进行动态调整，以确保项目的阶段和总体进度目标的实施；当工期严重偏离计划时，应及时指出，并提出对策建议，同时督促承建单位尽快采取措施。</w:t>
      </w:r>
    </w:p>
    <w:p>
      <w:pPr>
        <w:tabs>
          <w:tab w:val="left" w:pos="426"/>
        </w:tabs>
        <w:ind w:firstLine="420" w:firstLineChars="200"/>
        <w:rPr>
          <w:color w:val="auto"/>
          <w:szCs w:val="21"/>
          <w:highlight w:val="none"/>
        </w:rPr>
      </w:pPr>
      <w:r>
        <w:rPr>
          <w:rFonts w:hint="eastAsia"/>
          <w:color w:val="auto"/>
          <w:szCs w:val="21"/>
          <w:highlight w:val="none"/>
        </w:rPr>
        <w:t>3.4、合同管理目标</w:t>
      </w:r>
    </w:p>
    <w:p>
      <w:pPr>
        <w:tabs>
          <w:tab w:val="left" w:pos="426"/>
        </w:tabs>
        <w:ind w:firstLine="420" w:firstLineChars="200"/>
        <w:rPr>
          <w:color w:val="auto"/>
          <w:szCs w:val="21"/>
          <w:highlight w:val="none"/>
        </w:rPr>
      </w:pPr>
      <w:r>
        <w:rPr>
          <w:rFonts w:hint="eastAsia"/>
          <w:color w:val="auto"/>
          <w:szCs w:val="21"/>
          <w:highlight w:val="none"/>
        </w:rPr>
        <w:t>对项目的合同、各种文档提供可靠的审核和质量保证。保障与项目建设有关的其他合同顺利履行，确保工程建设各项目标的达成。并考虑合同管理的目的和效率，明确工作范围管理、人员管理、费用管理、工作计划管理、工作实施管理等。</w:t>
      </w:r>
    </w:p>
    <w:p>
      <w:pPr>
        <w:tabs>
          <w:tab w:val="left" w:pos="426"/>
        </w:tabs>
        <w:ind w:firstLine="420" w:firstLineChars="200"/>
        <w:rPr>
          <w:color w:val="auto"/>
          <w:szCs w:val="21"/>
          <w:highlight w:val="none"/>
        </w:rPr>
      </w:pPr>
      <w:r>
        <w:rPr>
          <w:rFonts w:hint="eastAsia"/>
          <w:color w:val="auto"/>
          <w:szCs w:val="21"/>
          <w:highlight w:val="none"/>
        </w:rPr>
        <w:t>3.5、文档管理目标</w:t>
      </w:r>
    </w:p>
    <w:p>
      <w:pPr>
        <w:tabs>
          <w:tab w:val="left" w:pos="426"/>
        </w:tabs>
        <w:ind w:firstLine="420" w:firstLineChars="200"/>
        <w:rPr>
          <w:color w:val="auto"/>
          <w:szCs w:val="21"/>
          <w:highlight w:val="none"/>
        </w:rPr>
      </w:pPr>
      <w:r>
        <w:rPr>
          <w:rFonts w:hint="eastAsia"/>
          <w:color w:val="auto"/>
          <w:szCs w:val="21"/>
          <w:highlight w:val="none"/>
        </w:rPr>
        <w:t>对项目文档进行标准化、规范化的制作和管理，确保建设项目实施过程中产生的全部文档及时、完整、有效。</w:t>
      </w:r>
    </w:p>
    <w:p>
      <w:pPr>
        <w:tabs>
          <w:tab w:val="left" w:pos="426"/>
          <w:tab w:val="left" w:pos="480"/>
        </w:tabs>
        <w:spacing w:before="156" w:beforeLines="50" w:after="156" w:afterLines="50"/>
        <w:outlineLvl w:val="2"/>
        <w:rPr>
          <w:rFonts w:ascii="黑体" w:eastAsia="黑体"/>
          <w:color w:val="auto"/>
          <w:sz w:val="24"/>
          <w:highlight w:val="none"/>
        </w:rPr>
      </w:pPr>
      <w:r>
        <w:rPr>
          <w:rFonts w:hint="eastAsia" w:ascii="黑体" w:eastAsia="黑体"/>
          <w:color w:val="auto"/>
          <w:sz w:val="24"/>
          <w:highlight w:val="none"/>
        </w:rPr>
        <w:t xml:space="preserve">   </w:t>
      </w:r>
      <w:bookmarkStart w:id="144" w:name="_Toc20228"/>
      <w:bookmarkStart w:id="145" w:name="_Toc8468"/>
      <w:bookmarkStart w:id="146" w:name="_Toc32278"/>
      <w:bookmarkStart w:id="147" w:name="_Toc5518"/>
      <w:r>
        <w:rPr>
          <w:rFonts w:hint="eastAsia" w:ascii="黑体" w:eastAsia="黑体"/>
          <w:color w:val="auto"/>
          <w:sz w:val="24"/>
          <w:highlight w:val="none"/>
        </w:rPr>
        <w:t>4、服务要求</w:t>
      </w:r>
      <w:bookmarkEnd w:id="144"/>
      <w:bookmarkEnd w:id="145"/>
      <w:bookmarkEnd w:id="146"/>
      <w:bookmarkEnd w:id="147"/>
    </w:p>
    <w:p>
      <w:pPr>
        <w:tabs>
          <w:tab w:val="left" w:pos="426"/>
        </w:tabs>
        <w:ind w:firstLine="420" w:firstLineChars="200"/>
        <w:rPr>
          <w:color w:val="auto"/>
          <w:szCs w:val="21"/>
          <w:highlight w:val="none"/>
        </w:rPr>
      </w:pPr>
      <w:r>
        <w:rPr>
          <w:rFonts w:hint="eastAsia"/>
          <w:color w:val="auto"/>
          <w:szCs w:val="21"/>
          <w:highlight w:val="none"/>
        </w:rPr>
        <w:t>4.1、项目监理要点</w:t>
      </w:r>
    </w:p>
    <w:p>
      <w:pPr>
        <w:tabs>
          <w:tab w:val="left" w:pos="426"/>
        </w:tabs>
        <w:ind w:firstLine="420" w:firstLineChars="200"/>
        <w:rPr>
          <w:color w:val="auto"/>
          <w:szCs w:val="21"/>
          <w:highlight w:val="none"/>
        </w:rPr>
      </w:pPr>
      <w:r>
        <w:rPr>
          <w:rFonts w:hint="eastAsia"/>
          <w:color w:val="auto"/>
          <w:szCs w:val="21"/>
          <w:highlight w:val="none"/>
        </w:rPr>
        <w:t>4.1.1材料控制</w:t>
      </w:r>
    </w:p>
    <w:p>
      <w:pPr>
        <w:tabs>
          <w:tab w:val="left" w:pos="426"/>
        </w:tabs>
        <w:ind w:firstLine="420" w:firstLineChars="200"/>
        <w:rPr>
          <w:color w:val="auto"/>
          <w:szCs w:val="21"/>
          <w:highlight w:val="none"/>
        </w:rPr>
      </w:pPr>
      <w:r>
        <w:rPr>
          <w:rFonts w:hint="eastAsia"/>
          <w:color w:val="auto"/>
          <w:szCs w:val="21"/>
          <w:highlight w:val="none"/>
        </w:rPr>
        <w:t>协助</w:t>
      </w:r>
      <w:r>
        <w:rPr>
          <w:rFonts w:hint="eastAsia"/>
          <w:color w:val="auto"/>
          <w:szCs w:val="21"/>
          <w:highlight w:val="none"/>
          <w:lang w:val="en-US" w:eastAsia="zh-CN"/>
        </w:rPr>
        <w:t>委托人</w:t>
      </w:r>
      <w:r>
        <w:rPr>
          <w:rFonts w:hint="eastAsia"/>
          <w:color w:val="auto"/>
          <w:szCs w:val="21"/>
          <w:highlight w:val="none"/>
        </w:rPr>
        <w:t>管理好采购合同，对采购计划进行监督与控制，审核、验收、移交符合合同和相关标准的材料。主要工作为以下内容：</w:t>
      </w:r>
    </w:p>
    <w:p>
      <w:pPr>
        <w:tabs>
          <w:tab w:val="left" w:pos="426"/>
        </w:tabs>
        <w:ind w:firstLine="420" w:firstLineChars="200"/>
        <w:rPr>
          <w:color w:val="auto"/>
          <w:szCs w:val="21"/>
          <w:highlight w:val="none"/>
        </w:rPr>
      </w:pPr>
      <w:r>
        <w:rPr>
          <w:rFonts w:hint="eastAsia"/>
          <w:color w:val="auto"/>
          <w:szCs w:val="21"/>
          <w:highlight w:val="none"/>
        </w:rPr>
        <w:t>1）审核</w:t>
      </w:r>
      <w:r>
        <w:rPr>
          <w:rFonts w:hint="eastAsia"/>
          <w:color w:val="auto"/>
          <w:szCs w:val="21"/>
          <w:highlight w:val="none"/>
          <w:lang w:val="en-US" w:eastAsia="zh-CN"/>
        </w:rPr>
        <w:t>承包人</w:t>
      </w:r>
      <w:r>
        <w:rPr>
          <w:rFonts w:hint="eastAsia"/>
          <w:color w:val="auto"/>
          <w:szCs w:val="21"/>
          <w:highlight w:val="none"/>
        </w:rPr>
        <w:t>的材料采购计划和材料采购清单；</w:t>
      </w:r>
    </w:p>
    <w:p>
      <w:pPr>
        <w:tabs>
          <w:tab w:val="left" w:pos="426"/>
        </w:tabs>
        <w:ind w:firstLine="420" w:firstLineChars="200"/>
        <w:rPr>
          <w:color w:val="auto"/>
          <w:szCs w:val="21"/>
          <w:highlight w:val="none"/>
        </w:rPr>
      </w:pPr>
      <w:r>
        <w:rPr>
          <w:rFonts w:hint="eastAsia"/>
          <w:color w:val="auto"/>
          <w:szCs w:val="21"/>
          <w:highlight w:val="none"/>
        </w:rPr>
        <w:t>2）审核材料的质量和到货时间；</w:t>
      </w:r>
    </w:p>
    <w:p>
      <w:pPr>
        <w:tabs>
          <w:tab w:val="left" w:pos="426"/>
        </w:tabs>
        <w:ind w:firstLine="420" w:firstLineChars="200"/>
        <w:rPr>
          <w:color w:val="auto"/>
          <w:szCs w:val="21"/>
          <w:highlight w:val="none"/>
        </w:rPr>
      </w:pPr>
      <w:r>
        <w:rPr>
          <w:rFonts w:hint="eastAsia"/>
          <w:color w:val="auto"/>
          <w:szCs w:val="21"/>
          <w:highlight w:val="none"/>
        </w:rPr>
        <w:t>3）组织到货验收，三方现场开箱；发现短缺或破损，及时要求材料提供商补发或免费更换；</w:t>
      </w:r>
    </w:p>
    <w:p>
      <w:pPr>
        <w:tabs>
          <w:tab w:val="left" w:pos="426"/>
        </w:tabs>
        <w:ind w:firstLine="420" w:firstLineChars="200"/>
        <w:rPr>
          <w:color w:val="auto"/>
          <w:szCs w:val="21"/>
          <w:highlight w:val="none"/>
        </w:rPr>
      </w:pPr>
      <w:r>
        <w:rPr>
          <w:rFonts w:hint="eastAsia"/>
          <w:color w:val="auto"/>
          <w:szCs w:val="21"/>
          <w:highlight w:val="none"/>
        </w:rPr>
        <w:t>4）审核材料到货清单是否与材料采购清单相符、到货材料是否与合同所规定的规格相符，做好记录；审核到货材料的合格证明、渠道、供应商保证书等证明文件是否齐全、真实，必要时利用测试工具进行评估和测试；</w:t>
      </w:r>
    </w:p>
    <w:p>
      <w:pPr>
        <w:tabs>
          <w:tab w:val="left" w:pos="426"/>
        </w:tabs>
        <w:ind w:firstLine="420" w:firstLineChars="200"/>
        <w:rPr>
          <w:color w:val="auto"/>
          <w:szCs w:val="21"/>
          <w:highlight w:val="none"/>
        </w:rPr>
      </w:pPr>
      <w:r>
        <w:rPr>
          <w:rFonts w:hint="eastAsia"/>
          <w:color w:val="auto"/>
          <w:szCs w:val="21"/>
          <w:highlight w:val="none"/>
        </w:rPr>
        <w:t>5）审核材料移交、提交材料到货验收报告；</w:t>
      </w:r>
    </w:p>
    <w:p>
      <w:pPr>
        <w:tabs>
          <w:tab w:val="left" w:pos="426"/>
        </w:tabs>
        <w:ind w:firstLine="420" w:firstLineChars="200"/>
        <w:rPr>
          <w:color w:val="auto"/>
          <w:szCs w:val="21"/>
          <w:highlight w:val="none"/>
        </w:rPr>
      </w:pPr>
      <w:r>
        <w:rPr>
          <w:rFonts w:hint="eastAsia"/>
          <w:color w:val="auto"/>
          <w:szCs w:val="21"/>
          <w:highlight w:val="none"/>
        </w:rPr>
        <w:t>注：此阶段要求</w:t>
      </w:r>
      <w:r>
        <w:rPr>
          <w:rFonts w:hint="eastAsia"/>
          <w:color w:val="auto"/>
          <w:szCs w:val="21"/>
          <w:highlight w:val="none"/>
          <w:lang w:eastAsia="zh-CN"/>
        </w:rPr>
        <w:t>承包人</w:t>
      </w:r>
      <w:r>
        <w:rPr>
          <w:rFonts w:hint="eastAsia"/>
          <w:color w:val="auto"/>
          <w:szCs w:val="21"/>
          <w:highlight w:val="none"/>
        </w:rPr>
        <w:t>提前三天通知</w:t>
      </w:r>
      <w:r>
        <w:rPr>
          <w:rFonts w:hint="eastAsia"/>
          <w:color w:val="auto"/>
          <w:szCs w:val="21"/>
          <w:highlight w:val="none"/>
          <w:lang w:eastAsia="zh-CN"/>
        </w:rPr>
        <w:t>委托人</w:t>
      </w:r>
      <w:r>
        <w:rPr>
          <w:rFonts w:hint="eastAsia"/>
          <w:color w:val="auto"/>
          <w:szCs w:val="21"/>
          <w:highlight w:val="none"/>
        </w:rPr>
        <w:t>和</w:t>
      </w:r>
      <w:r>
        <w:rPr>
          <w:rFonts w:hint="eastAsia"/>
          <w:color w:val="auto"/>
          <w:szCs w:val="21"/>
          <w:highlight w:val="none"/>
          <w:lang w:eastAsia="zh-CN"/>
        </w:rPr>
        <w:t>监理人</w:t>
      </w:r>
      <w:r>
        <w:rPr>
          <w:rFonts w:hint="eastAsia"/>
          <w:color w:val="auto"/>
          <w:szCs w:val="21"/>
          <w:highlight w:val="none"/>
        </w:rPr>
        <w:t>材料到达时间和地点，并提交交货清单。</w:t>
      </w:r>
    </w:p>
    <w:p>
      <w:pPr>
        <w:tabs>
          <w:tab w:val="left" w:pos="426"/>
        </w:tabs>
        <w:ind w:firstLine="420" w:firstLineChars="200"/>
        <w:rPr>
          <w:color w:val="auto"/>
          <w:szCs w:val="21"/>
          <w:highlight w:val="none"/>
        </w:rPr>
      </w:pPr>
      <w:r>
        <w:rPr>
          <w:rFonts w:hint="eastAsia"/>
          <w:color w:val="auto"/>
          <w:szCs w:val="21"/>
          <w:highlight w:val="none"/>
        </w:rPr>
        <w:t>4.1.2质量控制</w:t>
      </w:r>
    </w:p>
    <w:p>
      <w:pPr>
        <w:tabs>
          <w:tab w:val="left" w:pos="426"/>
        </w:tabs>
        <w:ind w:firstLine="420" w:firstLineChars="200"/>
        <w:rPr>
          <w:color w:val="auto"/>
          <w:szCs w:val="21"/>
          <w:highlight w:val="none"/>
        </w:rPr>
      </w:pPr>
      <w:r>
        <w:rPr>
          <w:rFonts w:hint="eastAsia"/>
          <w:color w:val="auto"/>
          <w:szCs w:val="21"/>
          <w:highlight w:val="none"/>
        </w:rPr>
        <w:t>1）依据有关的招标文件、投标文件、合同和设计单位制定的技术规范书，审查、监督、控制项目建设的质量；</w:t>
      </w:r>
    </w:p>
    <w:p>
      <w:pPr>
        <w:tabs>
          <w:tab w:val="left" w:pos="426"/>
        </w:tabs>
        <w:ind w:firstLine="420" w:firstLineChars="200"/>
        <w:rPr>
          <w:color w:val="auto"/>
          <w:szCs w:val="21"/>
          <w:highlight w:val="none"/>
        </w:rPr>
      </w:pPr>
      <w:r>
        <w:rPr>
          <w:rFonts w:hint="eastAsia"/>
          <w:color w:val="auto"/>
          <w:szCs w:val="21"/>
          <w:highlight w:val="none"/>
        </w:rPr>
        <w:t>2）采取事前预防、事中控制、事后纠正的监理方式，依据国家法律、法规、标准以及项目合同、设计方案、监理规划、监理实施细则等文件控制工程质量；</w:t>
      </w:r>
    </w:p>
    <w:p>
      <w:pPr>
        <w:tabs>
          <w:tab w:val="left" w:pos="426"/>
        </w:tabs>
        <w:ind w:firstLine="420" w:firstLineChars="200"/>
        <w:rPr>
          <w:color w:val="auto"/>
          <w:szCs w:val="21"/>
          <w:highlight w:val="none"/>
        </w:rPr>
      </w:pPr>
      <w:r>
        <w:rPr>
          <w:rFonts w:hint="eastAsia"/>
          <w:color w:val="auto"/>
          <w:szCs w:val="21"/>
          <w:highlight w:val="none"/>
        </w:rPr>
        <w:t>3）组织项目质量事故的原因调查、问题分析、问题评估、事故处理；</w:t>
      </w:r>
    </w:p>
    <w:p>
      <w:pPr>
        <w:tabs>
          <w:tab w:val="left" w:pos="426"/>
        </w:tabs>
        <w:ind w:firstLine="420" w:firstLineChars="200"/>
        <w:rPr>
          <w:color w:val="auto"/>
          <w:szCs w:val="21"/>
          <w:highlight w:val="none"/>
        </w:rPr>
      </w:pPr>
      <w:r>
        <w:rPr>
          <w:rFonts w:hint="eastAsia"/>
          <w:color w:val="auto"/>
          <w:szCs w:val="21"/>
          <w:highlight w:val="none"/>
        </w:rPr>
        <w:t>4）监督系统项目需求管理、配置管理的执行和控制情况，督促整改存在的问题；</w:t>
      </w:r>
    </w:p>
    <w:p>
      <w:pPr>
        <w:tabs>
          <w:tab w:val="left" w:pos="426"/>
        </w:tabs>
        <w:ind w:firstLine="420" w:firstLineChars="200"/>
        <w:rPr>
          <w:color w:val="auto"/>
          <w:szCs w:val="21"/>
          <w:highlight w:val="none"/>
        </w:rPr>
      </w:pPr>
      <w:r>
        <w:rPr>
          <w:rFonts w:hint="eastAsia"/>
          <w:color w:val="auto"/>
          <w:szCs w:val="21"/>
          <w:highlight w:val="none"/>
        </w:rPr>
        <w:t>5）跟踪各子项目在质保期内的运行状况，督促实施方做好保修服务。</w:t>
      </w:r>
    </w:p>
    <w:p>
      <w:pPr>
        <w:tabs>
          <w:tab w:val="left" w:pos="426"/>
        </w:tabs>
        <w:ind w:firstLine="420" w:firstLineChars="200"/>
        <w:rPr>
          <w:color w:val="auto"/>
          <w:szCs w:val="21"/>
          <w:highlight w:val="none"/>
        </w:rPr>
      </w:pPr>
      <w:r>
        <w:rPr>
          <w:rFonts w:hint="eastAsia"/>
          <w:color w:val="auto"/>
          <w:szCs w:val="21"/>
          <w:highlight w:val="none"/>
        </w:rPr>
        <w:t>4.1.3进度控制</w:t>
      </w:r>
    </w:p>
    <w:p>
      <w:pPr>
        <w:tabs>
          <w:tab w:val="left" w:pos="426"/>
        </w:tabs>
        <w:ind w:firstLine="420" w:firstLineChars="200"/>
        <w:rPr>
          <w:color w:val="auto"/>
          <w:szCs w:val="21"/>
          <w:highlight w:val="none"/>
        </w:rPr>
      </w:pPr>
      <w:r>
        <w:rPr>
          <w:rFonts w:hint="eastAsia"/>
          <w:color w:val="auto"/>
          <w:szCs w:val="21"/>
          <w:highlight w:val="none"/>
        </w:rPr>
        <w:t>1）协助进行项目建设周期总进度目标的分析、论证；</w:t>
      </w:r>
    </w:p>
    <w:p>
      <w:pPr>
        <w:tabs>
          <w:tab w:val="left" w:pos="426"/>
        </w:tabs>
        <w:ind w:firstLine="420" w:firstLineChars="200"/>
        <w:rPr>
          <w:color w:val="auto"/>
          <w:szCs w:val="21"/>
          <w:highlight w:val="none"/>
        </w:rPr>
      </w:pPr>
      <w:r>
        <w:rPr>
          <w:rFonts w:hint="eastAsia"/>
          <w:color w:val="auto"/>
          <w:szCs w:val="21"/>
          <w:highlight w:val="none"/>
        </w:rPr>
        <w:t>2）审查各子项目的进度计划，并监督计划的执行；</w:t>
      </w:r>
    </w:p>
    <w:p>
      <w:pPr>
        <w:tabs>
          <w:tab w:val="left" w:pos="426"/>
        </w:tabs>
        <w:ind w:firstLine="420" w:firstLineChars="200"/>
        <w:rPr>
          <w:color w:val="auto"/>
          <w:szCs w:val="21"/>
          <w:highlight w:val="none"/>
        </w:rPr>
      </w:pPr>
      <w:r>
        <w:rPr>
          <w:rFonts w:hint="eastAsia"/>
          <w:color w:val="auto"/>
          <w:szCs w:val="21"/>
          <w:highlight w:val="none"/>
        </w:rPr>
        <w:t>3）控制项目实施的进度；</w:t>
      </w:r>
    </w:p>
    <w:p>
      <w:pPr>
        <w:tabs>
          <w:tab w:val="left" w:pos="426"/>
        </w:tabs>
        <w:ind w:firstLine="420" w:firstLineChars="200"/>
        <w:rPr>
          <w:color w:val="auto"/>
          <w:szCs w:val="21"/>
          <w:highlight w:val="none"/>
        </w:rPr>
      </w:pPr>
      <w:r>
        <w:rPr>
          <w:rFonts w:hint="eastAsia"/>
          <w:color w:val="auto"/>
          <w:szCs w:val="21"/>
          <w:highlight w:val="none"/>
        </w:rPr>
        <w:t>4）编制项目实施各阶段、各年、季、月度的进度监理计划，并控制其执行，必要时调整进度计划；</w:t>
      </w:r>
    </w:p>
    <w:p>
      <w:pPr>
        <w:tabs>
          <w:tab w:val="left" w:pos="426"/>
        </w:tabs>
        <w:ind w:firstLine="420" w:firstLineChars="200"/>
        <w:rPr>
          <w:color w:val="auto"/>
          <w:szCs w:val="21"/>
          <w:highlight w:val="none"/>
        </w:rPr>
      </w:pPr>
      <w:r>
        <w:rPr>
          <w:rFonts w:hint="eastAsia"/>
          <w:color w:val="auto"/>
          <w:szCs w:val="21"/>
          <w:highlight w:val="none"/>
        </w:rPr>
        <w:t>5）审核设计方、</w:t>
      </w:r>
      <w:r>
        <w:rPr>
          <w:rFonts w:hint="eastAsia"/>
          <w:color w:val="auto"/>
          <w:szCs w:val="21"/>
          <w:highlight w:val="none"/>
          <w:lang w:val="en-US" w:eastAsia="zh-CN"/>
        </w:rPr>
        <w:t>承包人</w:t>
      </w:r>
      <w:r>
        <w:rPr>
          <w:rFonts w:hint="eastAsia"/>
          <w:color w:val="auto"/>
          <w:szCs w:val="21"/>
          <w:highlight w:val="none"/>
        </w:rPr>
        <w:t>和材料设备供货方提出的进度计划/供货计划，检查、督促和控制其执行；</w:t>
      </w:r>
    </w:p>
    <w:p>
      <w:pPr>
        <w:tabs>
          <w:tab w:val="left" w:pos="426"/>
        </w:tabs>
        <w:ind w:firstLine="420" w:firstLineChars="200"/>
        <w:rPr>
          <w:color w:val="auto"/>
          <w:szCs w:val="21"/>
          <w:highlight w:val="none"/>
        </w:rPr>
      </w:pPr>
      <w:r>
        <w:rPr>
          <w:rFonts w:hint="eastAsia"/>
          <w:color w:val="auto"/>
          <w:szCs w:val="21"/>
          <w:highlight w:val="none"/>
        </w:rPr>
        <w:t>6）发现项目未能按计划进行时，要求项目承包</w:t>
      </w:r>
      <w:r>
        <w:rPr>
          <w:rFonts w:hint="eastAsia"/>
          <w:color w:val="auto"/>
          <w:szCs w:val="21"/>
          <w:highlight w:val="none"/>
          <w:lang w:val="en-US" w:eastAsia="zh-CN"/>
        </w:rPr>
        <w:t>人</w:t>
      </w:r>
      <w:r>
        <w:rPr>
          <w:rFonts w:hint="eastAsia"/>
          <w:color w:val="auto"/>
          <w:szCs w:val="21"/>
          <w:highlight w:val="none"/>
        </w:rPr>
        <w:t>调整或修改计划，采取必要措施加快开发进度，以使实际项目进度符合合同的要求；</w:t>
      </w:r>
    </w:p>
    <w:p>
      <w:pPr>
        <w:tabs>
          <w:tab w:val="left" w:pos="426"/>
        </w:tabs>
        <w:ind w:firstLine="420" w:firstLineChars="200"/>
        <w:rPr>
          <w:color w:val="auto"/>
          <w:szCs w:val="21"/>
          <w:highlight w:val="none"/>
        </w:rPr>
      </w:pPr>
      <w:r>
        <w:rPr>
          <w:rFonts w:hint="eastAsia"/>
          <w:color w:val="auto"/>
          <w:szCs w:val="21"/>
          <w:highlight w:val="none"/>
        </w:rPr>
        <w:t>7）在项目实施过程中，每月进行计划值与实际值的比较，每月、季、年度提交各种进度控制监理报告和报表。</w:t>
      </w:r>
    </w:p>
    <w:p>
      <w:pPr>
        <w:tabs>
          <w:tab w:val="left" w:pos="426"/>
        </w:tabs>
        <w:ind w:firstLine="420" w:firstLineChars="200"/>
        <w:rPr>
          <w:color w:val="auto"/>
          <w:szCs w:val="21"/>
          <w:highlight w:val="none"/>
        </w:rPr>
      </w:pPr>
      <w:r>
        <w:rPr>
          <w:rFonts w:hint="eastAsia"/>
          <w:color w:val="auto"/>
          <w:szCs w:val="21"/>
          <w:highlight w:val="none"/>
        </w:rPr>
        <w:t>4.1.4变更控制</w:t>
      </w:r>
    </w:p>
    <w:p>
      <w:pPr>
        <w:tabs>
          <w:tab w:val="left" w:pos="426"/>
        </w:tabs>
        <w:ind w:firstLine="420" w:firstLineChars="200"/>
        <w:rPr>
          <w:color w:val="auto"/>
          <w:szCs w:val="21"/>
          <w:highlight w:val="none"/>
        </w:rPr>
      </w:pPr>
      <w:r>
        <w:rPr>
          <w:rFonts w:hint="eastAsia"/>
          <w:color w:val="auto"/>
          <w:szCs w:val="21"/>
          <w:highlight w:val="none"/>
        </w:rPr>
        <w:t>1）对项目变更进行严格控制，不能随意地进行变更；</w:t>
      </w:r>
    </w:p>
    <w:p>
      <w:pPr>
        <w:tabs>
          <w:tab w:val="left" w:pos="426"/>
        </w:tabs>
        <w:ind w:firstLine="420" w:firstLineChars="200"/>
        <w:rPr>
          <w:color w:val="auto"/>
          <w:szCs w:val="21"/>
          <w:highlight w:val="none"/>
        </w:rPr>
      </w:pPr>
      <w:r>
        <w:rPr>
          <w:rFonts w:hint="eastAsia"/>
          <w:color w:val="auto"/>
          <w:szCs w:val="21"/>
          <w:highlight w:val="none"/>
        </w:rPr>
        <w:t>2）监理对可能发生的风险以及可能引起的变更要保持预控能力，也应当具备快速反应能力；</w:t>
      </w:r>
    </w:p>
    <w:p>
      <w:pPr>
        <w:tabs>
          <w:tab w:val="left" w:pos="426"/>
        </w:tabs>
        <w:ind w:firstLine="420" w:firstLineChars="200"/>
        <w:rPr>
          <w:color w:val="auto"/>
          <w:szCs w:val="21"/>
          <w:highlight w:val="none"/>
        </w:rPr>
      </w:pPr>
      <w:r>
        <w:rPr>
          <w:rFonts w:hint="eastAsia"/>
          <w:color w:val="auto"/>
          <w:szCs w:val="21"/>
          <w:highlight w:val="none"/>
        </w:rPr>
        <w:t>3）对变更申请快速响应；</w:t>
      </w:r>
    </w:p>
    <w:p>
      <w:pPr>
        <w:tabs>
          <w:tab w:val="left" w:pos="426"/>
        </w:tabs>
        <w:ind w:firstLine="420" w:firstLineChars="200"/>
        <w:rPr>
          <w:color w:val="auto"/>
          <w:szCs w:val="21"/>
          <w:highlight w:val="none"/>
        </w:rPr>
      </w:pPr>
      <w:r>
        <w:rPr>
          <w:rFonts w:hint="eastAsia"/>
          <w:color w:val="auto"/>
          <w:szCs w:val="21"/>
          <w:highlight w:val="none"/>
        </w:rPr>
        <w:t>4）任何变更都要得到三方（</w:t>
      </w:r>
      <w:r>
        <w:rPr>
          <w:rFonts w:hint="eastAsia"/>
          <w:color w:val="auto"/>
          <w:szCs w:val="21"/>
          <w:highlight w:val="none"/>
          <w:lang w:eastAsia="zh-CN"/>
        </w:rPr>
        <w:t>委托人</w:t>
      </w:r>
      <w:r>
        <w:rPr>
          <w:rFonts w:hint="eastAsia"/>
          <w:color w:val="auto"/>
          <w:szCs w:val="21"/>
          <w:highlight w:val="none"/>
        </w:rPr>
        <w:t>、</w:t>
      </w:r>
      <w:r>
        <w:rPr>
          <w:rFonts w:hint="eastAsia"/>
          <w:color w:val="auto"/>
          <w:szCs w:val="21"/>
          <w:highlight w:val="none"/>
          <w:lang w:eastAsia="zh-CN"/>
        </w:rPr>
        <w:t>承包人</w:t>
      </w:r>
      <w:r>
        <w:rPr>
          <w:rFonts w:hint="eastAsia"/>
          <w:color w:val="auto"/>
          <w:szCs w:val="21"/>
          <w:highlight w:val="none"/>
        </w:rPr>
        <w:t>、</w:t>
      </w:r>
      <w:r>
        <w:rPr>
          <w:rFonts w:hint="eastAsia"/>
          <w:color w:val="auto"/>
          <w:szCs w:val="21"/>
          <w:highlight w:val="none"/>
          <w:lang w:eastAsia="zh-CN"/>
        </w:rPr>
        <w:t>监理人</w:t>
      </w:r>
      <w:r>
        <w:rPr>
          <w:rFonts w:hint="eastAsia"/>
          <w:color w:val="auto"/>
          <w:szCs w:val="21"/>
          <w:highlight w:val="none"/>
        </w:rPr>
        <w:t>）确认；</w:t>
      </w:r>
    </w:p>
    <w:p>
      <w:pPr>
        <w:tabs>
          <w:tab w:val="left" w:pos="426"/>
        </w:tabs>
        <w:ind w:firstLine="420" w:firstLineChars="200"/>
        <w:rPr>
          <w:color w:val="auto"/>
          <w:szCs w:val="21"/>
          <w:highlight w:val="none"/>
        </w:rPr>
      </w:pPr>
      <w:r>
        <w:rPr>
          <w:rFonts w:hint="eastAsia"/>
          <w:color w:val="auto"/>
          <w:szCs w:val="21"/>
          <w:highlight w:val="none"/>
        </w:rPr>
        <w:t>5）明确界定项目变更的目标；</w:t>
      </w:r>
    </w:p>
    <w:p>
      <w:pPr>
        <w:tabs>
          <w:tab w:val="left" w:pos="426"/>
        </w:tabs>
        <w:ind w:firstLine="420" w:firstLineChars="200"/>
        <w:rPr>
          <w:color w:val="auto"/>
          <w:szCs w:val="21"/>
          <w:highlight w:val="none"/>
        </w:rPr>
      </w:pPr>
      <w:r>
        <w:rPr>
          <w:rFonts w:hint="eastAsia"/>
          <w:color w:val="auto"/>
          <w:szCs w:val="21"/>
          <w:highlight w:val="none"/>
        </w:rPr>
        <w:t>6）加强变更风险及变更效果的评估；</w:t>
      </w:r>
    </w:p>
    <w:p>
      <w:pPr>
        <w:tabs>
          <w:tab w:val="left" w:pos="426"/>
        </w:tabs>
        <w:ind w:firstLine="420" w:firstLineChars="200"/>
        <w:rPr>
          <w:color w:val="auto"/>
          <w:szCs w:val="21"/>
          <w:highlight w:val="none"/>
        </w:rPr>
      </w:pPr>
      <w:r>
        <w:rPr>
          <w:rFonts w:hint="eastAsia"/>
          <w:color w:val="auto"/>
          <w:szCs w:val="21"/>
          <w:highlight w:val="none"/>
        </w:rPr>
        <w:t>7）及时公布变更信息；</w:t>
      </w:r>
    </w:p>
    <w:p>
      <w:pPr>
        <w:tabs>
          <w:tab w:val="left" w:pos="426"/>
        </w:tabs>
        <w:ind w:firstLine="420" w:firstLineChars="200"/>
        <w:rPr>
          <w:color w:val="auto"/>
          <w:szCs w:val="21"/>
          <w:highlight w:val="none"/>
        </w:rPr>
      </w:pPr>
      <w:r>
        <w:rPr>
          <w:rFonts w:hint="eastAsia"/>
          <w:color w:val="auto"/>
          <w:szCs w:val="21"/>
          <w:highlight w:val="none"/>
        </w:rPr>
        <w:t>8）选择冲击最小的方案；</w:t>
      </w:r>
    </w:p>
    <w:p>
      <w:pPr>
        <w:tabs>
          <w:tab w:val="left" w:pos="426"/>
        </w:tabs>
        <w:ind w:firstLine="420" w:firstLineChars="200"/>
        <w:rPr>
          <w:color w:val="auto"/>
          <w:szCs w:val="21"/>
          <w:highlight w:val="none"/>
        </w:rPr>
      </w:pPr>
      <w:r>
        <w:rPr>
          <w:rFonts w:hint="eastAsia"/>
          <w:color w:val="auto"/>
          <w:szCs w:val="21"/>
          <w:highlight w:val="none"/>
        </w:rPr>
        <w:t>9）执行制定完成的变更程序，对变更进行严格的控制。</w:t>
      </w:r>
    </w:p>
    <w:p>
      <w:pPr>
        <w:tabs>
          <w:tab w:val="left" w:pos="426"/>
        </w:tabs>
        <w:ind w:firstLine="420" w:firstLineChars="200"/>
        <w:rPr>
          <w:color w:val="auto"/>
          <w:szCs w:val="21"/>
          <w:highlight w:val="none"/>
        </w:rPr>
      </w:pPr>
      <w:r>
        <w:rPr>
          <w:rFonts w:hint="eastAsia"/>
          <w:color w:val="auto"/>
          <w:szCs w:val="21"/>
          <w:highlight w:val="none"/>
        </w:rPr>
        <w:t>4.1.5投资控制</w:t>
      </w:r>
    </w:p>
    <w:p>
      <w:pPr>
        <w:tabs>
          <w:tab w:val="left" w:pos="426"/>
        </w:tabs>
        <w:ind w:firstLine="420" w:firstLineChars="200"/>
        <w:rPr>
          <w:color w:val="auto"/>
          <w:szCs w:val="21"/>
          <w:highlight w:val="none"/>
        </w:rPr>
      </w:pPr>
      <w:r>
        <w:rPr>
          <w:rFonts w:hint="eastAsia"/>
          <w:color w:val="auto"/>
          <w:szCs w:val="21"/>
          <w:highlight w:val="none"/>
        </w:rPr>
        <w:t>1）动态管理、跟踪项目费用，进行费用控制和分析；</w:t>
      </w:r>
    </w:p>
    <w:p>
      <w:pPr>
        <w:tabs>
          <w:tab w:val="left" w:pos="426"/>
        </w:tabs>
        <w:ind w:firstLine="420" w:firstLineChars="200"/>
        <w:rPr>
          <w:color w:val="auto"/>
          <w:szCs w:val="21"/>
          <w:highlight w:val="none"/>
        </w:rPr>
      </w:pPr>
      <w:r>
        <w:rPr>
          <w:rFonts w:hint="eastAsia"/>
          <w:color w:val="auto"/>
          <w:szCs w:val="21"/>
          <w:highlight w:val="none"/>
        </w:rPr>
        <w:t>2）审查项目进度款申报；</w:t>
      </w:r>
    </w:p>
    <w:p>
      <w:pPr>
        <w:tabs>
          <w:tab w:val="left" w:pos="426"/>
        </w:tabs>
        <w:ind w:firstLine="420" w:firstLineChars="200"/>
        <w:rPr>
          <w:color w:val="auto"/>
          <w:szCs w:val="21"/>
          <w:highlight w:val="none"/>
        </w:rPr>
      </w:pPr>
      <w:r>
        <w:rPr>
          <w:rFonts w:hint="eastAsia"/>
          <w:color w:val="auto"/>
          <w:szCs w:val="21"/>
          <w:highlight w:val="none"/>
        </w:rPr>
        <w:t>3）严格控制和审查项目需求变更，核算成本和变化量，报</w:t>
      </w:r>
      <w:r>
        <w:rPr>
          <w:rFonts w:hint="eastAsia"/>
          <w:color w:val="auto"/>
          <w:szCs w:val="21"/>
          <w:highlight w:val="none"/>
          <w:lang w:eastAsia="zh-CN"/>
        </w:rPr>
        <w:t>委托人</w:t>
      </w:r>
      <w:r>
        <w:rPr>
          <w:rFonts w:hint="eastAsia"/>
          <w:color w:val="auto"/>
          <w:szCs w:val="21"/>
          <w:highlight w:val="none"/>
        </w:rPr>
        <w:t>审批；</w:t>
      </w:r>
    </w:p>
    <w:p>
      <w:pPr>
        <w:tabs>
          <w:tab w:val="left" w:pos="426"/>
        </w:tabs>
        <w:ind w:firstLine="420" w:firstLineChars="200"/>
        <w:rPr>
          <w:color w:val="auto"/>
          <w:szCs w:val="21"/>
          <w:highlight w:val="none"/>
        </w:rPr>
      </w:pPr>
      <w:r>
        <w:rPr>
          <w:rFonts w:hint="eastAsia"/>
          <w:color w:val="auto"/>
          <w:szCs w:val="21"/>
          <w:highlight w:val="none"/>
        </w:rPr>
        <w:t>4）审核</w:t>
      </w:r>
      <w:r>
        <w:rPr>
          <w:rFonts w:hint="eastAsia"/>
          <w:color w:val="auto"/>
          <w:szCs w:val="21"/>
          <w:highlight w:val="none"/>
          <w:lang w:val="en-US" w:eastAsia="zh-CN"/>
        </w:rPr>
        <w:t>承包人</w:t>
      </w:r>
      <w:r>
        <w:rPr>
          <w:rFonts w:hint="eastAsia"/>
          <w:color w:val="auto"/>
          <w:szCs w:val="21"/>
          <w:highlight w:val="none"/>
        </w:rPr>
        <w:t>的工程量清单和工程竣工结算。</w:t>
      </w:r>
    </w:p>
    <w:p>
      <w:pPr>
        <w:tabs>
          <w:tab w:val="left" w:pos="426"/>
        </w:tabs>
        <w:ind w:firstLine="420" w:firstLineChars="200"/>
        <w:rPr>
          <w:color w:val="auto"/>
          <w:szCs w:val="21"/>
          <w:highlight w:val="none"/>
        </w:rPr>
      </w:pPr>
      <w:r>
        <w:rPr>
          <w:rFonts w:hint="eastAsia"/>
          <w:color w:val="auto"/>
          <w:szCs w:val="21"/>
          <w:highlight w:val="none"/>
        </w:rPr>
        <w:t>4.1.6合同管理</w:t>
      </w:r>
    </w:p>
    <w:p>
      <w:pPr>
        <w:tabs>
          <w:tab w:val="left" w:pos="426"/>
        </w:tabs>
        <w:ind w:firstLine="420" w:firstLineChars="200"/>
        <w:rPr>
          <w:color w:val="auto"/>
          <w:szCs w:val="21"/>
          <w:highlight w:val="none"/>
        </w:rPr>
      </w:pPr>
      <w:r>
        <w:rPr>
          <w:rFonts w:hint="eastAsia"/>
          <w:color w:val="auto"/>
          <w:szCs w:val="21"/>
          <w:highlight w:val="none"/>
        </w:rPr>
        <w:t>1）协助</w:t>
      </w:r>
      <w:r>
        <w:rPr>
          <w:rFonts w:hint="eastAsia"/>
          <w:color w:val="auto"/>
          <w:szCs w:val="21"/>
          <w:highlight w:val="none"/>
          <w:lang w:val="en-US" w:eastAsia="zh-CN"/>
        </w:rPr>
        <w:t>委托人</w:t>
      </w:r>
      <w:r>
        <w:rPr>
          <w:rFonts w:hint="eastAsia"/>
          <w:color w:val="auto"/>
          <w:szCs w:val="21"/>
          <w:highlight w:val="none"/>
        </w:rPr>
        <w:t>确定项目实施的合同结构；</w:t>
      </w:r>
    </w:p>
    <w:p>
      <w:pPr>
        <w:tabs>
          <w:tab w:val="left" w:pos="426"/>
        </w:tabs>
        <w:ind w:firstLine="420" w:firstLineChars="200"/>
        <w:rPr>
          <w:color w:val="auto"/>
          <w:szCs w:val="21"/>
          <w:highlight w:val="none"/>
        </w:rPr>
      </w:pPr>
      <w:r>
        <w:rPr>
          <w:rFonts w:hint="eastAsia"/>
          <w:color w:val="auto"/>
          <w:szCs w:val="21"/>
          <w:highlight w:val="none"/>
        </w:rPr>
        <w:t>2）协助</w:t>
      </w:r>
      <w:r>
        <w:rPr>
          <w:rFonts w:hint="eastAsia"/>
          <w:color w:val="auto"/>
          <w:szCs w:val="21"/>
          <w:highlight w:val="none"/>
          <w:lang w:val="en-US" w:eastAsia="zh-CN"/>
        </w:rPr>
        <w:t>委托人</w:t>
      </w:r>
      <w:r>
        <w:rPr>
          <w:rFonts w:hint="eastAsia"/>
          <w:color w:val="auto"/>
          <w:szCs w:val="21"/>
          <w:highlight w:val="none"/>
        </w:rPr>
        <w:t>起草与项目有关的各类合同（包括设计合同、集成合同、开发合同、施工合同、材料和设备定货与安装调试合同等）；</w:t>
      </w:r>
    </w:p>
    <w:p>
      <w:pPr>
        <w:tabs>
          <w:tab w:val="left" w:pos="426"/>
        </w:tabs>
        <w:ind w:firstLine="420" w:firstLineChars="200"/>
        <w:rPr>
          <w:color w:val="auto"/>
          <w:szCs w:val="21"/>
          <w:highlight w:val="none"/>
        </w:rPr>
      </w:pPr>
      <w:r>
        <w:rPr>
          <w:rFonts w:hint="eastAsia"/>
          <w:color w:val="auto"/>
          <w:szCs w:val="21"/>
          <w:highlight w:val="none"/>
        </w:rPr>
        <w:t>3）参与合同谈判；</w:t>
      </w:r>
    </w:p>
    <w:p>
      <w:pPr>
        <w:tabs>
          <w:tab w:val="left" w:pos="426"/>
        </w:tabs>
        <w:ind w:firstLine="420" w:firstLineChars="200"/>
        <w:rPr>
          <w:color w:val="auto"/>
          <w:szCs w:val="21"/>
          <w:highlight w:val="none"/>
        </w:rPr>
      </w:pPr>
      <w:r>
        <w:rPr>
          <w:rFonts w:hint="eastAsia"/>
          <w:color w:val="auto"/>
          <w:szCs w:val="21"/>
          <w:highlight w:val="none"/>
        </w:rPr>
        <w:t>4）监督检查</w:t>
      </w:r>
      <w:r>
        <w:rPr>
          <w:rFonts w:hint="eastAsia"/>
          <w:color w:val="auto"/>
          <w:szCs w:val="21"/>
          <w:highlight w:val="none"/>
          <w:lang w:val="en-US" w:eastAsia="zh-CN"/>
        </w:rPr>
        <w:t>承包人</w:t>
      </w:r>
      <w:r>
        <w:rPr>
          <w:rFonts w:hint="eastAsia"/>
          <w:color w:val="auto"/>
          <w:szCs w:val="21"/>
          <w:highlight w:val="none"/>
        </w:rPr>
        <w:t>合同，确保</w:t>
      </w:r>
      <w:r>
        <w:rPr>
          <w:rFonts w:hint="eastAsia"/>
          <w:color w:val="auto"/>
          <w:szCs w:val="21"/>
          <w:highlight w:val="none"/>
          <w:lang w:eastAsia="zh-CN"/>
        </w:rPr>
        <w:t>承包人</w:t>
      </w:r>
      <w:r>
        <w:rPr>
          <w:rFonts w:hint="eastAsia"/>
          <w:color w:val="auto"/>
          <w:szCs w:val="21"/>
          <w:highlight w:val="none"/>
        </w:rPr>
        <w:t>按时履约；</w:t>
      </w:r>
    </w:p>
    <w:p>
      <w:pPr>
        <w:tabs>
          <w:tab w:val="left" w:pos="426"/>
        </w:tabs>
        <w:ind w:firstLine="420" w:firstLineChars="200"/>
        <w:rPr>
          <w:color w:val="auto"/>
          <w:szCs w:val="21"/>
          <w:highlight w:val="none"/>
        </w:rPr>
      </w:pPr>
      <w:r>
        <w:rPr>
          <w:rFonts w:hint="eastAsia"/>
          <w:color w:val="auto"/>
          <w:szCs w:val="21"/>
          <w:highlight w:val="none"/>
        </w:rPr>
        <w:t>5）合同的跟踪管理（检查各方执行情况，提交合同管理报表与报告）；</w:t>
      </w:r>
    </w:p>
    <w:p>
      <w:pPr>
        <w:tabs>
          <w:tab w:val="left" w:pos="426"/>
        </w:tabs>
        <w:ind w:firstLine="420" w:firstLineChars="200"/>
        <w:rPr>
          <w:color w:val="auto"/>
          <w:szCs w:val="21"/>
          <w:highlight w:val="none"/>
        </w:rPr>
      </w:pPr>
      <w:r>
        <w:rPr>
          <w:rFonts w:hint="eastAsia"/>
          <w:color w:val="auto"/>
          <w:szCs w:val="21"/>
          <w:highlight w:val="none"/>
        </w:rPr>
        <w:t>6）协助</w:t>
      </w:r>
      <w:r>
        <w:rPr>
          <w:rFonts w:hint="eastAsia"/>
          <w:color w:val="auto"/>
          <w:szCs w:val="21"/>
          <w:highlight w:val="none"/>
          <w:lang w:val="en-US" w:eastAsia="zh-CN"/>
        </w:rPr>
        <w:t>委托人</w:t>
      </w:r>
      <w:r>
        <w:rPr>
          <w:rFonts w:hint="eastAsia"/>
          <w:color w:val="auto"/>
          <w:szCs w:val="21"/>
          <w:highlight w:val="none"/>
        </w:rPr>
        <w:t>处理各子项目实施的每个过程出现的违约、索赔、延期、分包、纠纷调解及仲裁等问题；</w:t>
      </w:r>
    </w:p>
    <w:p>
      <w:pPr>
        <w:tabs>
          <w:tab w:val="left" w:pos="426"/>
        </w:tabs>
        <w:ind w:firstLine="420" w:firstLineChars="200"/>
        <w:rPr>
          <w:color w:val="auto"/>
          <w:szCs w:val="21"/>
          <w:highlight w:val="none"/>
        </w:rPr>
      </w:pPr>
      <w:r>
        <w:rPr>
          <w:rFonts w:hint="eastAsia"/>
          <w:color w:val="auto"/>
          <w:szCs w:val="21"/>
          <w:highlight w:val="none"/>
        </w:rPr>
        <w:t>7）合同整理与归档。</w:t>
      </w:r>
    </w:p>
    <w:p>
      <w:pPr>
        <w:tabs>
          <w:tab w:val="left" w:pos="426"/>
        </w:tabs>
        <w:ind w:firstLine="420" w:firstLineChars="200"/>
        <w:rPr>
          <w:color w:val="auto"/>
          <w:szCs w:val="21"/>
          <w:highlight w:val="none"/>
        </w:rPr>
      </w:pPr>
      <w:r>
        <w:rPr>
          <w:rFonts w:hint="eastAsia"/>
          <w:color w:val="auto"/>
          <w:szCs w:val="21"/>
          <w:highlight w:val="none"/>
        </w:rPr>
        <w:t>4.1.7信息管理</w:t>
      </w:r>
    </w:p>
    <w:p>
      <w:pPr>
        <w:tabs>
          <w:tab w:val="left" w:pos="426"/>
        </w:tabs>
        <w:ind w:firstLine="420" w:firstLineChars="200"/>
        <w:rPr>
          <w:color w:val="auto"/>
          <w:szCs w:val="21"/>
          <w:highlight w:val="none"/>
        </w:rPr>
      </w:pPr>
      <w:r>
        <w:rPr>
          <w:rFonts w:hint="eastAsia"/>
          <w:color w:val="auto"/>
          <w:szCs w:val="21"/>
          <w:highlight w:val="none"/>
        </w:rPr>
        <w:t>1）及时向</w:t>
      </w:r>
      <w:r>
        <w:rPr>
          <w:rFonts w:hint="eastAsia"/>
          <w:color w:val="auto"/>
          <w:szCs w:val="21"/>
          <w:highlight w:val="none"/>
          <w:lang w:val="en-US" w:eastAsia="zh-CN"/>
        </w:rPr>
        <w:t>委托人</w:t>
      </w:r>
      <w:r>
        <w:rPr>
          <w:rFonts w:hint="eastAsia"/>
          <w:color w:val="auto"/>
          <w:szCs w:val="21"/>
          <w:highlight w:val="none"/>
        </w:rPr>
        <w:t>提交反映各子项目的动态信息和监理工作情况的项目文档；</w:t>
      </w:r>
    </w:p>
    <w:p>
      <w:pPr>
        <w:tabs>
          <w:tab w:val="left" w:pos="426"/>
        </w:tabs>
        <w:ind w:firstLine="420" w:firstLineChars="200"/>
        <w:rPr>
          <w:color w:val="auto"/>
          <w:szCs w:val="21"/>
          <w:highlight w:val="none"/>
        </w:rPr>
      </w:pPr>
      <w:r>
        <w:rPr>
          <w:rFonts w:hint="eastAsia"/>
          <w:color w:val="auto"/>
          <w:szCs w:val="21"/>
          <w:highlight w:val="none"/>
        </w:rPr>
        <w:t>2）建立全面、准确反映各子项目各阶段状况的图表、文档，收集、管理项目各类文档和资料；</w:t>
      </w:r>
    </w:p>
    <w:p>
      <w:pPr>
        <w:tabs>
          <w:tab w:val="left" w:pos="426"/>
        </w:tabs>
        <w:ind w:firstLine="420" w:firstLineChars="200"/>
        <w:rPr>
          <w:color w:val="auto"/>
          <w:szCs w:val="21"/>
          <w:highlight w:val="none"/>
        </w:rPr>
      </w:pPr>
      <w:r>
        <w:rPr>
          <w:rFonts w:hint="eastAsia"/>
          <w:color w:val="auto"/>
          <w:szCs w:val="21"/>
          <w:highlight w:val="none"/>
        </w:rPr>
        <w:t>3）督促、检查</w:t>
      </w:r>
      <w:r>
        <w:rPr>
          <w:rFonts w:hint="eastAsia"/>
          <w:color w:val="auto"/>
          <w:szCs w:val="21"/>
          <w:highlight w:val="none"/>
          <w:lang w:val="en-US" w:eastAsia="zh-CN"/>
        </w:rPr>
        <w:t>承包人</w:t>
      </w:r>
      <w:r>
        <w:rPr>
          <w:rFonts w:hint="eastAsia"/>
          <w:color w:val="auto"/>
          <w:szCs w:val="21"/>
          <w:highlight w:val="none"/>
        </w:rPr>
        <w:t>及时完成各阶段设计文档、会议纪要、变更单、问题跟踪单、监理建议书、监理通知书等资料的整理和归档工作；</w:t>
      </w:r>
    </w:p>
    <w:p>
      <w:pPr>
        <w:tabs>
          <w:tab w:val="left" w:pos="426"/>
        </w:tabs>
        <w:ind w:firstLine="420" w:firstLineChars="200"/>
        <w:rPr>
          <w:color w:val="auto"/>
          <w:szCs w:val="21"/>
          <w:highlight w:val="none"/>
        </w:rPr>
      </w:pPr>
      <w:r>
        <w:rPr>
          <w:rFonts w:hint="eastAsia"/>
          <w:color w:val="auto"/>
          <w:szCs w:val="21"/>
          <w:highlight w:val="none"/>
        </w:rPr>
        <w:t>4）审查</w:t>
      </w:r>
      <w:r>
        <w:rPr>
          <w:rFonts w:hint="eastAsia"/>
          <w:color w:val="auto"/>
          <w:szCs w:val="21"/>
          <w:highlight w:val="none"/>
          <w:lang w:eastAsia="zh-CN"/>
        </w:rPr>
        <w:t>承包人</w:t>
      </w:r>
      <w:r>
        <w:rPr>
          <w:rFonts w:hint="eastAsia"/>
          <w:color w:val="auto"/>
          <w:szCs w:val="21"/>
          <w:highlight w:val="none"/>
        </w:rPr>
        <w:t>的设计文档、变更单、问题跟踪单，审查</w:t>
      </w:r>
      <w:r>
        <w:rPr>
          <w:rFonts w:hint="eastAsia"/>
          <w:color w:val="auto"/>
          <w:szCs w:val="21"/>
          <w:highlight w:val="none"/>
          <w:lang w:eastAsia="zh-CN"/>
        </w:rPr>
        <w:t>承包人</w:t>
      </w:r>
      <w:r>
        <w:rPr>
          <w:rFonts w:hint="eastAsia"/>
          <w:color w:val="auto"/>
          <w:szCs w:val="21"/>
          <w:highlight w:val="none"/>
        </w:rPr>
        <w:t>与</w:t>
      </w:r>
      <w:r>
        <w:rPr>
          <w:rFonts w:hint="eastAsia"/>
          <w:color w:val="auto"/>
          <w:szCs w:val="21"/>
          <w:highlight w:val="none"/>
          <w:lang w:eastAsia="zh-CN"/>
        </w:rPr>
        <w:t>委托人</w:t>
      </w:r>
      <w:r>
        <w:rPr>
          <w:rFonts w:hint="eastAsia"/>
          <w:color w:val="auto"/>
          <w:szCs w:val="21"/>
          <w:highlight w:val="none"/>
        </w:rPr>
        <w:t>之间的业务联系单、备忘录、电子邮件、传真、电话记录等，并加具处理意见；</w:t>
      </w:r>
    </w:p>
    <w:p>
      <w:pPr>
        <w:tabs>
          <w:tab w:val="left" w:pos="426"/>
        </w:tabs>
        <w:ind w:firstLine="420" w:firstLineChars="200"/>
        <w:rPr>
          <w:color w:val="auto"/>
          <w:szCs w:val="21"/>
          <w:highlight w:val="none"/>
        </w:rPr>
      </w:pPr>
      <w:r>
        <w:rPr>
          <w:rFonts w:hint="eastAsia"/>
          <w:color w:val="auto"/>
          <w:szCs w:val="21"/>
          <w:highlight w:val="none"/>
        </w:rPr>
        <w:t>5）当项目质量或工期出现问题或严重偏离计划时，应及时向</w:t>
      </w:r>
      <w:r>
        <w:rPr>
          <w:rFonts w:hint="eastAsia"/>
          <w:color w:val="auto"/>
          <w:szCs w:val="21"/>
          <w:highlight w:val="none"/>
          <w:lang w:eastAsia="zh-CN"/>
        </w:rPr>
        <w:t>委托人</w:t>
      </w:r>
      <w:r>
        <w:rPr>
          <w:rFonts w:hint="eastAsia"/>
          <w:color w:val="auto"/>
          <w:szCs w:val="21"/>
          <w:highlight w:val="none"/>
        </w:rPr>
        <w:t>报告，并提出对策建议，同时督促</w:t>
      </w:r>
      <w:r>
        <w:rPr>
          <w:rFonts w:hint="eastAsia"/>
          <w:color w:val="auto"/>
          <w:szCs w:val="21"/>
          <w:highlight w:val="none"/>
          <w:lang w:eastAsia="zh-CN"/>
        </w:rPr>
        <w:t>承包人</w:t>
      </w:r>
      <w:r>
        <w:rPr>
          <w:rFonts w:hint="eastAsia"/>
          <w:color w:val="auto"/>
          <w:szCs w:val="21"/>
          <w:highlight w:val="none"/>
        </w:rPr>
        <w:t>尽快采取措施。</w:t>
      </w:r>
    </w:p>
    <w:p>
      <w:pPr>
        <w:tabs>
          <w:tab w:val="left" w:pos="426"/>
        </w:tabs>
        <w:ind w:firstLine="420" w:firstLineChars="200"/>
        <w:rPr>
          <w:color w:val="auto"/>
          <w:szCs w:val="21"/>
          <w:highlight w:val="none"/>
        </w:rPr>
      </w:pPr>
      <w:r>
        <w:rPr>
          <w:rFonts w:hint="eastAsia"/>
          <w:color w:val="auto"/>
          <w:szCs w:val="21"/>
          <w:highlight w:val="none"/>
        </w:rPr>
        <w:t>4.1.8组织协调</w:t>
      </w:r>
    </w:p>
    <w:p>
      <w:pPr>
        <w:tabs>
          <w:tab w:val="left" w:pos="426"/>
        </w:tabs>
        <w:ind w:firstLine="420" w:firstLineChars="200"/>
        <w:rPr>
          <w:color w:val="auto"/>
          <w:szCs w:val="21"/>
          <w:highlight w:val="none"/>
        </w:rPr>
      </w:pPr>
      <w:r>
        <w:rPr>
          <w:rFonts w:hint="eastAsia"/>
          <w:color w:val="auto"/>
          <w:szCs w:val="21"/>
          <w:highlight w:val="none"/>
        </w:rPr>
        <w:t>1）帮助</w:t>
      </w:r>
      <w:r>
        <w:rPr>
          <w:rFonts w:hint="eastAsia"/>
          <w:color w:val="auto"/>
          <w:szCs w:val="21"/>
          <w:highlight w:val="none"/>
          <w:lang w:val="en-US" w:eastAsia="zh-CN"/>
        </w:rPr>
        <w:t>委托人</w:t>
      </w:r>
      <w:r>
        <w:rPr>
          <w:rFonts w:hint="eastAsia"/>
          <w:color w:val="auto"/>
          <w:szCs w:val="21"/>
          <w:highlight w:val="none"/>
        </w:rPr>
        <w:t>划分或澄清</w:t>
      </w:r>
      <w:r>
        <w:rPr>
          <w:rFonts w:hint="eastAsia"/>
          <w:color w:val="auto"/>
          <w:szCs w:val="21"/>
          <w:highlight w:val="none"/>
          <w:lang w:eastAsia="zh-CN"/>
        </w:rPr>
        <w:t>承包人</w:t>
      </w:r>
      <w:r>
        <w:rPr>
          <w:rFonts w:hint="eastAsia"/>
          <w:color w:val="auto"/>
          <w:szCs w:val="21"/>
          <w:highlight w:val="none"/>
        </w:rPr>
        <w:t>的工作范围和职责；</w:t>
      </w:r>
    </w:p>
    <w:p>
      <w:pPr>
        <w:tabs>
          <w:tab w:val="left" w:pos="426"/>
        </w:tabs>
        <w:ind w:firstLine="420" w:firstLineChars="200"/>
        <w:rPr>
          <w:color w:val="auto"/>
          <w:szCs w:val="21"/>
          <w:highlight w:val="none"/>
        </w:rPr>
      </w:pPr>
      <w:r>
        <w:rPr>
          <w:rFonts w:hint="eastAsia"/>
          <w:color w:val="auto"/>
          <w:szCs w:val="21"/>
          <w:highlight w:val="none"/>
        </w:rPr>
        <w:t>2）监督本项目各方履行职责，协调各方的工作关系；</w:t>
      </w:r>
    </w:p>
    <w:p>
      <w:pPr>
        <w:tabs>
          <w:tab w:val="left" w:pos="426"/>
        </w:tabs>
        <w:ind w:firstLine="420" w:firstLineChars="200"/>
        <w:rPr>
          <w:color w:val="auto"/>
          <w:szCs w:val="21"/>
          <w:highlight w:val="none"/>
        </w:rPr>
      </w:pPr>
      <w:r>
        <w:rPr>
          <w:rFonts w:hint="eastAsia"/>
          <w:color w:val="auto"/>
          <w:szCs w:val="21"/>
          <w:highlight w:val="none"/>
        </w:rPr>
        <w:t>3）建立畅通的沟通平台和沟通渠道，采取有效措施使项目信息在有关各方之间保持顺畅流通，积极协调本项目各方之间的关系，推动项目实施过程中问题的解决。</w:t>
      </w:r>
    </w:p>
    <w:p>
      <w:pPr>
        <w:tabs>
          <w:tab w:val="left" w:pos="426"/>
        </w:tabs>
        <w:ind w:firstLine="420" w:firstLineChars="200"/>
        <w:rPr>
          <w:color w:val="auto"/>
          <w:szCs w:val="21"/>
          <w:highlight w:val="none"/>
        </w:rPr>
      </w:pPr>
      <w:r>
        <w:rPr>
          <w:rFonts w:hint="eastAsia"/>
          <w:color w:val="auto"/>
          <w:szCs w:val="21"/>
          <w:highlight w:val="none"/>
        </w:rPr>
        <w:t>4.1.9信息安全管理</w:t>
      </w:r>
    </w:p>
    <w:p>
      <w:pPr>
        <w:tabs>
          <w:tab w:val="left" w:pos="426"/>
        </w:tabs>
        <w:ind w:firstLine="420" w:firstLineChars="200"/>
        <w:rPr>
          <w:color w:val="auto"/>
          <w:szCs w:val="21"/>
          <w:highlight w:val="none"/>
        </w:rPr>
      </w:pPr>
      <w:r>
        <w:rPr>
          <w:rFonts w:hint="eastAsia"/>
          <w:color w:val="auto"/>
          <w:szCs w:val="21"/>
          <w:highlight w:val="none"/>
        </w:rPr>
        <w:t>1）督促</w:t>
      </w:r>
      <w:r>
        <w:rPr>
          <w:rFonts w:hint="eastAsia"/>
          <w:color w:val="auto"/>
          <w:szCs w:val="21"/>
          <w:highlight w:val="none"/>
          <w:lang w:val="en-US" w:eastAsia="zh-CN"/>
        </w:rPr>
        <w:t>承包人</w:t>
      </w:r>
      <w:r>
        <w:rPr>
          <w:rFonts w:hint="eastAsia"/>
          <w:color w:val="auto"/>
          <w:szCs w:val="21"/>
          <w:highlight w:val="none"/>
        </w:rPr>
        <w:t>建立完善的信息安全管理制度，数据备份制度；</w:t>
      </w:r>
    </w:p>
    <w:p>
      <w:pPr>
        <w:tabs>
          <w:tab w:val="left" w:pos="426"/>
        </w:tabs>
        <w:ind w:firstLine="420" w:firstLineChars="200"/>
        <w:rPr>
          <w:color w:val="auto"/>
          <w:szCs w:val="21"/>
          <w:highlight w:val="none"/>
        </w:rPr>
      </w:pPr>
      <w:r>
        <w:rPr>
          <w:rFonts w:hint="eastAsia"/>
          <w:color w:val="auto"/>
          <w:szCs w:val="21"/>
          <w:highlight w:val="none"/>
        </w:rPr>
        <w:t>2）组织信息安全事故的调查与处理；</w:t>
      </w:r>
    </w:p>
    <w:p>
      <w:pPr>
        <w:tabs>
          <w:tab w:val="left" w:pos="426"/>
        </w:tabs>
        <w:ind w:firstLine="420" w:firstLineChars="200"/>
        <w:rPr>
          <w:color w:val="auto"/>
          <w:szCs w:val="21"/>
          <w:highlight w:val="none"/>
        </w:rPr>
      </w:pPr>
      <w:r>
        <w:rPr>
          <w:rFonts w:hint="eastAsia"/>
          <w:color w:val="auto"/>
          <w:szCs w:val="21"/>
          <w:highlight w:val="none"/>
        </w:rPr>
        <w:t>3）建立信息化工程监理的信息安全管理工作目标和管理流程。</w:t>
      </w:r>
    </w:p>
    <w:p>
      <w:pPr>
        <w:tabs>
          <w:tab w:val="left" w:pos="426"/>
        </w:tabs>
        <w:ind w:firstLine="420" w:firstLineChars="200"/>
        <w:rPr>
          <w:color w:val="auto"/>
          <w:szCs w:val="21"/>
          <w:highlight w:val="none"/>
        </w:rPr>
      </w:pPr>
      <w:r>
        <w:rPr>
          <w:rFonts w:hint="eastAsia"/>
          <w:color w:val="auto"/>
          <w:szCs w:val="21"/>
          <w:highlight w:val="none"/>
        </w:rPr>
        <w:t>4.1.10项目文档管理</w:t>
      </w:r>
    </w:p>
    <w:p>
      <w:pPr>
        <w:tabs>
          <w:tab w:val="left" w:pos="426"/>
        </w:tabs>
        <w:ind w:firstLine="420" w:firstLineChars="200"/>
        <w:rPr>
          <w:color w:val="auto"/>
          <w:szCs w:val="21"/>
          <w:highlight w:val="none"/>
        </w:rPr>
      </w:pPr>
      <w:r>
        <w:rPr>
          <w:rFonts w:hint="eastAsia"/>
          <w:color w:val="auto"/>
          <w:szCs w:val="21"/>
          <w:highlight w:val="none"/>
        </w:rPr>
        <w:t>1）督促检查</w:t>
      </w:r>
      <w:r>
        <w:rPr>
          <w:rFonts w:hint="eastAsia"/>
          <w:color w:val="auto"/>
          <w:szCs w:val="21"/>
          <w:highlight w:val="none"/>
          <w:lang w:val="en-US" w:eastAsia="zh-CN"/>
        </w:rPr>
        <w:t>承包人</w:t>
      </w:r>
      <w:r>
        <w:rPr>
          <w:rFonts w:hint="eastAsia"/>
          <w:color w:val="auto"/>
          <w:szCs w:val="21"/>
          <w:highlight w:val="none"/>
        </w:rPr>
        <w:t>及时完成各阶段设计文档、测试记录、变更记录、问题跟踪处理记录等文件的归档工作，按归档要求进行分类整理归档，按时完成竣工资料（包括监理工作方面的归档资料）验收。确保项目中各类文件传送的规范化、制度化，监理类文书资料管理的科学化、规范化；</w:t>
      </w:r>
    </w:p>
    <w:p>
      <w:pPr>
        <w:tabs>
          <w:tab w:val="left" w:pos="426"/>
        </w:tabs>
        <w:ind w:firstLine="420" w:firstLineChars="200"/>
        <w:rPr>
          <w:color w:val="auto"/>
          <w:szCs w:val="21"/>
          <w:highlight w:val="none"/>
        </w:rPr>
      </w:pPr>
      <w:r>
        <w:rPr>
          <w:rFonts w:hint="eastAsia"/>
          <w:color w:val="auto"/>
          <w:szCs w:val="21"/>
          <w:highlight w:val="none"/>
        </w:rPr>
        <w:t>2）监理</w:t>
      </w:r>
      <w:r>
        <w:rPr>
          <w:rFonts w:hint="eastAsia"/>
          <w:color w:val="auto"/>
          <w:szCs w:val="21"/>
          <w:highlight w:val="none"/>
          <w:lang w:val="en-US" w:eastAsia="zh-CN"/>
        </w:rPr>
        <w:t>人</w:t>
      </w:r>
      <w:r>
        <w:rPr>
          <w:rFonts w:hint="eastAsia"/>
          <w:color w:val="auto"/>
          <w:szCs w:val="21"/>
          <w:highlight w:val="none"/>
        </w:rPr>
        <w:t>的文档管理人员，负责收集、管理监理工作各类文书资料，对监理工作文档、收发文签收登记等进行管理；</w:t>
      </w:r>
    </w:p>
    <w:p>
      <w:pPr>
        <w:tabs>
          <w:tab w:val="left" w:pos="426"/>
        </w:tabs>
        <w:ind w:firstLine="420" w:firstLineChars="200"/>
        <w:rPr>
          <w:color w:val="auto"/>
          <w:szCs w:val="21"/>
          <w:highlight w:val="none"/>
        </w:rPr>
      </w:pPr>
      <w:r>
        <w:rPr>
          <w:rFonts w:hint="eastAsia"/>
          <w:color w:val="auto"/>
          <w:szCs w:val="21"/>
          <w:highlight w:val="none"/>
        </w:rPr>
        <w:t>3）现场监理人员须完成监理日志、隐蔽工程记录表、工程量复核资料等文档资料，并保证数据无误。</w:t>
      </w:r>
    </w:p>
    <w:p>
      <w:pPr>
        <w:tabs>
          <w:tab w:val="left" w:pos="426"/>
        </w:tabs>
        <w:ind w:firstLine="420" w:firstLineChars="200"/>
        <w:rPr>
          <w:color w:val="auto"/>
          <w:szCs w:val="21"/>
          <w:highlight w:val="none"/>
        </w:rPr>
      </w:pPr>
      <w:r>
        <w:rPr>
          <w:rFonts w:hint="eastAsia"/>
          <w:color w:val="auto"/>
          <w:szCs w:val="21"/>
          <w:highlight w:val="none"/>
        </w:rPr>
        <w:t>4.2、项目日常监理</w:t>
      </w:r>
    </w:p>
    <w:p>
      <w:pPr>
        <w:tabs>
          <w:tab w:val="left" w:pos="426"/>
        </w:tabs>
        <w:ind w:firstLine="420" w:firstLineChars="200"/>
        <w:rPr>
          <w:color w:val="auto"/>
          <w:szCs w:val="21"/>
          <w:highlight w:val="none"/>
        </w:rPr>
      </w:pPr>
      <w:r>
        <w:rPr>
          <w:rFonts w:hint="eastAsia"/>
          <w:color w:val="auto"/>
          <w:szCs w:val="21"/>
          <w:highlight w:val="none"/>
        </w:rPr>
        <w:t>4.2.1掌握监理范围内涉及的各种技术及相关标准；</w:t>
      </w:r>
    </w:p>
    <w:p>
      <w:pPr>
        <w:tabs>
          <w:tab w:val="left" w:pos="426"/>
        </w:tabs>
        <w:ind w:firstLine="420" w:firstLineChars="200"/>
        <w:rPr>
          <w:color w:val="auto"/>
          <w:szCs w:val="21"/>
          <w:highlight w:val="none"/>
        </w:rPr>
      </w:pPr>
      <w:r>
        <w:rPr>
          <w:rFonts w:hint="eastAsia"/>
          <w:color w:val="auto"/>
          <w:szCs w:val="21"/>
          <w:highlight w:val="none"/>
        </w:rPr>
        <w:t>4.2.2安排足够的监理人员，按项目需要派驻相应的专业人员进行项目监理，至少保证1名监理项目师在现场，随时为</w:t>
      </w:r>
      <w:r>
        <w:rPr>
          <w:rFonts w:hint="eastAsia"/>
          <w:color w:val="auto"/>
          <w:szCs w:val="21"/>
          <w:highlight w:val="none"/>
          <w:lang w:val="en-US" w:eastAsia="zh-CN"/>
        </w:rPr>
        <w:t>委托人</w:t>
      </w:r>
      <w:r>
        <w:rPr>
          <w:rFonts w:hint="eastAsia"/>
          <w:color w:val="auto"/>
          <w:szCs w:val="21"/>
          <w:highlight w:val="none"/>
        </w:rPr>
        <w:t>提供服务，安排总监理工程师服务本项目；</w:t>
      </w:r>
    </w:p>
    <w:p>
      <w:pPr>
        <w:tabs>
          <w:tab w:val="left" w:pos="426"/>
        </w:tabs>
        <w:ind w:firstLine="420" w:firstLineChars="200"/>
        <w:rPr>
          <w:color w:val="auto"/>
          <w:szCs w:val="21"/>
          <w:highlight w:val="none"/>
        </w:rPr>
      </w:pPr>
      <w:r>
        <w:rPr>
          <w:rFonts w:hint="eastAsia"/>
          <w:color w:val="auto"/>
          <w:szCs w:val="21"/>
          <w:highlight w:val="none"/>
        </w:rPr>
        <w:t>4.2.3制定工程管理的组织机构方案并协助</w:t>
      </w:r>
      <w:r>
        <w:rPr>
          <w:rFonts w:hint="eastAsia"/>
          <w:color w:val="auto"/>
          <w:szCs w:val="21"/>
          <w:highlight w:val="none"/>
          <w:lang w:val="en-US" w:eastAsia="zh-CN"/>
        </w:rPr>
        <w:t>委托人</w:t>
      </w:r>
      <w:r>
        <w:rPr>
          <w:rFonts w:hint="eastAsia"/>
          <w:color w:val="auto"/>
          <w:szCs w:val="21"/>
          <w:highlight w:val="none"/>
        </w:rPr>
        <w:t>组建相关机构，并提供相关培训；</w:t>
      </w:r>
    </w:p>
    <w:p>
      <w:pPr>
        <w:tabs>
          <w:tab w:val="left" w:pos="426"/>
        </w:tabs>
        <w:ind w:firstLine="420" w:firstLineChars="200"/>
        <w:rPr>
          <w:color w:val="auto"/>
          <w:szCs w:val="21"/>
          <w:highlight w:val="none"/>
        </w:rPr>
      </w:pPr>
      <w:r>
        <w:rPr>
          <w:rFonts w:hint="eastAsia"/>
          <w:color w:val="auto"/>
          <w:szCs w:val="21"/>
          <w:highlight w:val="none"/>
        </w:rPr>
        <w:t>4.2.4熟悉了解本项目各子项目的业务需求，协助</w:t>
      </w:r>
      <w:r>
        <w:rPr>
          <w:rFonts w:hint="eastAsia"/>
          <w:color w:val="auto"/>
          <w:szCs w:val="21"/>
          <w:highlight w:val="none"/>
          <w:lang w:eastAsia="zh-CN"/>
        </w:rPr>
        <w:t>委托人</w:t>
      </w:r>
      <w:r>
        <w:rPr>
          <w:rFonts w:hint="eastAsia"/>
          <w:color w:val="auto"/>
          <w:szCs w:val="21"/>
          <w:highlight w:val="none"/>
        </w:rPr>
        <w:t>对项目的目标、范围和功能进行界定，参与并协助本项目各子项目的招标技术文件编制工作（包括各项目建设需求的整理编制工作）；</w:t>
      </w:r>
    </w:p>
    <w:p>
      <w:pPr>
        <w:tabs>
          <w:tab w:val="left" w:pos="426"/>
        </w:tabs>
        <w:ind w:firstLine="420" w:firstLineChars="200"/>
        <w:rPr>
          <w:color w:val="auto"/>
          <w:szCs w:val="21"/>
          <w:highlight w:val="none"/>
        </w:rPr>
      </w:pPr>
      <w:r>
        <w:rPr>
          <w:rFonts w:hint="eastAsia"/>
          <w:color w:val="auto"/>
          <w:szCs w:val="21"/>
          <w:highlight w:val="none"/>
        </w:rPr>
        <w:t>4.2.5参与各项目的招投标工作，参与各项合同的起草、评审及谈判工作，并对合同的执行情况进行总体监督；</w:t>
      </w:r>
    </w:p>
    <w:p>
      <w:pPr>
        <w:tabs>
          <w:tab w:val="left" w:pos="426"/>
        </w:tabs>
        <w:ind w:firstLine="420" w:firstLineChars="200"/>
        <w:rPr>
          <w:color w:val="auto"/>
          <w:szCs w:val="21"/>
          <w:highlight w:val="none"/>
        </w:rPr>
      </w:pPr>
      <w:r>
        <w:rPr>
          <w:rFonts w:hint="eastAsia"/>
          <w:color w:val="auto"/>
          <w:szCs w:val="21"/>
          <w:highlight w:val="none"/>
        </w:rPr>
        <w:t>4.2.6建立健全科学合理的会议制度，并予以贯彻落实；</w:t>
      </w:r>
    </w:p>
    <w:p>
      <w:pPr>
        <w:tabs>
          <w:tab w:val="left" w:pos="426"/>
        </w:tabs>
        <w:ind w:firstLine="420" w:firstLineChars="200"/>
        <w:rPr>
          <w:color w:val="auto"/>
          <w:szCs w:val="21"/>
          <w:highlight w:val="none"/>
        </w:rPr>
      </w:pPr>
      <w:r>
        <w:rPr>
          <w:rFonts w:hint="eastAsia"/>
          <w:color w:val="auto"/>
          <w:szCs w:val="21"/>
          <w:highlight w:val="none"/>
        </w:rPr>
        <w:t>4.2.7建立健全科学合理的文档管理制度，制订实施过程中产生的各类文档制作、管理规范，并予以贯彻落实；</w:t>
      </w:r>
    </w:p>
    <w:p>
      <w:pPr>
        <w:tabs>
          <w:tab w:val="left" w:pos="426"/>
        </w:tabs>
        <w:ind w:firstLine="420" w:firstLineChars="200"/>
        <w:rPr>
          <w:color w:val="auto"/>
          <w:szCs w:val="21"/>
          <w:highlight w:val="none"/>
        </w:rPr>
      </w:pPr>
      <w:r>
        <w:rPr>
          <w:rFonts w:hint="eastAsia"/>
          <w:color w:val="auto"/>
          <w:szCs w:val="21"/>
          <w:highlight w:val="none"/>
        </w:rPr>
        <w:t>4.2.8与</w:t>
      </w:r>
      <w:r>
        <w:rPr>
          <w:rFonts w:hint="eastAsia"/>
          <w:color w:val="auto"/>
          <w:szCs w:val="21"/>
          <w:highlight w:val="none"/>
          <w:lang w:val="en-US" w:eastAsia="zh-CN"/>
        </w:rPr>
        <w:t>委托人</w:t>
      </w:r>
      <w:r>
        <w:rPr>
          <w:rFonts w:hint="eastAsia"/>
          <w:color w:val="auto"/>
          <w:szCs w:val="21"/>
          <w:highlight w:val="none"/>
        </w:rPr>
        <w:t>一起制定评审机制，在项目实施全过程中随时关注隐患苗头，如发现将会导致项目失败的情况出现时，应及时启动评审机制，组织专家对项目实施情况进行评审，对评审不合格的，应向</w:t>
      </w:r>
      <w:r>
        <w:rPr>
          <w:rFonts w:hint="eastAsia"/>
          <w:color w:val="auto"/>
          <w:szCs w:val="21"/>
          <w:highlight w:val="none"/>
          <w:lang w:val="en-US" w:eastAsia="zh-CN"/>
        </w:rPr>
        <w:t>委托人</w:t>
      </w:r>
      <w:r>
        <w:rPr>
          <w:rFonts w:hint="eastAsia"/>
          <w:color w:val="auto"/>
          <w:szCs w:val="21"/>
          <w:highlight w:val="none"/>
        </w:rPr>
        <w:t>提出终止合同意见；</w:t>
      </w:r>
    </w:p>
    <w:p>
      <w:pPr>
        <w:tabs>
          <w:tab w:val="left" w:pos="426"/>
        </w:tabs>
        <w:ind w:firstLine="420" w:firstLineChars="200"/>
        <w:rPr>
          <w:color w:val="auto"/>
          <w:szCs w:val="21"/>
          <w:highlight w:val="none"/>
        </w:rPr>
      </w:pPr>
      <w:r>
        <w:rPr>
          <w:rFonts w:hint="eastAsia"/>
          <w:color w:val="auto"/>
          <w:szCs w:val="21"/>
          <w:highlight w:val="none"/>
        </w:rPr>
        <w:t>4.2.9其他需要日常监理的事项。</w:t>
      </w:r>
    </w:p>
    <w:p>
      <w:pPr>
        <w:tabs>
          <w:tab w:val="left" w:pos="426"/>
        </w:tabs>
        <w:ind w:firstLine="420" w:firstLineChars="200"/>
        <w:rPr>
          <w:color w:val="auto"/>
          <w:szCs w:val="21"/>
          <w:highlight w:val="none"/>
        </w:rPr>
      </w:pPr>
      <w:r>
        <w:rPr>
          <w:rFonts w:hint="eastAsia"/>
          <w:color w:val="auto"/>
          <w:szCs w:val="21"/>
          <w:highlight w:val="none"/>
        </w:rPr>
        <w:t>4.3、项目过程监理</w:t>
      </w:r>
    </w:p>
    <w:p>
      <w:pPr>
        <w:tabs>
          <w:tab w:val="left" w:pos="426"/>
        </w:tabs>
        <w:ind w:firstLine="420" w:firstLineChars="200"/>
        <w:rPr>
          <w:color w:val="auto"/>
          <w:szCs w:val="21"/>
          <w:highlight w:val="none"/>
        </w:rPr>
      </w:pPr>
      <w:r>
        <w:rPr>
          <w:rFonts w:hint="eastAsia"/>
          <w:color w:val="auto"/>
          <w:szCs w:val="21"/>
          <w:highlight w:val="none"/>
        </w:rPr>
        <w:t>4.3.1实施过程中的监理</w:t>
      </w:r>
    </w:p>
    <w:p>
      <w:pPr>
        <w:tabs>
          <w:tab w:val="left" w:pos="426"/>
        </w:tabs>
        <w:ind w:firstLine="420" w:firstLineChars="200"/>
        <w:rPr>
          <w:color w:val="auto"/>
          <w:szCs w:val="21"/>
          <w:highlight w:val="none"/>
        </w:rPr>
      </w:pPr>
      <w:r>
        <w:rPr>
          <w:rFonts w:hint="eastAsia"/>
          <w:color w:val="auto"/>
          <w:szCs w:val="21"/>
          <w:highlight w:val="none"/>
        </w:rPr>
        <w:t>1）为保障项目全过程优质监理服务，</w:t>
      </w:r>
      <w:r>
        <w:rPr>
          <w:rFonts w:hint="eastAsia"/>
          <w:color w:val="auto"/>
          <w:szCs w:val="21"/>
          <w:highlight w:val="none"/>
          <w:lang w:val="en-US" w:eastAsia="zh-CN"/>
        </w:rPr>
        <w:t>监理人</w:t>
      </w:r>
      <w:r>
        <w:rPr>
          <w:rFonts w:hint="eastAsia"/>
          <w:color w:val="auto"/>
          <w:szCs w:val="21"/>
          <w:highlight w:val="none"/>
        </w:rPr>
        <w:t>应提供对本项目优质服务承诺；</w:t>
      </w:r>
    </w:p>
    <w:p>
      <w:pPr>
        <w:tabs>
          <w:tab w:val="left" w:pos="426"/>
        </w:tabs>
        <w:ind w:firstLine="420" w:firstLineChars="200"/>
        <w:rPr>
          <w:color w:val="auto"/>
          <w:szCs w:val="21"/>
          <w:highlight w:val="none"/>
        </w:rPr>
      </w:pPr>
      <w:r>
        <w:rPr>
          <w:rFonts w:hint="eastAsia"/>
          <w:color w:val="auto"/>
          <w:szCs w:val="21"/>
          <w:highlight w:val="none"/>
        </w:rPr>
        <w:t>2）编制监理大纲、监理规划、监理实施细则，提交给</w:t>
      </w:r>
      <w:r>
        <w:rPr>
          <w:rFonts w:hint="eastAsia"/>
          <w:color w:val="auto"/>
          <w:szCs w:val="21"/>
          <w:highlight w:val="none"/>
          <w:lang w:eastAsia="zh-CN"/>
        </w:rPr>
        <w:t>委托人</w:t>
      </w:r>
      <w:r>
        <w:rPr>
          <w:rFonts w:hint="eastAsia"/>
          <w:color w:val="auto"/>
          <w:szCs w:val="21"/>
          <w:highlight w:val="none"/>
        </w:rPr>
        <w:t>审核；</w:t>
      </w:r>
    </w:p>
    <w:p>
      <w:pPr>
        <w:tabs>
          <w:tab w:val="left" w:pos="426"/>
        </w:tabs>
        <w:ind w:firstLine="420" w:firstLineChars="200"/>
        <w:rPr>
          <w:color w:val="auto"/>
          <w:szCs w:val="21"/>
          <w:highlight w:val="none"/>
        </w:rPr>
      </w:pPr>
      <w:r>
        <w:rPr>
          <w:rFonts w:hint="eastAsia"/>
          <w:color w:val="auto"/>
          <w:szCs w:val="21"/>
          <w:highlight w:val="none"/>
        </w:rPr>
        <w:t>3）根据相关项目的工作范围的要求，制定出详细的项目管理实施计划，主要内容包括项目计划管理、人员管理、进度管理、质量管理、变更与风险管理、合同管理、安全管理、知识产权管理、沟通与协调管理、评估与验收管理、文档管理、项目管理办法、</w:t>
      </w:r>
      <w:r>
        <w:rPr>
          <w:rFonts w:hint="eastAsia"/>
          <w:color w:val="auto"/>
          <w:szCs w:val="21"/>
          <w:highlight w:val="none"/>
          <w:lang w:eastAsia="zh-CN"/>
        </w:rPr>
        <w:t>承包人</w:t>
      </w:r>
      <w:r>
        <w:rPr>
          <w:rFonts w:hint="eastAsia"/>
          <w:color w:val="auto"/>
          <w:szCs w:val="21"/>
          <w:highlight w:val="none"/>
        </w:rPr>
        <w:t>管理办法等，提交给</w:t>
      </w:r>
      <w:r>
        <w:rPr>
          <w:rFonts w:hint="eastAsia"/>
          <w:color w:val="auto"/>
          <w:szCs w:val="21"/>
          <w:highlight w:val="none"/>
          <w:lang w:val="en-US" w:eastAsia="zh-CN"/>
        </w:rPr>
        <w:t>委托人</w:t>
      </w:r>
      <w:r>
        <w:rPr>
          <w:rFonts w:hint="eastAsia"/>
          <w:color w:val="auto"/>
          <w:szCs w:val="21"/>
          <w:highlight w:val="none"/>
        </w:rPr>
        <w:t>审核，并依此进行过程管理；</w:t>
      </w:r>
    </w:p>
    <w:p>
      <w:pPr>
        <w:tabs>
          <w:tab w:val="left" w:pos="426"/>
        </w:tabs>
        <w:ind w:firstLine="420" w:firstLineChars="200"/>
        <w:rPr>
          <w:color w:val="auto"/>
          <w:szCs w:val="21"/>
          <w:highlight w:val="none"/>
        </w:rPr>
      </w:pPr>
      <w:r>
        <w:rPr>
          <w:rFonts w:hint="eastAsia"/>
          <w:color w:val="auto"/>
          <w:szCs w:val="21"/>
          <w:highlight w:val="none"/>
        </w:rPr>
        <w:t>4）审核</w:t>
      </w:r>
      <w:r>
        <w:rPr>
          <w:rFonts w:hint="eastAsia"/>
          <w:color w:val="auto"/>
          <w:szCs w:val="21"/>
          <w:highlight w:val="none"/>
          <w:lang w:eastAsia="zh-CN"/>
        </w:rPr>
        <w:t>承包人</w:t>
      </w:r>
      <w:r>
        <w:rPr>
          <w:rFonts w:hint="eastAsia"/>
          <w:color w:val="auto"/>
          <w:szCs w:val="21"/>
          <w:highlight w:val="none"/>
        </w:rPr>
        <w:t>的开工申请报告，对</w:t>
      </w:r>
      <w:r>
        <w:rPr>
          <w:rFonts w:hint="eastAsia"/>
          <w:color w:val="auto"/>
          <w:szCs w:val="21"/>
          <w:highlight w:val="none"/>
          <w:lang w:eastAsia="zh-CN"/>
        </w:rPr>
        <w:t>承包人</w:t>
      </w:r>
      <w:r>
        <w:rPr>
          <w:rFonts w:hint="eastAsia"/>
          <w:color w:val="auto"/>
          <w:szCs w:val="21"/>
          <w:highlight w:val="none"/>
        </w:rPr>
        <w:t>进行开工前检查；</w:t>
      </w:r>
    </w:p>
    <w:p>
      <w:pPr>
        <w:tabs>
          <w:tab w:val="left" w:pos="426"/>
        </w:tabs>
        <w:ind w:firstLine="420" w:firstLineChars="200"/>
        <w:rPr>
          <w:color w:val="auto"/>
          <w:szCs w:val="21"/>
          <w:highlight w:val="none"/>
        </w:rPr>
      </w:pPr>
      <w:r>
        <w:rPr>
          <w:rFonts w:hint="eastAsia"/>
          <w:color w:val="auto"/>
          <w:szCs w:val="21"/>
          <w:highlight w:val="none"/>
        </w:rPr>
        <w:t>5）根据项目的总体规划，与</w:t>
      </w:r>
      <w:r>
        <w:rPr>
          <w:rFonts w:hint="eastAsia"/>
          <w:color w:val="auto"/>
          <w:szCs w:val="21"/>
          <w:highlight w:val="none"/>
          <w:lang w:val="en-US" w:eastAsia="zh-CN"/>
        </w:rPr>
        <w:t>委托人</w:t>
      </w:r>
      <w:r>
        <w:rPr>
          <w:rFonts w:hint="eastAsia"/>
          <w:color w:val="auto"/>
          <w:szCs w:val="21"/>
          <w:highlight w:val="none"/>
        </w:rPr>
        <w:t>联合对</w:t>
      </w:r>
      <w:r>
        <w:rPr>
          <w:rFonts w:hint="eastAsia"/>
          <w:color w:val="auto"/>
          <w:szCs w:val="21"/>
          <w:highlight w:val="none"/>
          <w:lang w:eastAsia="zh-CN"/>
        </w:rPr>
        <w:t>承包人</w:t>
      </w:r>
      <w:r>
        <w:rPr>
          <w:rFonts w:hint="eastAsia"/>
          <w:color w:val="auto"/>
          <w:szCs w:val="21"/>
          <w:highlight w:val="none"/>
        </w:rPr>
        <w:t>制定的项目总体实施方案、技术方案、实施策略、实施规范等进行审核评估，并提交审核意见及相关问题处理方案和措施，以及监督方案和措施的执行；</w:t>
      </w:r>
    </w:p>
    <w:p>
      <w:pPr>
        <w:tabs>
          <w:tab w:val="left" w:pos="426"/>
        </w:tabs>
        <w:ind w:firstLine="420" w:firstLineChars="200"/>
        <w:rPr>
          <w:color w:val="auto"/>
          <w:szCs w:val="21"/>
          <w:highlight w:val="none"/>
        </w:rPr>
      </w:pPr>
      <w:r>
        <w:rPr>
          <w:rFonts w:hint="eastAsia"/>
          <w:color w:val="auto"/>
          <w:szCs w:val="21"/>
          <w:highlight w:val="none"/>
        </w:rPr>
        <w:t>6）检查项目采用硬件、系统软件是否符合采购文件或技术方案所确定的品牌、型号、规格和质量标准，提交相关验收清单和验收方法，依此严格审查验收采购的硬件、系统软件产品，保证所有硬件、系统软件都符合合同要求；</w:t>
      </w:r>
    </w:p>
    <w:p>
      <w:pPr>
        <w:tabs>
          <w:tab w:val="left" w:pos="426"/>
        </w:tabs>
        <w:ind w:firstLine="420" w:firstLineChars="200"/>
        <w:rPr>
          <w:color w:val="auto"/>
          <w:szCs w:val="21"/>
          <w:highlight w:val="none"/>
        </w:rPr>
      </w:pPr>
      <w:r>
        <w:rPr>
          <w:rFonts w:hint="eastAsia"/>
          <w:color w:val="auto"/>
          <w:szCs w:val="21"/>
          <w:highlight w:val="none"/>
        </w:rPr>
        <w:t>7）督促</w:t>
      </w:r>
      <w:r>
        <w:rPr>
          <w:rFonts w:hint="eastAsia"/>
          <w:color w:val="auto"/>
          <w:szCs w:val="21"/>
          <w:highlight w:val="none"/>
          <w:lang w:eastAsia="zh-CN"/>
        </w:rPr>
        <w:t>承包人</w:t>
      </w:r>
      <w:r>
        <w:rPr>
          <w:rFonts w:hint="eastAsia"/>
          <w:color w:val="auto"/>
          <w:szCs w:val="21"/>
          <w:highlight w:val="none"/>
        </w:rPr>
        <w:t>严格执行项目合同、国家相关技术标准、规范，对违反要求的及时向</w:t>
      </w:r>
      <w:r>
        <w:rPr>
          <w:rFonts w:hint="eastAsia"/>
          <w:color w:val="auto"/>
          <w:szCs w:val="21"/>
          <w:highlight w:val="none"/>
          <w:lang w:eastAsia="zh-CN"/>
        </w:rPr>
        <w:t>委托人</w:t>
      </w:r>
      <w:r>
        <w:rPr>
          <w:rFonts w:hint="eastAsia"/>
          <w:color w:val="auto"/>
          <w:szCs w:val="21"/>
          <w:highlight w:val="none"/>
        </w:rPr>
        <w:t>报告，并提出处理方案。对项目中的难点、重点进行检查，做好分项验收工作；</w:t>
      </w:r>
    </w:p>
    <w:p>
      <w:pPr>
        <w:tabs>
          <w:tab w:val="left" w:pos="426"/>
        </w:tabs>
        <w:ind w:firstLine="420" w:firstLineChars="200"/>
        <w:rPr>
          <w:color w:val="auto"/>
          <w:szCs w:val="21"/>
          <w:highlight w:val="none"/>
        </w:rPr>
      </w:pPr>
      <w:r>
        <w:rPr>
          <w:rFonts w:hint="eastAsia"/>
          <w:color w:val="auto"/>
          <w:szCs w:val="21"/>
          <w:highlight w:val="none"/>
        </w:rPr>
        <w:t>8）对各项目以及项目整体的进展状况进行评审及监控，定期检查汇报项目实际进度情况，审核</w:t>
      </w:r>
      <w:r>
        <w:rPr>
          <w:rFonts w:hint="eastAsia"/>
          <w:color w:val="auto"/>
          <w:szCs w:val="21"/>
          <w:highlight w:val="none"/>
          <w:lang w:eastAsia="zh-CN"/>
        </w:rPr>
        <w:t>承包人</w:t>
      </w:r>
      <w:r>
        <w:rPr>
          <w:rFonts w:hint="eastAsia"/>
          <w:color w:val="auto"/>
          <w:szCs w:val="21"/>
          <w:highlight w:val="none"/>
        </w:rPr>
        <w:t>的进度报告，对项目实施过程中各个阶段的实施成果进行评审和管理，并提交审核意见及相关问题处理方案和措施，以及监督方案和措施的执行；</w:t>
      </w:r>
    </w:p>
    <w:p>
      <w:pPr>
        <w:tabs>
          <w:tab w:val="left" w:pos="426"/>
        </w:tabs>
        <w:ind w:firstLine="420" w:firstLineChars="200"/>
        <w:rPr>
          <w:color w:val="auto"/>
          <w:szCs w:val="21"/>
          <w:highlight w:val="none"/>
        </w:rPr>
      </w:pPr>
      <w:r>
        <w:rPr>
          <w:rFonts w:hint="eastAsia"/>
          <w:color w:val="auto"/>
          <w:szCs w:val="21"/>
          <w:highlight w:val="none"/>
        </w:rPr>
        <w:t>9）监督需求管理、配置管理的执行和控制情况，督促整改存在的问题；</w:t>
      </w:r>
    </w:p>
    <w:p>
      <w:pPr>
        <w:tabs>
          <w:tab w:val="left" w:pos="426"/>
        </w:tabs>
        <w:ind w:firstLine="420" w:firstLineChars="200"/>
        <w:rPr>
          <w:color w:val="auto"/>
          <w:szCs w:val="21"/>
          <w:highlight w:val="none"/>
        </w:rPr>
      </w:pPr>
      <w:r>
        <w:rPr>
          <w:rFonts w:hint="eastAsia"/>
          <w:color w:val="auto"/>
          <w:szCs w:val="21"/>
          <w:highlight w:val="none"/>
        </w:rPr>
        <w:t>10）根据项目进度情况，对阶段测试方案进行评审，并根据测试方案对已完成部分进行测试，就发现的问题提出处理方案和措施，以及监督方案和措施的执行；</w:t>
      </w:r>
    </w:p>
    <w:p>
      <w:pPr>
        <w:tabs>
          <w:tab w:val="left" w:pos="426"/>
        </w:tabs>
        <w:ind w:firstLine="420" w:firstLineChars="200"/>
        <w:rPr>
          <w:color w:val="auto"/>
          <w:szCs w:val="21"/>
          <w:highlight w:val="none"/>
        </w:rPr>
      </w:pPr>
      <w:r>
        <w:rPr>
          <w:rFonts w:hint="eastAsia"/>
          <w:color w:val="auto"/>
          <w:szCs w:val="21"/>
          <w:highlight w:val="none"/>
        </w:rPr>
        <w:t>11）对项目的重大变更进行审核和有效控制，提出相关变更处理方案及措施，以及监督方案和措施的执行，处理好各种变更及索赔事宜；</w:t>
      </w:r>
    </w:p>
    <w:p>
      <w:pPr>
        <w:tabs>
          <w:tab w:val="left" w:pos="426"/>
        </w:tabs>
        <w:ind w:firstLine="420" w:firstLineChars="200"/>
        <w:rPr>
          <w:color w:val="auto"/>
          <w:szCs w:val="21"/>
          <w:highlight w:val="none"/>
        </w:rPr>
      </w:pPr>
      <w:r>
        <w:rPr>
          <w:rFonts w:hint="eastAsia"/>
          <w:color w:val="auto"/>
          <w:szCs w:val="21"/>
          <w:highlight w:val="none"/>
        </w:rPr>
        <w:t>12）发现质量问题时及时向</w:t>
      </w:r>
      <w:r>
        <w:rPr>
          <w:rFonts w:hint="eastAsia"/>
          <w:color w:val="auto"/>
          <w:szCs w:val="21"/>
          <w:highlight w:val="none"/>
          <w:lang w:eastAsia="zh-CN"/>
        </w:rPr>
        <w:t>委托人</w:t>
      </w:r>
      <w:r>
        <w:rPr>
          <w:rFonts w:hint="eastAsia"/>
          <w:color w:val="auto"/>
          <w:szCs w:val="21"/>
          <w:highlight w:val="none"/>
        </w:rPr>
        <w:t>报告，并提出处理方案和措施，以及监督方案和措施执行；</w:t>
      </w:r>
    </w:p>
    <w:p>
      <w:pPr>
        <w:tabs>
          <w:tab w:val="left" w:pos="426"/>
        </w:tabs>
        <w:ind w:firstLine="420" w:firstLineChars="200"/>
        <w:rPr>
          <w:color w:val="auto"/>
          <w:szCs w:val="21"/>
          <w:highlight w:val="none"/>
        </w:rPr>
      </w:pPr>
      <w:r>
        <w:rPr>
          <w:rFonts w:hint="eastAsia"/>
          <w:color w:val="auto"/>
          <w:szCs w:val="21"/>
          <w:highlight w:val="none"/>
        </w:rPr>
        <w:t>13）督促及监督</w:t>
      </w:r>
      <w:r>
        <w:rPr>
          <w:rFonts w:hint="eastAsia"/>
          <w:color w:val="auto"/>
          <w:szCs w:val="21"/>
          <w:highlight w:val="none"/>
          <w:lang w:eastAsia="zh-CN"/>
        </w:rPr>
        <w:t>承包人</w:t>
      </w:r>
      <w:r>
        <w:rPr>
          <w:rFonts w:hint="eastAsia"/>
          <w:color w:val="auto"/>
          <w:szCs w:val="21"/>
          <w:highlight w:val="none"/>
        </w:rPr>
        <w:t>按照有关部门规定的安全文明施工标准开展安全文明施工的规范培训、现场施工的安全防护与标识牌的设置；</w:t>
      </w:r>
    </w:p>
    <w:p>
      <w:pPr>
        <w:tabs>
          <w:tab w:val="left" w:pos="426"/>
        </w:tabs>
        <w:ind w:firstLine="420" w:firstLineChars="200"/>
        <w:rPr>
          <w:color w:val="auto"/>
          <w:szCs w:val="21"/>
          <w:highlight w:val="none"/>
        </w:rPr>
      </w:pPr>
      <w:r>
        <w:rPr>
          <w:rFonts w:hint="eastAsia"/>
          <w:color w:val="auto"/>
          <w:szCs w:val="21"/>
          <w:highlight w:val="none"/>
        </w:rPr>
        <w:t>14）每月编制监理月报向</w:t>
      </w:r>
      <w:r>
        <w:rPr>
          <w:rFonts w:hint="eastAsia"/>
          <w:color w:val="auto"/>
          <w:szCs w:val="21"/>
          <w:highlight w:val="none"/>
          <w:lang w:eastAsia="zh-CN"/>
        </w:rPr>
        <w:t>委托人</w:t>
      </w:r>
      <w:r>
        <w:rPr>
          <w:rFonts w:hint="eastAsia"/>
          <w:color w:val="auto"/>
          <w:szCs w:val="21"/>
          <w:highlight w:val="none"/>
        </w:rPr>
        <w:t>综合报告和评价本月的质量和进度、合同执行情况、发生的重大事件、下月工作的计划、需要配合的事宜以及发生变化的可能性与应对措施；</w:t>
      </w:r>
    </w:p>
    <w:p>
      <w:pPr>
        <w:tabs>
          <w:tab w:val="left" w:pos="426"/>
        </w:tabs>
        <w:ind w:firstLine="420" w:firstLineChars="200"/>
        <w:rPr>
          <w:color w:val="auto"/>
          <w:szCs w:val="21"/>
          <w:highlight w:val="none"/>
        </w:rPr>
      </w:pPr>
      <w:r>
        <w:rPr>
          <w:rFonts w:hint="eastAsia"/>
          <w:color w:val="auto"/>
          <w:szCs w:val="21"/>
          <w:highlight w:val="none"/>
        </w:rPr>
        <w:t>15）其他需要监理的事项。</w:t>
      </w:r>
    </w:p>
    <w:p>
      <w:pPr>
        <w:tabs>
          <w:tab w:val="left" w:pos="426"/>
        </w:tabs>
        <w:ind w:firstLine="420" w:firstLineChars="200"/>
        <w:rPr>
          <w:color w:val="auto"/>
          <w:szCs w:val="21"/>
          <w:highlight w:val="none"/>
        </w:rPr>
      </w:pPr>
      <w:r>
        <w:rPr>
          <w:rFonts w:hint="eastAsia"/>
          <w:color w:val="auto"/>
          <w:szCs w:val="21"/>
          <w:highlight w:val="none"/>
        </w:rPr>
        <w:t>4.3.2试运行阶段的监理</w:t>
      </w:r>
    </w:p>
    <w:p>
      <w:pPr>
        <w:tabs>
          <w:tab w:val="left" w:pos="426"/>
        </w:tabs>
        <w:ind w:firstLine="420" w:firstLineChars="200"/>
        <w:rPr>
          <w:color w:val="auto"/>
          <w:szCs w:val="21"/>
          <w:highlight w:val="none"/>
        </w:rPr>
      </w:pPr>
      <w:r>
        <w:rPr>
          <w:rFonts w:hint="eastAsia"/>
          <w:color w:val="auto"/>
          <w:szCs w:val="21"/>
          <w:highlight w:val="none"/>
        </w:rPr>
        <w:t>1）协助</w:t>
      </w:r>
      <w:r>
        <w:rPr>
          <w:rFonts w:hint="eastAsia"/>
          <w:color w:val="auto"/>
          <w:szCs w:val="21"/>
          <w:highlight w:val="none"/>
          <w:lang w:eastAsia="zh-CN"/>
        </w:rPr>
        <w:t>委托人</w:t>
      </w:r>
      <w:r>
        <w:rPr>
          <w:rFonts w:hint="eastAsia"/>
          <w:color w:val="auto"/>
          <w:szCs w:val="21"/>
          <w:highlight w:val="none"/>
        </w:rPr>
        <w:t>确认项目进入试运行；</w:t>
      </w:r>
    </w:p>
    <w:p>
      <w:pPr>
        <w:tabs>
          <w:tab w:val="left" w:pos="426"/>
        </w:tabs>
        <w:ind w:firstLine="420" w:firstLineChars="200"/>
        <w:rPr>
          <w:color w:val="auto"/>
          <w:szCs w:val="21"/>
          <w:highlight w:val="none"/>
        </w:rPr>
      </w:pPr>
      <w:r>
        <w:rPr>
          <w:rFonts w:hint="eastAsia"/>
          <w:color w:val="auto"/>
          <w:szCs w:val="21"/>
          <w:highlight w:val="none"/>
        </w:rPr>
        <w:t>2）监查系统的调试和试运行情况，记录系统试运行数据；</w:t>
      </w:r>
    </w:p>
    <w:p>
      <w:pPr>
        <w:tabs>
          <w:tab w:val="left" w:pos="426"/>
        </w:tabs>
        <w:ind w:firstLine="420" w:firstLineChars="200"/>
        <w:rPr>
          <w:color w:val="auto"/>
          <w:szCs w:val="21"/>
          <w:highlight w:val="none"/>
        </w:rPr>
      </w:pPr>
      <w:r>
        <w:rPr>
          <w:rFonts w:hint="eastAsia"/>
          <w:color w:val="auto"/>
          <w:szCs w:val="21"/>
          <w:highlight w:val="none"/>
        </w:rPr>
        <w:t>3）进行试运行期系统检测或测试，做出检测或测试报告；</w:t>
      </w:r>
    </w:p>
    <w:p>
      <w:pPr>
        <w:tabs>
          <w:tab w:val="left" w:pos="426"/>
        </w:tabs>
        <w:ind w:firstLine="420" w:firstLineChars="200"/>
        <w:rPr>
          <w:color w:val="auto"/>
          <w:szCs w:val="21"/>
          <w:highlight w:val="none"/>
        </w:rPr>
      </w:pPr>
      <w:r>
        <w:rPr>
          <w:rFonts w:hint="eastAsia"/>
          <w:color w:val="auto"/>
          <w:szCs w:val="21"/>
          <w:highlight w:val="none"/>
        </w:rPr>
        <w:t>4）试运行期间系统出现的质量问题进行记录，并责成有关单位解决。</w:t>
      </w:r>
    </w:p>
    <w:p>
      <w:pPr>
        <w:tabs>
          <w:tab w:val="left" w:pos="426"/>
        </w:tabs>
        <w:ind w:firstLine="420" w:firstLineChars="200"/>
        <w:rPr>
          <w:color w:val="auto"/>
          <w:szCs w:val="21"/>
          <w:highlight w:val="none"/>
        </w:rPr>
      </w:pPr>
      <w:r>
        <w:rPr>
          <w:rFonts w:hint="eastAsia"/>
          <w:color w:val="auto"/>
          <w:szCs w:val="21"/>
          <w:highlight w:val="none"/>
        </w:rPr>
        <w:t>5）进行试运行时间核算；</w:t>
      </w:r>
    </w:p>
    <w:p>
      <w:pPr>
        <w:tabs>
          <w:tab w:val="left" w:pos="426"/>
        </w:tabs>
        <w:ind w:firstLine="420" w:firstLineChars="200"/>
        <w:rPr>
          <w:color w:val="auto"/>
          <w:szCs w:val="21"/>
          <w:highlight w:val="none"/>
        </w:rPr>
      </w:pPr>
      <w:r>
        <w:rPr>
          <w:rFonts w:hint="eastAsia"/>
          <w:color w:val="auto"/>
          <w:szCs w:val="21"/>
          <w:highlight w:val="none"/>
        </w:rPr>
        <w:t>6）协助</w:t>
      </w:r>
      <w:r>
        <w:rPr>
          <w:rFonts w:hint="eastAsia"/>
          <w:color w:val="auto"/>
          <w:szCs w:val="21"/>
          <w:highlight w:val="none"/>
          <w:lang w:eastAsia="zh-CN"/>
        </w:rPr>
        <w:t>委托人</w:t>
      </w:r>
      <w:r>
        <w:rPr>
          <w:rFonts w:hint="eastAsia"/>
          <w:color w:val="auto"/>
          <w:szCs w:val="21"/>
          <w:highlight w:val="none"/>
        </w:rPr>
        <w:t>确认试运行通过。</w:t>
      </w:r>
    </w:p>
    <w:p>
      <w:pPr>
        <w:tabs>
          <w:tab w:val="left" w:pos="426"/>
        </w:tabs>
        <w:ind w:firstLine="420" w:firstLineChars="200"/>
        <w:rPr>
          <w:color w:val="auto"/>
          <w:szCs w:val="21"/>
          <w:highlight w:val="none"/>
        </w:rPr>
      </w:pPr>
      <w:r>
        <w:rPr>
          <w:rFonts w:hint="eastAsia"/>
          <w:color w:val="auto"/>
          <w:szCs w:val="21"/>
          <w:highlight w:val="none"/>
        </w:rPr>
        <w:t>4.3.3验收过程中的监理</w:t>
      </w:r>
    </w:p>
    <w:p>
      <w:pPr>
        <w:tabs>
          <w:tab w:val="left" w:pos="426"/>
        </w:tabs>
        <w:ind w:firstLine="420" w:firstLineChars="200"/>
        <w:rPr>
          <w:color w:val="auto"/>
          <w:szCs w:val="21"/>
          <w:highlight w:val="none"/>
        </w:rPr>
      </w:pPr>
      <w:r>
        <w:rPr>
          <w:rFonts w:hint="eastAsia"/>
          <w:color w:val="auto"/>
          <w:szCs w:val="21"/>
          <w:highlight w:val="none"/>
        </w:rPr>
        <w:t>1）审核</w:t>
      </w:r>
      <w:r>
        <w:rPr>
          <w:rFonts w:hint="eastAsia"/>
          <w:color w:val="auto"/>
          <w:szCs w:val="21"/>
          <w:highlight w:val="none"/>
          <w:lang w:eastAsia="zh-CN"/>
        </w:rPr>
        <w:t>承包人</w:t>
      </w:r>
      <w:r>
        <w:rPr>
          <w:rFonts w:hint="eastAsia"/>
          <w:color w:val="auto"/>
          <w:szCs w:val="21"/>
          <w:highlight w:val="none"/>
        </w:rPr>
        <w:t>测试方案、竣工文档、验收报告、项目结算，对测试过程进行全程监控，确保交付质量；</w:t>
      </w:r>
    </w:p>
    <w:p>
      <w:pPr>
        <w:tabs>
          <w:tab w:val="left" w:pos="426"/>
        </w:tabs>
        <w:ind w:firstLine="420" w:firstLineChars="200"/>
        <w:rPr>
          <w:color w:val="auto"/>
          <w:szCs w:val="21"/>
          <w:highlight w:val="none"/>
        </w:rPr>
      </w:pPr>
      <w:r>
        <w:rPr>
          <w:rFonts w:hint="eastAsia"/>
          <w:color w:val="auto"/>
          <w:szCs w:val="21"/>
          <w:highlight w:val="none"/>
        </w:rPr>
        <w:t>2）协助</w:t>
      </w:r>
      <w:r>
        <w:rPr>
          <w:rFonts w:hint="eastAsia"/>
          <w:color w:val="auto"/>
          <w:szCs w:val="21"/>
          <w:highlight w:val="none"/>
          <w:lang w:eastAsia="zh-CN"/>
        </w:rPr>
        <w:t>委托人</w:t>
      </w:r>
      <w:r>
        <w:rPr>
          <w:rFonts w:hint="eastAsia"/>
          <w:color w:val="auto"/>
          <w:szCs w:val="21"/>
          <w:highlight w:val="none"/>
        </w:rPr>
        <w:t>审批</w:t>
      </w:r>
      <w:r>
        <w:rPr>
          <w:rFonts w:hint="eastAsia"/>
          <w:color w:val="auto"/>
          <w:szCs w:val="21"/>
          <w:highlight w:val="none"/>
          <w:lang w:eastAsia="zh-CN"/>
        </w:rPr>
        <w:t>承包人</w:t>
      </w:r>
      <w:r>
        <w:rPr>
          <w:rFonts w:hint="eastAsia"/>
          <w:color w:val="auto"/>
          <w:szCs w:val="21"/>
          <w:highlight w:val="none"/>
        </w:rPr>
        <w:t>的验收申请，并制订项目验收计划；</w:t>
      </w:r>
    </w:p>
    <w:p>
      <w:pPr>
        <w:tabs>
          <w:tab w:val="left" w:pos="426"/>
        </w:tabs>
        <w:ind w:firstLine="420" w:firstLineChars="200"/>
        <w:rPr>
          <w:color w:val="auto"/>
          <w:szCs w:val="21"/>
          <w:highlight w:val="none"/>
        </w:rPr>
      </w:pPr>
      <w:r>
        <w:rPr>
          <w:rFonts w:hint="eastAsia"/>
          <w:color w:val="auto"/>
          <w:szCs w:val="21"/>
          <w:highlight w:val="none"/>
        </w:rPr>
        <w:t>3）协助</w:t>
      </w:r>
      <w:r>
        <w:rPr>
          <w:rFonts w:hint="eastAsia"/>
          <w:color w:val="auto"/>
          <w:szCs w:val="21"/>
          <w:highlight w:val="none"/>
          <w:lang w:eastAsia="zh-CN"/>
        </w:rPr>
        <w:t>委托人</w:t>
      </w:r>
      <w:r>
        <w:rPr>
          <w:rFonts w:hint="eastAsia"/>
          <w:color w:val="auto"/>
          <w:szCs w:val="21"/>
          <w:highlight w:val="none"/>
        </w:rPr>
        <w:t>进行项目初验、试运行和终验工作，并负责督促和检查</w:t>
      </w:r>
      <w:r>
        <w:rPr>
          <w:rFonts w:hint="eastAsia"/>
          <w:color w:val="auto"/>
          <w:szCs w:val="21"/>
          <w:highlight w:val="none"/>
          <w:lang w:eastAsia="zh-CN"/>
        </w:rPr>
        <w:t>承包人</w:t>
      </w:r>
      <w:r>
        <w:rPr>
          <w:rFonts w:hint="eastAsia"/>
          <w:color w:val="auto"/>
          <w:szCs w:val="21"/>
          <w:highlight w:val="none"/>
        </w:rPr>
        <w:t>的整改工作；</w:t>
      </w:r>
    </w:p>
    <w:p>
      <w:pPr>
        <w:tabs>
          <w:tab w:val="left" w:pos="426"/>
        </w:tabs>
        <w:ind w:firstLine="420" w:firstLineChars="200"/>
        <w:rPr>
          <w:color w:val="auto"/>
          <w:szCs w:val="21"/>
          <w:highlight w:val="none"/>
        </w:rPr>
      </w:pPr>
      <w:r>
        <w:rPr>
          <w:rFonts w:hint="eastAsia"/>
          <w:color w:val="auto"/>
          <w:szCs w:val="21"/>
          <w:highlight w:val="none"/>
        </w:rPr>
        <w:t>4）各项目完工后根据相关合同督促</w:t>
      </w:r>
      <w:r>
        <w:rPr>
          <w:rFonts w:hint="eastAsia"/>
          <w:color w:val="auto"/>
          <w:szCs w:val="21"/>
          <w:highlight w:val="none"/>
          <w:lang w:eastAsia="zh-CN"/>
        </w:rPr>
        <w:t>承包人</w:t>
      </w:r>
      <w:r>
        <w:rPr>
          <w:rFonts w:hint="eastAsia"/>
          <w:color w:val="auto"/>
          <w:szCs w:val="21"/>
          <w:highlight w:val="none"/>
        </w:rPr>
        <w:t>将完整的原始实施技术资料移交给</w:t>
      </w:r>
      <w:r>
        <w:rPr>
          <w:rFonts w:hint="eastAsia"/>
          <w:color w:val="auto"/>
          <w:szCs w:val="21"/>
          <w:highlight w:val="none"/>
          <w:lang w:eastAsia="zh-CN"/>
        </w:rPr>
        <w:t>委托人</w:t>
      </w:r>
      <w:r>
        <w:rPr>
          <w:rFonts w:hint="eastAsia"/>
          <w:color w:val="auto"/>
          <w:szCs w:val="21"/>
          <w:highlight w:val="none"/>
        </w:rPr>
        <w:t>，同时负责检查移交的文档（项目的设计方案、设计图纸，设备、材料等的验收文档，项目施工文档、竣工文档），确保真实和完整；</w:t>
      </w:r>
    </w:p>
    <w:p>
      <w:pPr>
        <w:tabs>
          <w:tab w:val="left" w:pos="426"/>
        </w:tabs>
        <w:ind w:firstLine="420" w:firstLineChars="200"/>
        <w:rPr>
          <w:color w:val="auto"/>
          <w:szCs w:val="21"/>
          <w:highlight w:val="none"/>
        </w:rPr>
      </w:pPr>
      <w:r>
        <w:rPr>
          <w:rFonts w:hint="eastAsia"/>
          <w:color w:val="auto"/>
          <w:szCs w:val="21"/>
          <w:highlight w:val="none"/>
        </w:rPr>
        <w:t>5）复核确认或否决</w:t>
      </w:r>
      <w:r>
        <w:rPr>
          <w:rFonts w:hint="eastAsia"/>
          <w:color w:val="auto"/>
          <w:szCs w:val="21"/>
          <w:highlight w:val="none"/>
          <w:lang w:eastAsia="zh-CN"/>
        </w:rPr>
        <w:t>承包人</w:t>
      </w:r>
      <w:r>
        <w:rPr>
          <w:rFonts w:hint="eastAsia"/>
          <w:color w:val="auto"/>
          <w:szCs w:val="21"/>
          <w:highlight w:val="none"/>
        </w:rPr>
        <w:t>编制的项目结算、决算，提出监理意见；</w:t>
      </w:r>
    </w:p>
    <w:p>
      <w:pPr>
        <w:tabs>
          <w:tab w:val="left" w:pos="426"/>
        </w:tabs>
        <w:ind w:firstLine="420" w:firstLineChars="200"/>
        <w:rPr>
          <w:color w:val="auto"/>
          <w:szCs w:val="21"/>
          <w:highlight w:val="none"/>
        </w:rPr>
      </w:pPr>
      <w:r>
        <w:rPr>
          <w:rFonts w:hint="eastAsia"/>
          <w:color w:val="auto"/>
          <w:szCs w:val="21"/>
          <w:highlight w:val="none"/>
        </w:rPr>
        <w:t>6）项目验收通过后，与</w:t>
      </w:r>
      <w:r>
        <w:rPr>
          <w:rFonts w:hint="eastAsia"/>
          <w:color w:val="auto"/>
          <w:szCs w:val="21"/>
          <w:highlight w:val="none"/>
          <w:lang w:eastAsia="zh-CN"/>
        </w:rPr>
        <w:t>委托人</w:t>
      </w:r>
      <w:r>
        <w:rPr>
          <w:rFonts w:hint="eastAsia"/>
          <w:color w:val="auto"/>
          <w:szCs w:val="21"/>
          <w:highlight w:val="none"/>
        </w:rPr>
        <w:t>、</w:t>
      </w:r>
      <w:r>
        <w:rPr>
          <w:rFonts w:hint="eastAsia"/>
          <w:color w:val="auto"/>
          <w:szCs w:val="21"/>
          <w:highlight w:val="none"/>
          <w:lang w:eastAsia="zh-CN"/>
        </w:rPr>
        <w:t>承包人</w:t>
      </w:r>
      <w:r>
        <w:rPr>
          <w:rFonts w:hint="eastAsia"/>
          <w:color w:val="auto"/>
          <w:szCs w:val="21"/>
          <w:highlight w:val="none"/>
        </w:rPr>
        <w:t>三方共同签署验收报告；</w:t>
      </w:r>
    </w:p>
    <w:p>
      <w:pPr>
        <w:tabs>
          <w:tab w:val="left" w:pos="426"/>
        </w:tabs>
        <w:ind w:firstLine="420" w:firstLineChars="200"/>
        <w:rPr>
          <w:color w:val="auto"/>
          <w:szCs w:val="21"/>
          <w:highlight w:val="none"/>
        </w:rPr>
      </w:pPr>
      <w:r>
        <w:rPr>
          <w:rFonts w:hint="eastAsia"/>
          <w:color w:val="auto"/>
          <w:szCs w:val="21"/>
          <w:highlight w:val="none"/>
        </w:rPr>
        <w:t>7）项目验收完毕进入保修阶段的审核与签发移交证书。</w:t>
      </w:r>
    </w:p>
    <w:p>
      <w:pPr>
        <w:tabs>
          <w:tab w:val="left" w:pos="426"/>
        </w:tabs>
        <w:ind w:firstLine="420" w:firstLineChars="200"/>
        <w:rPr>
          <w:color w:val="auto"/>
          <w:szCs w:val="21"/>
          <w:highlight w:val="none"/>
        </w:rPr>
      </w:pPr>
      <w:r>
        <w:rPr>
          <w:rFonts w:hint="eastAsia"/>
          <w:color w:val="auto"/>
          <w:szCs w:val="21"/>
          <w:highlight w:val="none"/>
        </w:rPr>
        <w:t>8）出具监理总结报告；</w:t>
      </w:r>
    </w:p>
    <w:p>
      <w:pPr>
        <w:tabs>
          <w:tab w:val="left" w:pos="426"/>
        </w:tabs>
        <w:ind w:firstLine="420" w:firstLineChars="200"/>
        <w:rPr>
          <w:color w:val="auto"/>
          <w:szCs w:val="21"/>
          <w:highlight w:val="none"/>
        </w:rPr>
      </w:pPr>
      <w:r>
        <w:rPr>
          <w:rFonts w:hint="eastAsia"/>
          <w:color w:val="auto"/>
          <w:szCs w:val="21"/>
          <w:highlight w:val="none"/>
        </w:rPr>
        <w:t>9）其他需要监理的事项。</w:t>
      </w:r>
    </w:p>
    <w:p>
      <w:pPr>
        <w:tabs>
          <w:tab w:val="left" w:pos="426"/>
        </w:tabs>
        <w:ind w:firstLine="420" w:firstLineChars="200"/>
        <w:rPr>
          <w:color w:val="auto"/>
          <w:szCs w:val="21"/>
          <w:highlight w:val="none"/>
        </w:rPr>
      </w:pPr>
      <w:r>
        <w:rPr>
          <w:rFonts w:hint="eastAsia"/>
          <w:color w:val="auto"/>
          <w:szCs w:val="21"/>
          <w:highlight w:val="none"/>
        </w:rPr>
        <w:t>4.3.4保修阶段的监理</w:t>
      </w:r>
    </w:p>
    <w:p>
      <w:pPr>
        <w:tabs>
          <w:tab w:val="left" w:pos="426"/>
        </w:tabs>
        <w:ind w:firstLine="420" w:firstLineChars="200"/>
        <w:rPr>
          <w:color w:val="auto"/>
          <w:szCs w:val="21"/>
          <w:highlight w:val="none"/>
        </w:rPr>
      </w:pPr>
      <w:r>
        <w:rPr>
          <w:rFonts w:hint="eastAsia"/>
          <w:color w:val="auto"/>
          <w:szCs w:val="21"/>
          <w:highlight w:val="none"/>
        </w:rPr>
        <w:t>1）审核</w:t>
      </w:r>
      <w:r>
        <w:rPr>
          <w:rFonts w:hint="eastAsia"/>
          <w:color w:val="auto"/>
          <w:szCs w:val="21"/>
          <w:highlight w:val="none"/>
          <w:lang w:eastAsia="zh-CN"/>
        </w:rPr>
        <w:t>承包人</w:t>
      </w:r>
      <w:r>
        <w:rPr>
          <w:rFonts w:hint="eastAsia"/>
          <w:color w:val="auto"/>
          <w:szCs w:val="21"/>
          <w:highlight w:val="none"/>
        </w:rPr>
        <w:t>的维护</w:t>
      </w:r>
      <w:r>
        <w:rPr>
          <w:color w:val="auto"/>
          <w:szCs w:val="21"/>
          <w:highlight w:val="none"/>
        </w:rPr>
        <w:t>保修</w:t>
      </w:r>
      <w:r>
        <w:rPr>
          <w:rFonts w:hint="eastAsia"/>
          <w:color w:val="auto"/>
          <w:szCs w:val="21"/>
          <w:highlight w:val="none"/>
        </w:rPr>
        <w:t>计划，并定期检查</w:t>
      </w:r>
      <w:r>
        <w:rPr>
          <w:rFonts w:hint="eastAsia"/>
          <w:color w:val="auto"/>
          <w:szCs w:val="21"/>
          <w:highlight w:val="none"/>
          <w:lang w:eastAsia="zh-CN"/>
        </w:rPr>
        <w:t>承包人</w:t>
      </w:r>
      <w:r>
        <w:rPr>
          <w:rFonts w:hint="eastAsia"/>
          <w:color w:val="auto"/>
          <w:szCs w:val="21"/>
          <w:highlight w:val="none"/>
        </w:rPr>
        <w:t>是否按计划进行服务（定期维护）；</w:t>
      </w:r>
    </w:p>
    <w:p>
      <w:pPr>
        <w:tabs>
          <w:tab w:val="left" w:pos="426"/>
        </w:tabs>
        <w:ind w:firstLine="420" w:firstLineChars="200"/>
        <w:rPr>
          <w:color w:val="auto"/>
          <w:szCs w:val="21"/>
          <w:highlight w:val="none"/>
        </w:rPr>
      </w:pPr>
      <w:r>
        <w:rPr>
          <w:rFonts w:hint="eastAsia"/>
          <w:color w:val="auto"/>
          <w:szCs w:val="21"/>
          <w:highlight w:val="none"/>
        </w:rPr>
        <w:t>2）当出现质量问题时，鉴定质量问题的责任；</w:t>
      </w:r>
    </w:p>
    <w:p>
      <w:pPr>
        <w:tabs>
          <w:tab w:val="left" w:pos="426"/>
        </w:tabs>
        <w:ind w:firstLine="420" w:firstLineChars="200"/>
        <w:rPr>
          <w:color w:val="auto"/>
          <w:szCs w:val="21"/>
          <w:highlight w:val="none"/>
        </w:rPr>
      </w:pPr>
      <w:r>
        <w:rPr>
          <w:rFonts w:hint="eastAsia"/>
          <w:color w:val="auto"/>
          <w:szCs w:val="21"/>
          <w:highlight w:val="none"/>
        </w:rPr>
        <w:t>3）对质量问题的处理结果进行跟踪、评审，直至解决为止；</w:t>
      </w:r>
    </w:p>
    <w:p>
      <w:pPr>
        <w:tabs>
          <w:tab w:val="left" w:pos="426"/>
        </w:tabs>
        <w:ind w:firstLine="420" w:firstLineChars="200"/>
        <w:rPr>
          <w:color w:val="auto"/>
          <w:szCs w:val="21"/>
          <w:highlight w:val="none"/>
        </w:rPr>
      </w:pPr>
      <w:r>
        <w:rPr>
          <w:rFonts w:hint="eastAsia"/>
          <w:color w:val="auto"/>
          <w:szCs w:val="21"/>
          <w:highlight w:val="none"/>
        </w:rPr>
        <w:t>4）审查造成质量问题的费用清单，并根据相关责任认定费用由谁支付；</w:t>
      </w:r>
    </w:p>
    <w:p>
      <w:pPr>
        <w:tabs>
          <w:tab w:val="left" w:pos="426"/>
        </w:tabs>
        <w:ind w:firstLine="420" w:firstLineChars="200"/>
        <w:rPr>
          <w:color w:val="auto"/>
          <w:szCs w:val="21"/>
          <w:highlight w:val="none"/>
        </w:rPr>
      </w:pPr>
      <w:r>
        <w:rPr>
          <w:rFonts w:hint="eastAsia"/>
          <w:color w:val="auto"/>
          <w:szCs w:val="21"/>
          <w:highlight w:val="none"/>
        </w:rPr>
        <w:t>5）出具保修服务期的监理总结报告；</w:t>
      </w:r>
    </w:p>
    <w:p>
      <w:pPr>
        <w:tabs>
          <w:tab w:val="left" w:pos="426"/>
        </w:tabs>
        <w:ind w:firstLine="420" w:firstLineChars="200"/>
        <w:rPr>
          <w:color w:val="auto"/>
          <w:szCs w:val="21"/>
          <w:highlight w:val="none"/>
        </w:rPr>
      </w:pPr>
      <w:r>
        <w:rPr>
          <w:rFonts w:hint="eastAsia"/>
          <w:color w:val="auto"/>
          <w:szCs w:val="21"/>
          <w:highlight w:val="none"/>
        </w:rPr>
        <w:t>6）其他需要监理的事项。</w:t>
      </w:r>
    </w:p>
    <w:p>
      <w:pPr>
        <w:tabs>
          <w:tab w:val="left" w:pos="426"/>
        </w:tabs>
        <w:ind w:firstLine="420" w:firstLineChars="200"/>
        <w:rPr>
          <w:color w:val="auto"/>
          <w:szCs w:val="21"/>
          <w:highlight w:val="none"/>
        </w:rPr>
      </w:pPr>
      <w:r>
        <w:rPr>
          <w:rFonts w:hint="eastAsia"/>
          <w:color w:val="auto"/>
          <w:szCs w:val="21"/>
          <w:highlight w:val="none"/>
        </w:rPr>
        <w:t>4.3.5项目的动态管理和控制要求</w:t>
      </w:r>
    </w:p>
    <w:p>
      <w:pPr>
        <w:tabs>
          <w:tab w:val="left" w:pos="426"/>
        </w:tabs>
        <w:ind w:firstLine="420" w:firstLineChars="200"/>
        <w:rPr>
          <w:color w:val="auto"/>
          <w:szCs w:val="21"/>
          <w:highlight w:val="none"/>
        </w:rPr>
      </w:pPr>
      <w:r>
        <w:rPr>
          <w:rFonts w:hint="eastAsia"/>
          <w:color w:val="auto"/>
          <w:szCs w:val="21"/>
          <w:highlight w:val="none"/>
        </w:rPr>
        <w:t>投标单位应根据项目的特点，制定项目的目标规划、动态控制和管理方案，对项目进行主动控制，对项目实施动态管理，发现问题，及时纠偏，不断修改。</w:t>
      </w:r>
    </w:p>
    <w:p>
      <w:pPr>
        <w:tabs>
          <w:tab w:val="left" w:pos="426"/>
        </w:tabs>
        <w:ind w:firstLine="420" w:firstLineChars="200"/>
        <w:rPr>
          <w:color w:val="auto"/>
          <w:szCs w:val="21"/>
          <w:highlight w:val="none"/>
        </w:rPr>
      </w:pPr>
      <w:r>
        <w:rPr>
          <w:rFonts w:hint="eastAsia"/>
          <w:color w:val="auto"/>
          <w:szCs w:val="21"/>
          <w:highlight w:val="none"/>
        </w:rPr>
        <w:t>4.4、监理终止要求</w:t>
      </w:r>
    </w:p>
    <w:p>
      <w:pPr>
        <w:tabs>
          <w:tab w:val="left" w:pos="426"/>
        </w:tabs>
        <w:ind w:firstLine="420" w:firstLineChars="200"/>
        <w:rPr>
          <w:color w:val="auto"/>
          <w:szCs w:val="21"/>
          <w:highlight w:val="none"/>
        </w:rPr>
      </w:pPr>
      <w:r>
        <w:rPr>
          <w:rFonts w:hint="eastAsia"/>
          <w:color w:val="auto"/>
          <w:szCs w:val="21"/>
          <w:highlight w:val="none"/>
        </w:rPr>
        <w:t>在本项目工程监理过程中，发生下列几种情况时之一的，</w:t>
      </w:r>
      <w:r>
        <w:rPr>
          <w:rFonts w:hint="eastAsia"/>
          <w:color w:val="auto"/>
          <w:szCs w:val="21"/>
          <w:highlight w:val="none"/>
          <w:lang w:val="en-US" w:eastAsia="zh-CN"/>
        </w:rPr>
        <w:t>委托人</w:t>
      </w:r>
      <w:r>
        <w:rPr>
          <w:rFonts w:hint="eastAsia"/>
          <w:color w:val="auto"/>
          <w:szCs w:val="21"/>
          <w:highlight w:val="none"/>
        </w:rPr>
        <w:t>有权申请终止与</w:t>
      </w:r>
      <w:r>
        <w:rPr>
          <w:rFonts w:hint="eastAsia"/>
          <w:color w:val="auto"/>
          <w:szCs w:val="21"/>
          <w:highlight w:val="none"/>
          <w:lang w:val="en-US" w:eastAsia="zh-CN"/>
        </w:rPr>
        <w:t>监理人</w:t>
      </w:r>
      <w:r>
        <w:rPr>
          <w:rFonts w:hint="eastAsia"/>
          <w:color w:val="auto"/>
          <w:szCs w:val="21"/>
          <w:highlight w:val="none"/>
        </w:rPr>
        <w:t>所签订的监理合同。</w:t>
      </w:r>
    </w:p>
    <w:p>
      <w:pPr>
        <w:tabs>
          <w:tab w:val="left" w:pos="426"/>
        </w:tabs>
        <w:ind w:firstLine="420" w:firstLineChars="200"/>
        <w:rPr>
          <w:color w:val="auto"/>
          <w:szCs w:val="21"/>
          <w:highlight w:val="none"/>
        </w:rPr>
      </w:pPr>
      <w:r>
        <w:rPr>
          <w:rFonts w:hint="eastAsia"/>
          <w:color w:val="auto"/>
          <w:szCs w:val="21"/>
          <w:highlight w:val="none"/>
        </w:rPr>
        <w:t>4.4.1要求常驻的监理工程师出现严重的脱岗情况的；</w:t>
      </w:r>
    </w:p>
    <w:p>
      <w:pPr>
        <w:tabs>
          <w:tab w:val="left" w:pos="426"/>
        </w:tabs>
        <w:ind w:firstLine="420" w:firstLineChars="200"/>
        <w:rPr>
          <w:color w:val="auto"/>
          <w:szCs w:val="21"/>
          <w:highlight w:val="none"/>
        </w:rPr>
      </w:pPr>
      <w:r>
        <w:rPr>
          <w:rFonts w:hint="eastAsia"/>
          <w:color w:val="auto"/>
          <w:szCs w:val="21"/>
          <w:highlight w:val="none"/>
        </w:rPr>
        <w:t>4.4.2经</w:t>
      </w:r>
      <w:r>
        <w:rPr>
          <w:rFonts w:hint="eastAsia"/>
          <w:color w:val="auto"/>
          <w:szCs w:val="21"/>
          <w:highlight w:val="none"/>
          <w:lang w:eastAsia="zh-CN"/>
        </w:rPr>
        <w:t>监理人</w:t>
      </w:r>
      <w:r>
        <w:rPr>
          <w:rFonts w:hint="eastAsia"/>
          <w:color w:val="auto"/>
          <w:szCs w:val="21"/>
          <w:highlight w:val="none"/>
        </w:rPr>
        <w:t>验收过的项目内容与</w:t>
      </w:r>
      <w:r>
        <w:rPr>
          <w:rFonts w:hint="eastAsia"/>
          <w:color w:val="auto"/>
          <w:szCs w:val="21"/>
          <w:highlight w:val="none"/>
          <w:lang w:eastAsia="zh-CN"/>
        </w:rPr>
        <w:t>承包人</w:t>
      </w:r>
      <w:r>
        <w:rPr>
          <w:rFonts w:hint="eastAsia"/>
          <w:color w:val="auto"/>
          <w:szCs w:val="21"/>
          <w:highlight w:val="none"/>
        </w:rPr>
        <w:t>提供产品（或服务）内容不一致；</w:t>
      </w:r>
    </w:p>
    <w:p>
      <w:pPr>
        <w:tabs>
          <w:tab w:val="left" w:pos="426"/>
        </w:tabs>
        <w:ind w:firstLine="420" w:firstLineChars="200"/>
        <w:rPr>
          <w:color w:val="auto"/>
          <w:szCs w:val="21"/>
          <w:highlight w:val="none"/>
        </w:rPr>
      </w:pPr>
      <w:r>
        <w:rPr>
          <w:rFonts w:hint="eastAsia"/>
          <w:color w:val="auto"/>
          <w:szCs w:val="21"/>
          <w:highlight w:val="none"/>
        </w:rPr>
        <w:t>4.4.3</w:t>
      </w:r>
      <w:r>
        <w:rPr>
          <w:rFonts w:hint="eastAsia"/>
          <w:color w:val="auto"/>
          <w:szCs w:val="21"/>
          <w:highlight w:val="none"/>
          <w:lang w:eastAsia="zh-CN"/>
        </w:rPr>
        <w:t>监理人</w:t>
      </w:r>
      <w:r>
        <w:rPr>
          <w:rFonts w:hint="eastAsia"/>
          <w:color w:val="auto"/>
          <w:szCs w:val="21"/>
          <w:highlight w:val="none"/>
        </w:rPr>
        <w:t>与项目</w:t>
      </w:r>
      <w:r>
        <w:rPr>
          <w:rFonts w:hint="eastAsia"/>
          <w:color w:val="auto"/>
          <w:szCs w:val="21"/>
          <w:highlight w:val="none"/>
          <w:lang w:eastAsia="zh-CN"/>
        </w:rPr>
        <w:t>承包人</w:t>
      </w:r>
      <w:r>
        <w:rPr>
          <w:rFonts w:hint="eastAsia"/>
          <w:color w:val="auto"/>
          <w:szCs w:val="21"/>
          <w:highlight w:val="none"/>
        </w:rPr>
        <w:t>联合欺骗</w:t>
      </w:r>
      <w:r>
        <w:rPr>
          <w:rFonts w:hint="eastAsia"/>
          <w:color w:val="auto"/>
          <w:szCs w:val="21"/>
          <w:highlight w:val="none"/>
          <w:lang w:eastAsia="zh-CN"/>
        </w:rPr>
        <w:t>委托人</w:t>
      </w:r>
      <w:r>
        <w:rPr>
          <w:rFonts w:hint="eastAsia"/>
          <w:color w:val="auto"/>
          <w:szCs w:val="21"/>
          <w:highlight w:val="none"/>
        </w:rPr>
        <w:t>，弄虚作假的；</w:t>
      </w:r>
    </w:p>
    <w:p>
      <w:pPr>
        <w:tabs>
          <w:tab w:val="left" w:pos="426"/>
        </w:tabs>
        <w:ind w:firstLine="420" w:firstLineChars="200"/>
        <w:rPr>
          <w:color w:val="auto"/>
          <w:szCs w:val="21"/>
          <w:highlight w:val="none"/>
        </w:rPr>
      </w:pPr>
      <w:r>
        <w:rPr>
          <w:rFonts w:hint="eastAsia"/>
          <w:color w:val="auto"/>
          <w:szCs w:val="21"/>
          <w:highlight w:val="none"/>
        </w:rPr>
        <w:t>4.4.4</w:t>
      </w:r>
      <w:r>
        <w:rPr>
          <w:rFonts w:hint="eastAsia"/>
          <w:color w:val="auto"/>
          <w:szCs w:val="21"/>
          <w:highlight w:val="none"/>
          <w:lang w:eastAsia="zh-CN"/>
        </w:rPr>
        <w:t>监理人</w:t>
      </w:r>
      <w:r>
        <w:rPr>
          <w:rFonts w:hint="eastAsia"/>
          <w:color w:val="auto"/>
          <w:szCs w:val="21"/>
          <w:highlight w:val="none"/>
        </w:rPr>
        <w:t>验收过的项目出现严重质量事故的；</w:t>
      </w:r>
    </w:p>
    <w:p>
      <w:pPr>
        <w:tabs>
          <w:tab w:val="left" w:pos="426"/>
        </w:tabs>
        <w:ind w:firstLine="420" w:firstLineChars="200"/>
        <w:rPr>
          <w:color w:val="auto"/>
          <w:szCs w:val="21"/>
          <w:highlight w:val="none"/>
        </w:rPr>
      </w:pPr>
      <w:r>
        <w:rPr>
          <w:rFonts w:hint="eastAsia"/>
          <w:color w:val="auto"/>
          <w:szCs w:val="21"/>
          <w:highlight w:val="none"/>
        </w:rPr>
        <w:t>4.4.5参与本项目的监理工程师频繁更换且未经</w:t>
      </w:r>
      <w:r>
        <w:rPr>
          <w:rFonts w:hint="eastAsia"/>
          <w:color w:val="auto"/>
          <w:szCs w:val="21"/>
          <w:highlight w:val="none"/>
          <w:lang w:eastAsia="zh-CN"/>
        </w:rPr>
        <w:t>委托人</w:t>
      </w:r>
      <w:r>
        <w:rPr>
          <w:rFonts w:hint="eastAsia"/>
          <w:color w:val="auto"/>
          <w:szCs w:val="21"/>
          <w:highlight w:val="none"/>
        </w:rPr>
        <w:t>同意的；</w:t>
      </w:r>
    </w:p>
    <w:p>
      <w:pPr>
        <w:tabs>
          <w:tab w:val="left" w:pos="426"/>
        </w:tabs>
        <w:ind w:firstLine="420" w:firstLineChars="200"/>
        <w:rPr>
          <w:color w:val="auto"/>
          <w:szCs w:val="21"/>
          <w:highlight w:val="none"/>
        </w:rPr>
      </w:pPr>
      <w:r>
        <w:rPr>
          <w:rFonts w:hint="eastAsia"/>
          <w:color w:val="auto"/>
          <w:szCs w:val="21"/>
          <w:highlight w:val="none"/>
        </w:rPr>
        <w:t>4.4.6</w:t>
      </w:r>
      <w:r>
        <w:rPr>
          <w:rFonts w:hint="eastAsia"/>
          <w:color w:val="auto"/>
          <w:szCs w:val="21"/>
          <w:highlight w:val="none"/>
          <w:lang w:eastAsia="zh-CN"/>
        </w:rPr>
        <w:t>监理人</w:t>
      </w:r>
      <w:r>
        <w:rPr>
          <w:rFonts w:hint="eastAsia"/>
          <w:color w:val="auto"/>
          <w:szCs w:val="21"/>
          <w:highlight w:val="none"/>
        </w:rPr>
        <w:t>所派出的监理工程师的服务质量较差；</w:t>
      </w:r>
    </w:p>
    <w:p>
      <w:pPr>
        <w:tabs>
          <w:tab w:val="left" w:pos="426"/>
        </w:tabs>
        <w:ind w:firstLine="420" w:firstLineChars="200"/>
        <w:rPr>
          <w:color w:val="auto"/>
          <w:szCs w:val="21"/>
          <w:highlight w:val="none"/>
        </w:rPr>
      </w:pPr>
      <w:r>
        <w:rPr>
          <w:rFonts w:hint="eastAsia"/>
          <w:color w:val="auto"/>
          <w:szCs w:val="21"/>
          <w:highlight w:val="none"/>
        </w:rPr>
        <w:t>4.4.7</w:t>
      </w:r>
      <w:r>
        <w:rPr>
          <w:rFonts w:hint="eastAsia"/>
          <w:color w:val="auto"/>
          <w:szCs w:val="21"/>
          <w:highlight w:val="none"/>
          <w:lang w:eastAsia="zh-CN"/>
        </w:rPr>
        <w:t>监理人</w:t>
      </w:r>
      <w:r>
        <w:rPr>
          <w:rFonts w:hint="eastAsia"/>
          <w:color w:val="auto"/>
          <w:szCs w:val="21"/>
          <w:highlight w:val="none"/>
        </w:rPr>
        <w:t>将本项目的子项目分包给其他</w:t>
      </w:r>
      <w:r>
        <w:rPr>
          <w:rFonts w:hint="eastAsia"/>
          <w:color w:val="auto"/>
          <w:szCs w:val="21"/>
          <w:highlight w:val="none"/>
          <w:lang w:eastAsia="zh-CN"/>
        </w:rPr>
        <w:t>监理人</w:t>
      </w:r>
      <w:r>
        <w:rPr>
          <w:rFonts w:hint="eastAsia"/>
          <w:color w:val="auto"/>
          <w:szCs w:val="21"/>
          <w:highlight w:val="none"/>
        </w:rPr>
        <w:t>的；</w:t>
      </w:r>
    </w:p>
    <w:p>
      <w:pPr>
        <w:tabs>
          <w:tab w:val="left" w:pos="426"/>
        </w:tabs>
        <w:ind w:firstLine="420" w:firstLineChars="200"/>
        <w:rPr>
          <w:color w:val="auto"/>
          <w:szCs w:val="21"/>
          <w:highlight w:val="none"/>
        </w:rPr>
      </w:pPr>
      <w:r>
        <w:rPr>
          <w:rFonts w:hint="eastAsia"/>
          <w:color w:val="auto"/>
          <w:szCs w:val="21"/>
          <w:highlight w:val="none"/>
        </w:rPr>
        <w:t>4.4.8</w:t>
      </w:r>
      <w:r>
        <w:rPr>
          <w:rFonts w:hint="eastAsia"/>
          <w:color w:val="auto"/>
          <w:szCs w:val="21"/>
          <w:highlight w:val="none"/>
          <w:lang w:eastAsia="zh-CN"/>
        </w:rPr>
        <w:t>监理人</w:t>
      </w:r>
      <w:r>
        <w:rPr>
          <w:rFonts w:hint="eastAsia"/>
          <w:color w:val="auto"/>
          <w:szCs w:val="21"/>
          <w:highlight w:val="none"/>
        </w:rPr>
        <w:t>泄露本项目的工作秘密的；</w:t>
      </w:r>
    </w:p>
    <w:p>
      <w:pPr>
        <w:tabs>
          <w:tab w:val="left" w:pos="426"/>
        </w:tabs>
        <w:ind w:firstLine="420" w:firstLineChars="200"/>
        <w:rPr>
          <w:color w:val="auto"/>
          <w:szCs w:val="21"/>
          <w:highlight w:val="none"/>
        </w:rPr>
      </w:pPr>
      <w:r>
        <w:rPr>
          <w:rFonts w:hint="eastAsia"/>
          <w:color w:val="auto"/>
          <w:szCs w:val="21"/>
          <w:highlight w:val="none"/>
        </w:rPr>
        <w:t>4.4.9</w:t>
      </w:r>
      <w:r>
        <w:rPr>
          <w:rFonts w:hint="eastAsia"/>
          <w:color w:val="auto"/>
          <w:szCs w:val="21"/>
          <w:highlight w:val="none"/>
          <w:lang w:eastAsia="zh-CN"/>
        </w:rPr>
        <w:t>监理人</w:t>
      </w:r>
      <w:r>
        <w:rPr>
          <w:rFonts w:hint="eastAsia"/>
          <w:color w:val="auto"/>
          <w:szCs w:val="21"/>
          <w:highlight w:val="none"/>
        </w:rPr>
        <w:t>未能依法履行其他监理职责的。</w:t>
      </w:r>
    </w:p>
    <w:p>
      <w:pPr>
        <w:tabs>
          <w:tab w:val="left" w:pos="426"/>
        </w:tabs>
        <w:ind w:firstLine="420" w:firstLineChars="200"/>
        <w:rPr>
          <w:color w:val="auto"/>
          <w:szCs w:val="21"/>
          <w:highlight w:val="none"/>
        </w:rPr>
      </w:pPr>
      <w:r>
        <w:rPr>
          <w:rFonts w:hint="eastAsia"/>
          <w:color w:val="auto"/>
          <w:szCs w:val="21"/>
          <w:highlight w:val="none"/>
        </w:rPr>
        <w:t>4.5、监理服务质量保障</w:t>
      </w:r>
    </w:p>
    <w:p>
      <w:pPr>
        <w:tabs>
          <w:tab w:val="left" w:pos="426"/>
        </w:tabs>
        <w:ind w:firstLine="420" w:firstLineChars="200"/>
        <w:rPr>
          <w:color w:val="auto"/>
          <w:szCs w:val="21"/>
          <w:highlight w:val="none"/>
        </w:rPr>
      </w:pPr>
      <w:r>
        <w:rPr>
          <w:rFonts w:hint="eastAsia"/>
          <w:color w:val="auto"/>
          <w:szCs w:val="21"/>
          <w:highlight w:val="none"/>
        </w:rPr>
        <w:t>要求投标单位根据自身特点，在公司资质、案例、质量保障体系、人员结构、监理设施配置等不同角度来说明完成上述监理工作的保证。</w:t>
      </w:r>
    </w:p>
    <w:p>
      <w:pPr>
        <w:tabs>
          <w:tab w:val="left" w:pos="426"/>
        </w:tabs>
        <w:ind w:firstLine="420" w:firstLineChars="200"/>
        <w:rPr>
          <w:color w:val="auto"/>
          <w:szCs w:val="21"/>
          <w:highlight w:val="none"/>
        </w:rPr>
      </w:pPr>
      <w:r>
        <w:rPr>
          <w:rFonts w:hint="eastAsia"/>
          <w:color w:val="auto"/>
          <w:szCs w:val="21"/>
          <w:highlight w:val="none"/>
        </w:rPr>
        <w:t>4.6、安全保密要求</w:t>
      </w:r>
    </w:p>
    <w:p>
      <w:pPr>
        <w:tabs>
          <w:tab w:val="left" w:pos="426"/>
        </w:tabs>
        <w:ind w:firstLine="420" w:firstLineChars="200"/>
        <w:rPr>
          <w:color w:val="auto"/>
          <w:szCs w:val="21"/>
          <w:highlight w:val="none"/>
        </w:rPr>
      </w:pPr>
      <w:r>
        <w:rPr>
          <w:rFonts w:hint="eastAsia"/>
          <w:color w:val="auto"/>
          <w:szCs w:val="21"/>
          <w:highlight w:val="none"/>
        </w:rPr>
        <w:t>本项目要求投标单位制定一整套监理安全保密制度(随同投标文件一起上传)，确定项目保密责任人，同时要求投标单位：</w:t>
      </w:r>
    </w:p>
    <w:p>
      <w:pPr>
        <w:tabs>
          <w:tab w:val="left" w:pos="426"/>
        </w:tabs>
        <w:ind w:firstLine="420" w:firstLineChars="200"/>
        <w:rPr>
          <w:color w:val="auto"/>
          <w:szCs w:val="21"/>
          <w:highlight w:val="none"/>
        </w:rPr>
      </w:pPr>
      <w:r>
        <w:rPr>
          <w:rFonts w:hint="eastAsia"/>
          <w:color w:val="auto"/>
          <w:szCs w:val="21"/>
          <w:highlight w:val="none"/>
        </w:rPr>
        <w:t>4.6.1按照国家、省的有关法规文件规定，要求监理履行保密责任，并与</w:t>
      </w:r>
      <w:r>
        <w:rPr>
          <w:rFonts w:hint="eastAsia"/>
          <w:color w:val="auto"/>
          <w:szCs w:val="21"/>
          <w:highlight w:val="none"/>
          <w:lang w:eastAsia="zh-CN"/>
        </w:rPr>
        <w:t>委托人</w:t>
      </w:r>
      <w:r>
        <w:rPr>
          <w:rFonts w:hint="eastAsia"/>
          <w:color w:val="auto"/>
          <w:szCs w:val="21"/>
          <w:highlight w:val="none"/>
        </w:rPr>
        <w:t>签订保密协议；</w:t>
      </w:r>
    </w:p>
    <w:p>
      <w:pPr>
        <w:tabs>
          <w:tab w:val="left" w:pos="426"/>
        </w:tabs>
        <w:ind w:firstLine="420" w:firstLineChars="200"/>
        <w:rPr>
          <w:color w:val="auto"/>
          <w:szCs w:val="21"/>
          <w:highlight w:val="none"/>
        </w:rPr>
      </w:pPr>
      <w:r>
        <w:rPr>
          <w:rFonts w:hint="eastAsia"/>
          <w:color w:val="auto"/>
          <w:szCs w:val="21"/>
          <w:highlight w:val="none"/>
        </w:rPr>
        <w:t>4.6.2</w:t>
      </w:r>
      <w:r>
        <w:rPr>
          <w:rFonts w:hint="eastAsia"/>
          <w:color w:val="auto"/>
          <w:szCs w:val="21"/>
          <w:highlight w:val="none"/>
          <w:lang w:eastAsia="zh-CN"/>
        </w:rPr>
        <w:t>监理人</w:t>
      </w:r>
      <w:r>
        <w:rPr>
          <w:rFonts w:hint="eastAsia"/>
          <w:color w:val="auto"/>
          <w:szCs w:val="21"/>
          <w:highlight w:val="none"/>
        </w:rPr>
        <w:t>各级组织严格履行保密职责；</w:t>
      </w:r>
    </w:p>
    <w:p>
      <w:pPr>
        <w:tabs>
          <w:tab w:val="left" w:pos="426"/>
        </w:tabs>
        <w:ind w:firstLine="420" w:firstLineChars="200"/>
        <w:rPr>
          <w:color w:val="auto"/>
          <w:szCs w:val="21"/>
          <w:highlight w:val="none"/>
        </w:rPr>
      </w:pPr>
      <w:r>
        <w:rPr>
          <w:rFonts w:hint="eastAsia"/>
          <w:color w:val="auto"/>
          <w:szCs w:val="21"/>
          <w:highlight w:val="none"/>
        </w:rPr>
        <w:t>4.6.3按照公司内部保密规定开展监理工作。</w:t>
      </w:r>
    </w:p>
    <w:p>
      <w:pPr>
        <w:tabs>
          <w:tab w:val="left" w:pos="426"/>
        </w:tabs>
        <w:spacing w:line="380" w:lineRule="exact"/>
        <w:ind w:firstLine="420" w:firstLineChars="200"/>
        <w:rPr>
          <w:color w:val="auto"/>
          <w:szCs w:val="21"/>
          <w:highlight w:val="none"/>
        </w:rPr>
      </w:pPr>
      <w:r>
        <w:rPr>
          <w:rFonts w:hint="eastAsia"/>
          <w:color w:val="auto"/>
          <w:szCs w:val="21"/>
          <w:highlight w:val="none"/>
        </w:rPr>
        <w:t>投标单位根据上述监理工作内容（但不局限于上述内容），分别制定详细的监理工作流程，使</w:t>
      </w:r>
      <w:r>
        <w:rPr>
          <w:rFonts w:hint="eastAsia"/>
          <w:color w:val="auto"/>
          <w:szCs w:val="21"/>
          <w:highlight w:val="none"/>
          <w:lang w:eastAsia="zh-CN"/>
        </w:rPr>
        <w:t>智慧前海视频云平台二期项目</w:t>
      </w:r>
      <w:r>
        <w:rPr>
          <w:rFonts w:hint="eastAsia"/>
          <w:color w:val="auto"/>
          <w:szCs w:val="21"/>
          <w:highlight w:val="none"/>
        </w:rPr>
        <w:t>监理的监理工作流程化、制度化。</w:t>
      </w:r>
    </w:p>
    <w:p>
      <w:pPr>
        <w:tabs>
          <w:tab w:val="left" w:pos="426"/>
        </w:tabs>
        <w:spacing w:line="380" w:lineRule="exact"/>
        <w:ind w:firstLine="420" w:firstLineChars="200"/>
        <w:rPr>
          <w:color w:val="auto"/>
          <w:szCs w:val="21"/>
          <w:highlight w:val="none"/>
        </w:rPr>
      </w:pPr>
    </w:p>
    <w:p>
      <w:pPr>
        <w:tabs>
          <w:tab w:val="left" w:pos="426"/>
        </w:tabs>
        <w:spacing w:line="380" w:lineRule="exact"/>
        <w:ind w:firstLine="422" w:firstLineChars="200"/>
        <w:rPr>
          <w:b/>
          <w:color w:val="auto"/>
          <w:kern w:val="18"/>
          <w:szCs w:val="21"/>
          <w:highlight w:val="none"/>
        </w:rPr>
      </w:pPr>
      <w:r>
        <w:rPr>
          <w:b/>
          <w:color w:val="auto"/>
          <w:kern w:val="18"/>
          <w:szCs w:val="21"/>
          <w:highlight w:val="none"/>
        </w:rPr>
        <w:t xml:space="preserve">3.2 </w:t>
      </w:r>
      <w:r>
        <w:rPr>
          <w:rFonts w:hint="eastAsia"/>
          <w:b/>
          <w:color w:val="auto"/>
          <w:kern w:val="18"/>
          <w:szCs w:val="21"/>
          <w:highlight w:val="none"/>
        </w:rPr>
        <w:t>保修阶段</w:t>
      </w:r>
    </w:p>
    <w:p>
      <w:pPr>
        <w:tabs>
          <w:tab w:val="left" w:pos="426"/>
        </w:tabs>
        <w:spacing w:line="380" w:lineRule="exact"/>
        <w:ind w:firstLine="420" w:firstLineChars="200"/>
        <w:rPr>
          <w:color w:val="auto"/>
          <w:szCs w:val="21"/>
          <w:highlight w:val="none"/>
        </w:rPr>
      </w:pPr>
      <w:r>
        <w:rPr>
          <w:rFonts w:hint="eastAsia"/>
          <w:color w:val="auto"/>
          <w:szCs w:val="21"/>
          <w:highlight w:val="none"/>
        </w:rPr>
        <w:t>⑴</w:t>
      </w:r>
      <w:r>
        <w:rPr>
          <w:color w:val="auto"/>
          <w:szCs w:val="21"/>
          <w:highlight w:val="none"/>
        </w:rPr>
        <w:t>.</w:t>
      </w:r>
      <w:r>
        <w:rPr>
          <w:rFonts w:hint="eastAsia"/>
          <w:color w:val="auto"/>
          <w:szCs w:val="21"/>
          <w:highlight w:val="none"/>
        </w:rPr>
        <w:t>协助委托人与</w:t>
      </w:r>
      <w:r>
        <w:rPr>
          <w:rFonts w:hint="eastAsia"/>
          <w:color w:val="auto"/>
          <w:szCs w:val="21"/>
          <w:highlight w:val="none"/>
          <w:lang w:eastAsia="zh-CN"/>
        </w:rPr>
        <w:t>承包人</w:t>
      </w:r>
      <w:r>
        <w:rPr>
          <w:rFonts w:hint="eastAsia"/>
          <w:color w:val="auto"/>
          <w:szCs w:val="21"/>
          <w:highlight w:val="none"/>
        </w:rPr>
        <w:t>签订保修协议；</w:t>
      </w:r>
    </w:p>
    <w:p>
      <w:pPr>
        <w:tabs>
          <w:tab w:val="left" w:pos="426"/>
        </w:tabs>
        <w:spacing w:line="380" w:lineRule="exact"/>
        <w:ind w:firstLine="420" w:firstLineChars="200"/>
        <w:rPr>
          <w:color w:val="auto"/>
          <w:szCs w:val="21"/>
          <w:highlight w:val="none"/>
        </w:rPr>
      </w:pPr>
      <w:r>
        <w:rPr>
          <w:rFonts w:hint="eastAsia"/>
          <w:color w:val="auto"/>
          <w:szCs w:val="21"/>
          <w:highlight w:val="none"/>
        </w:rPr>
        <w:t>⑵</w:t>
      </w:r>
      <w:r>
        <w:rPr>
          <w:color w:val="auto"/>
          <w:szCs w:val="21"/>
          <w:highlight w:val="none"/>
        </w:rPr>
        <w:t>.</w:t>
      </w:r>
      <w:r>
        <w:rPr>
          <w:rFonts w:hint="eastAsia"/>
          <w:color w:val="auto"/>
          <w:szCs w:val="21"/>
          <w:highlight w:val="none"/>
        </w:rPr>
        <w:t>制订保修阶段工作计划；</w:t>
      </w:r>
    </w:p>
    <w:p>
      <w:pPr>
        <w:tabs>
          <w:tab w:val="left" w:pos="426"/>
        </w:tabs>
        <w:spacing w:line="380" w:lineRule="exact"/>
        <w:ind w:firstLine="420" w:firstLineChars="200"/>
        <w:rPr>
          <w:color w:val="auto"/>
          <w:szCs w:val="21"/>
          <w:highlight w:val="none"/>
        </w:rPr>
      </w:pPr>
      <w:r>
        <w:rPr>
          <w:rFonts w:hint="eastAsia"/>
          <w:color w:val="auto"/>
          <w:szCs w:val="21"/>
          <w:highlight w:val="none"/>
        </w:rPr>
        <w:t>⑶</w:t>
      </w:r>
      <w:r>
        <w:rPr>
          <w:color w:val="auto"/>
          <w:szCs w:val="21"/>
          <w:highlight w:val="none"/>
        </w:rPr>
        <w:t>.</w:t>
      </w:r>
      <w:r>
        <w:rPr>
          <w:rFonts w:hint="eastAsia"/>
          <w:color w:val="auto"/>
          <w:szCs w:val="21"/>
          <w:highlight w:val="none"/>
        </w:rPr>
        <w:t>定期检查项目使用和运行情况；</w:t>
      </w:r>
    </w:p>
    <w:p>
      <w:pPr>
        <w:tabs>
          <w:tab w:val="left" w:pos="426"/>
        </w:tabs>
        <w:spacing w:line="380" w:lineRule="exact"/>
        <w:ind w:firstLine="420" w:firstLineChars="200"/>
        <w:rPr>
          <w:color w:val="auto"/>
          <w:szCs w:val="21"/>
          <w:highlight w:val="none"/>
        </w:rPr>
      </w:pPr>
      <w:r>
        <w:rPr>
          <w:rFonts w:hint="eastAsia"/>
          <w:color w:val="auto"/>
          <w:szCs w:val="21"/>
          <w:highlight w:val="none"/>
        </w:rPr>
        <w:t>⑷</w:t>
      </w:r>
      <w:r>
        <w:rPr>
          <w:color w:val="auto"/>
          <w:szCs w:val="21"/>
          <w:highlight w:val="none"/>
        </w:rPr>
        <w:t>.</w:t>
      </w:r>
      <w:r>
        <w:rPr>
          <w:rFonts w:hint="eastAsia"/>
          <w:color w:val="auto"/>
          <w:szCs w:val="21"/>
          <w:highlight w:val="none"/>
        </w:rPr>
        <w:t>检查和记录工程质量缺陷，对缺陷原因进行调查分析并确定责任归属，下达指令要求承包人进行修复；</w:t>
      </w:r>
    </w:p>
    <w:p>
      <w:pPr>
        <w:tabs>
          <w:tab w:val="left" w:pos="426"/>
        </w:tabs>
        <w:spacing w:line="380" w:lineRule="exact"/>
        <w:ind w:firstLine="420" w:firstLineChars="200"/>
        <w:rPr>
          <w:color w:val="auto"/>
          <w:szCs w:val="21"/>
          <w:highlight w:val="none"/>
        </w:rPr>
      </w:pPr>
      <w:r>
        <w:rPr>
          <w:rFonts w:hint="eastAsia"/>
          <w:color w:val="auto"/>
          <w:szCs w:val="21"/>
          <w:highlight w:val="none"/>
        </w:rPr>
        <w:t>⑸</w:t>
      </w:r>
      <w:r>
        <w:rPr>
          <w:color w:val="auto"/>
          <w:szCs w:val="21"/>
          <w:highlight w:val="none"/>
        </w:rPr>
        <w:t>.</w:t>
      </w:r>
      <w:r>
        <w:rPr>
          <w:rFonts w:hint="eastAsia"/>
          <w:color w:val="auto"/>
          <w:szCs w:val="21"/>
          <w:highlight w:val="none"/>
        </w:rPr>
        <w:t>审核质量缺陷修复方案，监督修复过程并进行验收；</w:t>
      </w:r>
    </w:p>
    <w:p>
      <w:pPr>
        <w:tabs>
          <w:tab w:val="left" w:pos="426"/>
        </w:tabs>
        <w:spacing w:line="380" w:lineRule="exact"/>
        <w:ind w:firstLine="420" w:firstLineChars="200"/>
        <w:rPr>
          <w:color w:val="auto"/>
          <w:szCs w:val="21"/>
          <w:highlight w:val="none"/>
        </w:rPr>
      </w:pPr>
      <w:r>
        <w:rPr>
          <w:rFonts w:hint="eastAsia"/>
          <w:color w:val="auto"/>
          <w:szCs w:val="21"/>
          <w:highlight w:val="none"/>
        </w:rPr>
        <w:t>⑹</w:t>
      </w:r>
      <w:r>
        <w:rPr>
          <w:color w:val="auto"/>
          <w:szCs w:val="21"/>
          <w:highlight w:val="none"/>
        </w:rPr>
        <w:t>.</w:t>
      </w:r>
      <w:r>
        <w:rPr>
          <w:rFonts w:hint="eastAsia"/>
          <w:color w:val="auto"/>
          <w:szCs w:val="21"/>
          <w:highlight w:val="none"/>
        </w:rPr>
        <w:t>审核签署修复费用，并报委托人批准支付；</w:t>
      </w:r>
    </w:p>
    <w:p>
      <w:pPr>
        <w:tabs>
          <w:tab w:val="left" w:pos="426"/>
        </w:tabs>
        <w:spacing w:line="380" w:lineRule="exact"/>
        <w:ind w:firstLine="420" w:firstLineChars="200"/>
        <w:rPr>
          <w:color w:val="auto"/>
          <w:szCs w:val="21"/>
          <w:highlight w:val="none"/>
        </w:rPr>
      </w:pPr>
      <w:r>
        <w:rPr>
          <w:rFonts w:hint="eastAsia"/>
          <w:color w:val="auto"/>
          <w:szCs w:val="21"/>
          <w:highlight w:val="none"/>
        </w:rPr>
        <w:t>⑺</w:t>
      </w:r>
      <w:r>
        <w:rPr>
          <w:color w:val="auto"/>
          <w:szCs w:val="21"/>
          <w:highlight w:val="none"/>
        </w:rPr>
        <w:t>.</w:t>
      </w:r>
      <w:r>
        <w:rPr>
          <w:rFonts w:hint="eastAsia"/>
          <w:color w:val="auto"/>
          <w:szCs w:val="21"/>
          <w:highlight w:val="none"/>
        </w:rPr>
        <w:t>整理保修阶段的各项资料。</w:t>
      </w:r>
    </w:p>
    <w:p>
      <w:pPr>
        <w:tabs>
          <w:tab w:val="left" w:pos="426"/>
        </w:tabs>
        <w:spacing w:line="380" w:lineRule="exact"/>
        <w:ind w:firstLine="422" w:firstLineChars="200"/>
        <w:rPr>
          <w:b/>
          <w:color w:val="auto"/>
          <w:kern w:val="18"/>
          <w:szCs w:val="21"/>
          <w:highlight w:val="none"/>
        </w:rPr>
      </w:pPr>
      <w:r>
        <w:rPr>
          <w:b/>
          <w:color w:val="auto"/>
          <w:kern w:val="18"/>
          <w:szCs w:val="21"/>
          <w:highlight w:val="none"/>
        </w:rPr>
        <w:t xml:space="preserve">3.3 </w:t>
      </w:r>
      <w:r>
        <w:rPr>
          <w:rFonts w:hint="eastAsia"/>
          <w:b/>
          <w:color w:val="auto"/>
          <w:kern w:val="18"/>
          <w:szCs w:val="21"/>
          <w:highlight w:val="none"/>
        </w:rPr>
        <w:t>勘察、设计、设备采购监造等其他阶段</w:t>
      </w:r>
    </w:p>
    <w:p>
      <w:pPr>
        <w:tabs>
          <w:tab w:val="left" w:pos="426"/>
        </w:tabs>
        <w:spacing w:line="380" w:lineRule="exact"/>
        <w:ind w:firstLine="420" w:firstLineChars="200"/>
        <w:rPr>
          <w:color w:val="auto"/>
          <w:szCs w:val="21"/>
          <w:highlight w:val="none"/>
        </w:rPr>
      </w:pPr>
      <w:r>
        <w:rPr>
          <w:rFonts w:hint="eastAsia"/>
          <w:color w:val="auto"/>
          <w:szCs w:val="21"/>
          <w:highlight w:val="none"/>
        </w:rPr>
        <w:t>各阶段相关服务范围和工作内容在附录</w:t>
      </w:r>
      <w:r>
        <w:rPr>
          <w:color w:val="auto"/>
          <w:szCs w:val="21"/>
          <w:highlight w:val="none"/>
        </w:rPr>
        <w:t>A</w:t>
      </w:r>
      <w:r>
        <w:rPr>
          <w:rFonts w:hint="eastAsia"/>
          <w:color w:val="auto"/>
          <w:szCs w:val="21"/>
          <w:highlight w:val="none"/>
        </w:rPr>
        <w:t>中约定。</w:t>
      </w:r>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4</w:t>
      </w:r>
      <w:r>
        <w:rPr>
          <w:rFonts w:hint="eastAsia" w:ascii="黑体" w:eastAsia="黑体"/>
          <w:color w:val="auto"/>
          <w:kern w:val="18"/>
          <w:sz w:val="22"/>
          <w:szCs w:val="22"/>
          <w:highlight w:val="none"/>
        </w:rPr>
        <w:t>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监理服务依据</w:t>
      </w:r>
    </w:p>
    <w:p>
      <w:pPr>
        <w:tabs>
          <w:tab w:val="left" w:pos="426"/>
        </w:tabs>
        <w:spacing w:line="380" w:lineRule="exact"/>
        <w:ind w:firstLine="422" w:firstLineChars="200"/>
        <w:rPr>
          <w:b/>
          <w:color w:val="auto"/>
          <w:kern w:val="18"/>
          <w:szCs w:val="21"/>
          <w:highlight w:val="none"/>
        </w:rPr>
      </w:pPr>
      <w:r>
        <w:rPr>
          <w:b/>
          <w:color w:val="auto"/>
          <w:kern w:val="18"/>
          <w:szCs w:val="21"/>
          <w:highlight w:val="none"/>
        </w:rPr>
        <w:t xml:space="preserve">4.1 </w:t>
      </w:r>
      <w:r>
        <w:rPr>
          <w:rFonts w:hint="eastAsia"/>
          <w:b/>
          <w:color w:val="auto"/>
          <w:kern w:val="18"/>
          <w:szCs w:val="21"/>
          <w:highlight w:val="none"/>
        </w:rPr>
        <w:t>施工阶段、保修阶段监理依据包括</w:t>
      </w:r>
    </w:p>
    <w:p>
      <w:pPr>
        <w:tabs>
          <w:tab w:val="left" w:pos="426"/>
        </w:tabs>
        <w:spacing w:line="380" w:lineRule="exact"/>
        <w:ind w:firstLine="420" w:firstLineChars="200"/>
        <w:rPr>
          <w:color w:val="auto"/>
          <w:szCs w:val="21"/>
          <w:highlight w:val="none"/>
        </w:rPr>
      </w:pPr>
      <w:r>
        <w:rPr>
          <w:rFonts w:hint="eastAsia"/>
          <w:color w:val="auto"/>
          <w:szCs w:val="21"/>
          <w:highlight w:val="none"/>
        </w:rPr>
        <w:t>⑴</w:t>
      </w:r>
      <w:r>
        <w:rPr>
          <w:color w:val="auto"/>
          <w:szCs w:val="21"/>
          <w:highlight w:val="none"/>
        </w:rPr>
        <w:t>.</w:t>
      </w:r>
      <w:r>
        <w:rPr>
          <w:rFonts w:hint="eastAsia"/>
          <w:color w:val="auto"/>
          <w:szCs w:val="21"/>
          <w:highlight w:val="none"/>
        </w:rPr>
        <w:t>适用的法律、行政法规及部门规章；</w:t>
      </w:r>
    </w:p>
    <w:p>
      <w:pPr>
        <w:tabs>
          <w:tab w:val="left" w:pos="426"/>
        </w:tabs>
        <w:spacing w:line="380" w:lineRule="exact"/>
        <w:ind w:firstLine="420" w:firstLineChars="200"/>
        <w:rPr>
          <w:color w:val="auto"/>
          <w:szCs w:val="21"/>
          <w:highlight w:val="none"/>
        </w:rPr>
      </w:pPr>
      <w:r>
        <w:rPr>
          <w:rFonts w:hint="eastAsia"/>
          <w:color w:val="auto"/>
          <w:szCs w:val="21"/>
          <w:highlight w:val="none"/>
        </w:rPr>
        <w:t>⑵</w:t>
      </w:r>
      <w:r>
        <w:rPr>
          <w:color w:val="auto"/>
          <w:szCs w:val="21"/>
          <w:highlight w:val="none"/>
        </w:rPr>
        <w:t>.</w:t>
      </w:r>
      <w:r>
        <w:rPr>
          <w:rFonts w:hint="eastAsia"/>
          <w:color w:val="auto"/>
          <w:szCs w:val="21"/>
          <w:highlight w:val="none"/>
        </w:rPr>
        <w:t>与工程有关的标准；</w:t>
      </w:r>
    </w:p>
    <w:p>
      <w:pPr>
        <w:tabs>
          <w:tab w:val="left" w:pos="426"/>
        </w:tabs>
        <w:spacing w:line="380" w:lineRule="exact"/>
        <w:ind w:firstLine="420" w:firstLineChars="200"/>
        <w:rPr>
          <w:color w:val="auto"/>
          <w:szCs w:val="21"/>
          <w:highlight w:val="none"/>
        </w:rPr>
      </w:pPr>
      <w:r>
        <w:rPr>
          <w:rFonts w:hint="eastAsia"/>
          <w:color w:val="auto"/>
          <w:szCs w:val="21"/>
          <w:highlight w:val="none"/>
        </w:rPr>
        <w:t>⑶</w:t>
      </w:r>
      <w:r>
        <w:rPr>
          <w:color w:val="auto"/>
          <w:szCs w:val="21"/>
          <w:highlight w:val="none"/>
        </w:rPr>
        <w:t>.</w:t>
      </w:r>
      <w:r>
        <w:rPr>
          <w:rFonts w:hint="eastAsia"/>
          <w:color w:val="auto"/>
          <w:szCs w:val="21"/>
          <w:highlight w:val="none"/>
        </w:rPr>
        <w:t>工程设计及有关文件；</w:t>
      </w:r>
    </w:p>
    <w:p>
      <w:pPr>
        <w:tabs>
          <w:tab w:val="left" w:pos="426"/>
        </w:tabs>
        <w:spacing w:line="380" w:lineRule="exact"/>
        <w:ind w:firstLine="420" w:firstLineChars="200"/>
        <w:rPr>
          <w:color w:val="auto"/>
          <w:szCs w:val="21"/>
          <w:highlight w:val="none"/>
        </w:rPr>
      </w:pPr>
      <w:r>
        <w:rPr>
          <w:rFonts w:hint="eastAsia"/>
          <w:color w:val="auto"/>
          <w:szCs w:val="21"/>
          <w:highlight w:val="none"/>
        </w:rPr>
        <w:t>⑷</w:t>
      </w:r>
      <w:r>
        <w:rPr>
          <w:color w:val="auto"/>
          <w:szCs w:val="21"/>
          <w:highlight w:val="none"/>
        </w:rPr>
        <w:t>.</w:t>
      </w:r>
      <w:r>
        <w:rPr>
          <w:rFonts w:hint="eastAsia"/>
          <w:color w:val="auto"/>
          <w:szCs w:val="21"/>
          <w:highlight w:val="none"/>
        </w:rPr>
        <w:t>监理合同及委托人与第三方签订的与实施工程有关的其他合同。</w:t>
      </w:r>
    </w:p>
    <w:p>
      <w:pPr>
        <w:tabs>
          <w:tab w:val="left" w:pos="426"/>
        </w:tabs>
        <w:spacing w:line="380" w:lineRule="exact"/>
        <w:ind w:firstLine="420" w:firstLineChars="200"/>
        <w:rPr>
          <w:color w:val="auto"/>
          <w:szCs w:val="21"/>
          <w:highlight w:val="none"/>
        </w:rPr>
      </w:pPr>
      <w:r>
        <w:rPr>
          <w:rFonts w:hint="eastAsia"/>
          <w:color w:val="auto"/>
          <w:szCs w:val="21"/>
          <w:highlight w:val="none"/>
        </w:rPr>
        <w:t>双方根据工程的行业和地域特点，在《专用条件》中具体约定监理依据。</w:t>
      </w:r>
    </w:p>
    <w:p>
      <w:pPr>
        <w:tabs>
          <w:tab w:val="left" w:pos="426"/>
        </w:tabs>
        <w:spacing w:line="380" w:lineRule="exact"/>
        <w:ind w:firstLine="422" w:firstLineChars="200"/>
        <w:rPr>
          <w:b/>
          <w:color w:val="auto"/>
          <w:kern w:val="18"/>
          <w:szCs w:val="21"/>
          <w:highlight w:val="none"/>
        </w:rPr>
      </w:pPr>
      <w:r>
        <w:rPr>
          <w:b/>
          <w:color w:val="auto"/>
          <w:kern w:val="18"/>
          <w:szCs w:val="21"/>
          <w:highlight w:val="none"/>
        </w:rPr>
        <w:t xml:space="preserve">4.2 </w:t>
      </w:r>
      <w:r>
        <w:rPr>
          <w:rFonts w:hint="eastAsia"/>
          <w:b/>
          <w:color w:val="auto"/>
          <w:kern w:val="18"/>
          <w:szCs w:val="21"/>
          <w:highlight w:val="none"/>
        </w:rPr>
        <w:t>勘察、设计、设备采购监造等其他阶段服务依据</w:t>
      </w:r>
    </w:p>
    <w:p>
      <w:pPr>
        <w:tabs>
          <w:tab w:val="left" w:pos="426"/>
        </w:tabs>
        <w:spacing w:line="380" w:lineRule="exact"/>
        <w:ind w:firstLine="420" w:firstLineChars="200"/>
        <w:rPr>
          <w:color w:val="auto"/>
          <w:szCs w:val="21"/>
          <w:highlight w:val="none"/>
        </w:rPr>
      </w:pPr>
      <w:r>
        <w:rPr>
          <w:rFonts w:hint="eastAsia"/>
          <w:color w:val="auto"/>
          <w:szCs w:val="21"/>
          <w:highlight w:val="none"/>
        </w:rPr>
        <w:t>勘察、设计、设备采购监造等其他阶段服务依据在《专用条件》中约定。</w:t>
      </w:r>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5</w:t>
      </w:r>
      <w:r>
        <w:rPr>
          <w:rFonts w:hint="eastAsia" w:ascii="黑体" w:eastAsia="黑体"/>
          <w:color w:val="auto"/>
          <w:kern w:val="18"/>
          <w:sz w:val="22"/>
          <w:szCs w:val="22"/>
          <w:highlight w:val="none"/>
        </w:rPr>
        <w:t>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监理机构和监理人员</w:t>
      </w:r>
    </w:p>
    <w:p>
      <w:pPr>
        <w:tabs>
          <w:tab w:val="left" w:pos="426"/>
        </w:tabs>
        <w:spacing w:line="380" w:lineRule="exact"/>
        <w:ind w:firstLine="420" w:firstLineChars="200"/>
        <w:rPr>
          <w:color w:val="auto"/>
          <w:szCs w:val="21"/>
          <w:highlight w:val="none"/>
        </w:rPr>
      </w:pPr>
      <w:r>
        <w:rPr>
          <w:color w:val="auto"/>
          <w:szCs w:val="21"/>
          <w:highlight w:val="none"/>
        </w:rPr>
        <w:t xml:space="preserve">5.1 </w:t>
      </w:r>
      <w:r>
        <w:rPr>
          <w:rFonts w:hint="eastAsia"/>
          <w:color w:val="auto"/>
          <w:szCs w:val="21"/>
          <w:highlight w:val="none"/>
        </w:rPr>
        <w:t>监理人应组建满足工作需要的项目监理机构，配备必要的仪器设备。项目监理机构的主要人员应具有相应的资格条件。监理人在本项目必须有2名常驻现场监理工程师，总监理工程师必须保证每天到项目现场；</w:t>
      </w:r>
      <w:r>
        <w:rPr>
          <w:rFonts w:hint="eastAsia"/>
          <w:color w:val="auto"/>
          <w:szCs w:val="21"/>
          <w:highlight w:val="none"/>
          <w:lang w:eastAsia="zh-CN"/>
        </w:rPr>
        <w:t>监理人</w:t>
      </w:r>
      <w:r>
        <w:rPr>
          <w:rFonts w:hint="eastAsia"/>
          <w:color w:val="auto"/>
          <w:szCs w:val="21"/>
          <w:highlight w:val="none"/>
        </w:rPr>
        <w:t>应设置1名机动监理人员，根据项目进度安排及</w:t>
      </w:r>
      <w:r>
        <w:rPr>
          <w:rFonts w:hint="eastAsia"/>
          <w:color w:val="auto"/>
          <w:szCs w:val="21"/>
          <w:highlight w:val="none"/>
          <w:lang w:eastAsia="zh-CN"/>
        </w:rPr>
        <w:t>委托人</w:t>
      </w:r>
      <w:r>
        <w:rPr>
          <w:rFonts w:hint="eastAsia"/>
          <w:color w:val="auto"/>
          <w:szCs w:val="21"/>
          <w:highlight w:val="none"/>
        </w:rPr>
        <w:t>要求进场开展监理工作。</w:t>
      </w:r>
    </w:p>
    <w:p>
      <w:pPr>
        <w:tabs>
          <w:tab w:val="left" w:pos="426"/>
        </w:tabs>
        <w:spacing w:line="380" w:lineRule="exact"/>
        <w:ind w:firstLine="420" w:firstLineChars="200"/>
        <w:rPr>
          <w:color w:val="auto"/>
          <w:szCs w:val="21"/>
          <w:highlight w:val="none"/>
        </w:rPr>
      </w:pPr>
      <w:r>
        <w:rPr>
          <w:color w:val="auto"/>
          <w:szCs w:val="21"/>
          <w:highlight w:val="none"/>
        </w:rPr>
        <w:t xml:space="preserve">5.2 </w:t>
      </w:r>
      <w:r>
        <w:rPr>
          <w:rFonts w:hint="eastAsia"/>
          <w:color w:val="auto"/>
          <w:szCs w:val="21"/>
          <w:highlight w:val="none"/>
        </w:rPr>
        <w:t>监理合同履行过程中，总监理工程师及重要岗位监理人员应保持相对稳定，以保证监理工作正常进行。</w:t>
      </w:r>
    </w:p>
    <w:p>
      <w:pPr>
        <w:tabs>
          <w:tab w:val="left" w:pos="426"/>
        </w:tabs>
        <w:spacing w:line="380" w:lineRule="exact"/>
        <w:ind w:firstLine="420" w:firstLineChars="200"/>
        <w:rPr>
          <w:rFonts w:hint="eastAsia" w:eastAsia="宋体"/>
          <w:color w:val="auto"/>
          <w:szCs w:val="21"/>
          <w:highlight w:val="none"/>
          <w:lang w:eastAsia="zh-CN"/>
        </w:rPr>
      </w:pPr>
      <w:r>
        <w:rPr>
          <w:color w:val="auto"/>
          <w:szCs w:val="21"/>
          <w:highlight w:val="none"/>
        </w:rPr>
        <w:t>5.3</w:t>
      </w:r>
      <w:r>
        <w:rPr>
          <w:rFonts w:hint="eastAsia"/>
          <w:color w:val="auto"/>
          <w:szCs w:val="21"/>
          <w:highlight w:val="none"/>
        </w:rPr>
        <w:t>未经</w:t>
      </w:r>
      <w:r>
        <w:rPr>
          <w:rFonts w:hint="eastAsia"/>
          <w:color w:val="auto"/>
          <w:szCs w:val="21"/>
          <w:highlight w:val="none"/>
          <w:lang w:eastAsia="zh-CN"/>
        </w:rPr>
        <w:t>委托人</w:t>
      </w:r>
      <w:r>
        <w:rPr>
          <w:rFonts w:hint="eastAsia"/>
          <w:color w:val="auto"/>
          <w:szCs w:val="21"/>
          <w:highlight w:val="none"/>
        </w:rPr>
        <w:t>同意，</w:t>
      </w:r>
      <w:r>
        <w:rPr>
          <w:rFonts w:hint="eastAsia"/>
          <w:color w:val="auto"/>
          <w:szCs w:val="21"/>
          <w:highlight w:val="none"/>
          <w:lang w:eastAsia="zh-CN"/>
        </w:rPr>
        <w:t>监理人</w:t>
      </w:r>
      <w:r>
        <w:rPr>
          <w:rFonts w:hint="eastAsia"/>
          <w:color w:val="auto"/>
          <w:szCs w:val="21"/>
          <w:highlight w:val="none"/>
        </w:rPr>
        <w:t>不得随意更换总监理工程师和现场监理工程师。监理人更换总监理工程师时，应提前</w:t>
      </w:r>
      <w:r>
        <w:rPr>
          <w:color w:val="auto"/>
          <w:szCs w:val="21"/>
          <w:highlight w:val="none"/>
        </w:rPr>
        <w:t>7</w:t>
      </w:r>
      <w:r>
        <w:rPr>
          <w:rFonts w:hint="eastAsia"/>
          <w:color w:val="auto"/>
          <w:szCs w:val="21"/>
          <w:highlight w:val="none"/>
        </w:rPr>
        <w:t>天向委托人书面报告，经委托人同意后方可更换</w:t>
      </w:r>
      <w:r>
        <w:rPr>
          <w:rFonts w:hint="eastAsia"/>
          <w:color w:val="auto"/>
          <w:szCs w:val="21"/>
          <w:highlight w:val="none"/>
          <w:lang w:eastAsia="zh-CN"/>
        </w:rPr>
        <w:t>；</w:t>
      </w:r>
      <w:r>
        <w:rPr>
          <w:rFonts w:hint="eastAsia" w:ascii="宋体" w:hAnsi="宋体" w:eastAsia="宋体" w:cs="宋体"/>
          <w:snapToGrid w:val="0"/>
          <w:color w:val="auto"/>
          <w:kern w:val="0"/>
          <w:szCs w:val="21"/>
          <w:highlight w:val="none"/>
          <w:lang w:eastAsia="zh-CN"/>
        </w:rPr>
        <w:t>监理</w:t>
      </w:r>
      <w:r>
        <w:rPr>
          <w:rFonts w:hint="eastAsia" w:ascii="宋体" w:hAnsi="宋体" w:eastAsia="宋体" w:cs="宋体"/>
          <w:snapToGrid w:val="0"/>
          <w:color w:val="auto"/>
          <w:kern w:val="0"/>
          <w:szCs w:val="21"/>
          <w:highlight w:val="none"/>
        </w:rPr>
        <w:t>人更换项目机构其他监理服务人员，应以相当资格与能力的人员替换，并通知委托人。</w:t>
      </w:r>
    </w:p>
    <w:p>
      <w:pPr>
        <w:tabs>
          <w:tab w:val="left" w:pos="426"/>
        </w:tabs>
        <w:spacing w:line="380" w:lineRule="exact"/>
        <w:ind w:firstLine="420" w:firstLineChars="200"/>
        <w:rPr>
          <w:color w:val="auto"/>
          <w:szCs w:val="21"/>
          <w:highlight w:val="none"/>
        </w:rPr>
      </w:pPr>
      <w:r>
        <w:rPr>
          <w:color w:val="auto"/>
          <w:szCs w:val="21"/>
          <w:highlight w:val="none"/>
        </w:rPr>
        <w:t xml:space="preserve">5.4 </w:t>
      </w:r>
      <w:r>
        <w:rPr>
          <w:rFonts w:hint="eastAsia"/>
          <w:color w:val="auto"/>
          <w:szCs w:val="21"/>
          <w:highlight w:val="none"/>
        </w:rPr>
        <w:t>监理人应及时更换有下列情形之一的监理人员：</w:t>
      </w:r>
    </w:p>
    <w:p>
      <w:pPr>
        <w:tabs>
          <w:tab w:val="left" w:pos="426"/>
        </w:tabs>
        <w:spacing w:line="380" w:lineRule="exact"/>
        <w:ind w:firstLine="420" w:firstLineChars="200"/>
        <w:rPr>
          <w:color w:val="auto"/>
          <w:szCs w:val="21"/>
          <w:highlight w:val="none"/>
        </w:rPr>
      </w:pPr>
      <w:r>
        <w:rPr>
          <w:rFonts w:hint="eastAsia"/>
          <w:color w:val="auto"/>
          <w:szCs w:val="21"/>
          <w:highlight w:val="none"/>
        </w:rPr>
        <w:t>⑴</w:t>
      </w:r>
      <w:r>
        <w:rPr>
          <w:color w:val="auto"/>
          <w:szCs w:val="21"/>
          <w:highlight w:val="none"/>
        </w:rPr>
        <w:t>.</w:t>
      </w:r>
      <w:r>
        <w:rPr>
          <w:rFonts w:hint="eastAsia"/>
          <w:color w:val="auto"/>
          <w:szCs w:val="21"/>
          <w:highlight w:val="none"/>
        </w:rPr>
        <w:t xml:space="preserve"> 在项目管理中不到岗或未认真履行岗位职责；</w:t>
      </w:r>
    </w:p>
    <w:p>
      <w:pPr>
        <w:tabs>
          <w:tab w:val="left" w:pos="426"/>
        </w:tabs>
        <w:spacing w:line="380" w:lineRule="exact"/>
        <w:ind w:firstLine="420" w:firstLineChars="200"/>
        <w:rPr>
          <w:color w:val="auto"/>
          <w:szCs w:val="21"/>
          <w:highlight w:val="none"/>
        </w:rPr>
      </w:pPr>
      <w:r>
        <w:rPr>
          <w:rFonts w:hint="eastAsia"/>
          <w:color w:val="auto"/>
          <w:szCs w:val="21"/>
          <w:highlight w:val="none"/>
        </w:rPr>
        <w:t>⑵</w:t>
      </w:r>
      <w:r>
        <w:rPr>
          <w:color w:val="auto"/>
          <w:szCs w:val="21"/>
          <w:highlight w:val="none"/>
        </w:rPr>
        <w:t>.</w:t>
      </w:r>
      <w:r>
        <w:rPr>
          <w:rFonts w:hint="eastAsia"/>
          <w:color w:val="auto"/>
          <w:szCs w:val="21"/>
          <w:highlight w:val="none"/>
        </w:rPr>
        <w:t xml:space="preserve"> 管理的项目发生重大质量、安全责任事故；</w:t>
      </w:r>
    </w:p>
    <w:p>
      <w:pPr>
        <w:tabs>
          <w:tab w:val="left" w:pos="426"/>
        </w:tabs>
        <w:spacing w:line="380" w:lineRule="exact"/>
        <w:ind w:firstLine="420" w:firstLineChars="200"/>
        <w:rPr>
          <w:color w:val="auto"/>
          <w:szCs w:val="21"/>
          <w:highlight w:val="none"/>
        </w:rPr>
      </w:pPr>
      <w:r>
        <w:rPr>
          <w:rFonts w:hint="eastAsia"/>
          <w:color w:val="auto"/>
          <w:szCs w:val="21"/>
          <w:highlight w:val="none"/>
        </w:rPr>
        <w:t>⑶</w:t>
      </w:r>
      <w:r>
        <w:rPr>
          <w:color w:val="auto"/>
          <w:szCs w:val="21"/>
          <w:highlight w:val="none"/>
        </w:rPr>
        <w:t>.</w:t>
      </w:r>
      <w:r>
        <w:rPr>
          <w:rFonts w:hint="eastAsia"/>
          <w:color w:val="auto"/>
          <w:szCs w:val="21"/>
          <w:highlight w:val="none"/>
        </w:rPr>
        <w:t xml:space="preserve"> 严重违法违规行为；</w:t>
      </w:r>
    </w:p>
    <w:p>
      <w:pPr>
        <w:tabs>
          <w:tab w:val="left" w:pos="426"/>
        </w:tabs>
        <w:spacing w:line="380" w:lineRule="exact"/>
        <w:ind w:firstLine="420" w:firstLineChars="200"/>
        <w:rPr>
          <w:color w:val="auto"/>
          <w:szCs w:val="21"/>
          <w:highlight w:val="none"/>
        </w:rPr>
      </w:pPr>
      <w:r>
        <w:rPr>
          <w:rFonts w:hint="eastAsia"/>
          <w:color w:val="auto"/>
          <w:szCs w:val="21"/>
          <w:highlight w:val="none"/>
        </w:rPr>
        <w:t>⑷</w:t>
      </w:r>
      <w:r>
        <w:rPr>
          <w:color w:val="auto"/>
          <w:szCs w:val="21"/>
          <w:highlight w:val="none"/>
        </w:rPr>
        <w:t>.</w:t>
      </w:r>
      <w:r>
        <w:rPr>
          <w:rFonts w:hint="eastAsia"/>
          <w:color w:val="auto"/>
          <w:szCs w:val="21"/>
          <w:highlight w:val="none"/>
        </w:rPr>
        <w:t xml:space="preserve"> 因身体原因（应有市级及以上医院证明）不能胜任项目管理工作的；</w:t>
      </w:r>
    </w:p>
    <w:p>
      <w:pPr>
        <w:tabs>
          <w:tab w:val="left" w:pos="426"/>
        </w:tabs>
        <w:spacing w:line="380" w:lineRule="exact"/>
        <w:ind w:firstLine="420" w:firstLineChars="200"/>
        <w:rPr>
          <w:color w:val="auto"/>
          <w:szCs w:val="21"/>
          <w:highlight w:val="none"/>
        </w:rPr>
      </w:pPr>
      <w:r>
        <w:rPr>
          <w:rFonts w:hint="eastAsia"/>
          <w:color w:val="auto"/>
          <w:szCs w:val="21"/>
          <w:highlight w:val="none"/>
        </w:rPr>
        <w:t>⑸</w:t>
      </w:r>
      <w:r>
        <w:rPr>
          <w:color w:val="auto"/>
          <w:szCs w:val="21"/>
          <w:highlight w:val="none"/>
        </w:rPr>
        <w:t>.</w:t>
      </w:r>
      <w:r>
        <w:rPr>
          <w:rFonts w:hint="eastAsia"/>
          <w:color w:val="auto"/>
          <w:szCs w:val="21"/>
          <w:highlight w:val="none"/>
        </w:rPr>
        <w:t xml:space="preserve"> 其它不可抗拒的原因； </w:t>
      </w:r>
    </w:p>
    <w:p>
      <w:pPr>
        <w:tabs>
          <w:tab w:val="left" w:pos="426"/>
        </w:tabs>
        <w:spacing w:line="380" w:lineRule="exact"/>
        <w:ind w:firstLine="420" w:firstLineChars="200"/>
        <w:rPr>
          <w:color w:val="auto"/>
          <w:szCs w:val="21"/>
          <w:highlight w:val="none"/>
        </w:rPr>
      </w:pPr>
      <w:r>
        <w:rPr>
          <w:rFonts w:hint="eastAsia"/>
          <w:color w:val="auto"/>
          <w:szCs w:val="21"/>
          <w:highlight w:val="none"/>
        </w:rPr>
        <w:t>⑹</w:t>
      </w:r>
      <w:r>
        <w:rPr>
          <w:color w:val="auto"/>
          <w:szCs w:val="21"/>
          <w:highlight w:val="none"/>
        </w:rPr>
        <w:t>.</w:t>
      </w:r>
      <w:r>
        <w:rPr>
          <w:rFonts w:hint="eastAsia"/>
          <w:color w:val="auto"/>
          <w:szCs w:val="21"/>
          <w:highlight w:val="none"/>
        </w:rPr>
        <w:t>《专用条件》约定的其他情形。</w:t>
      </w:r>
    </w:p>
    <w:p>
      <w:pPr>
        <w:tabs>
          <w:tab w:val="left" w:pos="426"/>
        </w:tabs>
        <w:spacing w:line="380" w:lineRule="exact"/>
        <w:ind w:firstLine="420" w:firstLineChars="200"/>
        <w:rPr>
          <w:color w:val="auto"/>
          <w:szCs w:val="21"/>
          <w:highlight w:val="none"/>
        </w:rPr>
      </w:pPr>
      <w:r>
        <w:rPr>
          <w:color w:val="auto"/>
          <w:szCs w:val="21"/>
          <w:highlight w:val="none"/>
        </w:rPr>
        <w:t xml:space="preserve">5.5 </w:t>
      </w:r>
      <w:r>
        <w:rPr>
          <w:rFonts w:hint="eastAsia"/>
          <w:color w:val="auto"/>
          <w:szCs w:val="21"/>
          <w:highlight w:val="none"/>
        </w:rPr>
        <w:t>委托人有权以书面形式要求监理人更换不能胜任本职工作的项目监理机构人员。</w:t>
      </w:r>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6</w:t>
      </w:r>
      <w:r>
        <w:rPr>
          <w:rFonts w:hint="eastAsia" w:ascii="黑体" w:eastAsia="黑体"/>
          <w:color w:val="auto"/>
          <w:kern w:val="18"/>
          <w:sz w:val="22"/>
          <w:szCs w:val="22"/>
          <w:highlight w:val="none"/>
        </w:rPr>
        <w:t>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履行职责</w:t>
      </w:r>
    </w:p>
    <w:p>
      <w:pPr>
        <w:tabs>
          <w:tab w:val="left" w:pos="426"/>
        </w:tabs>
        <w:spacing w:line="380" w:lineRule="exact"/>
        <w:ind w:firstLine="420" w:firstLineChars="200"/>
        <w:rPr>
          <w:color w:val="auto"/>
          <w:szCs w:val="21"/>
          <w:highlight w:val="none"/>
        </w:rPr>
      </w:pPr>
      <w:r>
        <w:rPr>
          <w:rFonts w:hint="eastAsia"/>
          <w:color w:val="auto"/>
          <w:szCs w:val="21"/>
          <w:highlight w:val="none"/>
        </w:rPr>
        <w:t>监理人应遵循职业道德准则和行为规范，严格按照法律法规、工程建设有关标准及监理合同履行职责。</w:t>
      </w:r>
    </w:p>
    <w:p>
      <w:pPr>
        <w:tabs>
          <w:tab w:val="left" w:pos="426"/>
        </w:tabs>
        <w:spacing w:line="380" w:lineRule="exact"/>
        <w:ind w:firstLine="420" w:firstLineChars="200"/>
        <w:rPr>
          <w:color w:val="auto"/>
          <w:szCs w:val="21"/>
          <w:highlight w:val="none"/>
        </w:rPr>
      </w:pPr>
      <w:r>
        <w:rPr>
          <w:color w:val="auto"/>
          <w:szCs w:val="21"/>
          <w:highlight w:val="none"/>
        </w:rPr>
        <w:t xml:space="preserve">6.1 </w:t>
      </w:r>
      <w:r>
        <w:rPr>
          <w:rFonts w:hint="eastAsia"/>
          <w:color w:val="auto"/>
          <w:szCs w:val="21"/>
          <w:highlight w:val="none"/>
        </w:rPr>
        <w:t>在监理与相关服务范围内，委托人和承包人提出的意见和要求，监理人应及时提出处置意见。当委托人与承包人之间发生合同争议时，监理人应与委托人、承包人协商解决。</w:t>
      </w:r>
    </w:p>
    <w:p>
      <w:pPr>
        <w:tabs>
          <w:tab w:val="left" w:pos="426"/>
        </w:tabs>
        <w:spacing w:line="380" w:lineRule="exact"/>
        <w:ind w:firstLine="420" w:firstLineChars="200"/>
        <w:rPr>
          <w:color w:val="auto"/>
          <w:szCs w:val="21"/>
          <w:highlight w:val="none"/>
        </w:rPr>
      </w:pPr>
      <w:r>
        <w:rPr>
          <w:color w:val="auto"/>
          <w:szCs w:val="21"/>
          <w:highlight w:val="none"/>
        </w:rPr>
        <w:t xml:space="preserve">6.2 </w:t>
      </w:r>
      <w:r>
        <w:rPr>
          <w:rFonts w:hint="eastAsia"/>
          <w:color w:val="auto"/>
          <w:szCs w:val="21"/>
          <w:highlight w:val="none"/>
        </w:rPr>
        <w:t>当委托人与承包人之间的合同争议提交仲裁机构仲裁或人民法院审理时，监理人应提供必要的证明资料。</w:t>
      </w:r>
    </w:p>
    <w:p>
      <w:pPr>
        <w:tabs>
          <w:tab w:val="left" w:pos="426"/>
        </w:tabs>
        <w:spacing w:line="380" w:lineRule="exact"/>
        <w:ind w:firstLine="420" w:firstLineChars="200"/>
        <w:rPr>
          <w:color w:val="auto"/>
          <w:szCs w:val="21"/>
          <w:highlight w:val="none"/>
        </w:rPr>
      </w:pPr>
      <w:r>
        <w:rPr>
          <w:color w:val="auto"/>
          <w:szCs w:val="21"/>
          <w:highlight w:val="none"/>
        </w:rPr>
        <w:t xml:space="preserve">6.3 </w:t>
      </w:r>
      <w:r>
        <w:rPr>
          <w:rFonts w:hint="eastAsia"/>
          <w:color w:val="auto"/>
          <w:szCs w:val="21"/>
          <w:highlight w:val="none"/>
        </w:rPr>
        <w:t>监理人应在《专用条件》约定的授权范围内，独立处理委托人与承包人所签订的合同的变更事宜。如果变更超过授权范围，应以书面形式报委托人批准。</w:t>
      </w:r>
    </w:p>
    <w:p>
      <w:pPr>
        <w:tabs>
          <w:tab w:val="left" w:pos="426"/>
        </w:tabs>
        <w:spacing w:line="380" w:lineRule="exact"/>
        <w:ind w:firstLine="420" w:firstLineChars="200"/>
        <w:rPr>
          <w:color w:val="auto"/>
          <w:szCs w:val="21"/>
          <w:highlight w:val="none"/>
        </w:rPr>
      </w:pPr>
      <w:r>
        <w:rPr>
          <w:rFonts w:hint="eastAsia"/>
          <w:color w:val="auto"/>
          <w:szCs w:val="21"/>
          <w:highlight w:val="none"/>
        </w:rPr>
        <w:t>在紧急情况下，为了保护财产和人身安全，监理人所发出的指令未能事先报委托人批准时，应在发出指令后的</w:t>
      </w:r>
      <w:r>
        <w:rPr>
          <w:color w:val="auto"/>
          <w:szCs w:val="21"/>
          <w:highlight w:val="none"/>
        </w:rPr>
        <w:t>24</w:t>
      </w:r>
      <w:r>
        <w:rPr>
          <w:rFonts w:hint="eastAsia"/>
          <w:color w:val="auto"/>
          <w:szCs w:val="21"/>
          <w:highlight w:val="none"/>
        </w:rPr>
        <w:t>小时内以书面形式报委托人。</w:t>
      </w:r>
    </w:p>
    <w:p>
      <w:pPr>
        <w:tabs>
          <w:tab w:val="left" w:pos="426"/>
        </w:tabs>
        <w:spacing w:line="380" w:lineRule="exact"/>
        <w:ind w:firstLine="420" w:firstLineChars="200"/>
        <w:rPr>
          <w:color w:val="auto"/>
          <w:szCs w:val="21"/>
          <w:highlight w:val="none"/>
        </w:rPr>
      </w:pPr>
      <w:r>
        <w:rPr>
          <w:color w:val="auto"/>
          <w:szCs w:val="21"/>
          <w:highlight w:val="none"/>
        </w:rPr>
        <w:t xml:space="preserve">6.4 </w:t>
      </w:r>
      <w:r>
        <w:rPr>
          <w:rFonts w:hint="eastAsia"/>
          <w:color w:val="auto"/>
          <w:szCs w:val="21"/>
          <w:highlight w:val="none"/>
        </w:rPr>
        <w:t>除《专用条件》另有约定外，监理人发现承包人的人员不能胜任本职工作的，有权要求承包人予以调换。</w:t>
      </w:r>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7</w:t>
      </w:r>
      <w:r>
        <w:rPr>
          <w:rFonts w:hint="eastAsia" w:ascii="黑体" w:eastAsia="黑体"/>
          <w:color w:val="auto"/>
          <w:kern w:val="18"/>
          <w:sz w:val="22"/>
          <w:szCs w:val="22"/>
          <w:highlight w:val="none"/>
        </w:rPr>
        <w:t>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报告</w:t>
      </w:r>
    </w:p>
    <w:p>
      <w:pPr>
        <w:tabs>
          <w:tab w:val="left" w:pos="426"/>
        </w:tabs>
        <w:spacing w:line="380" w:lineRule="exact"/>
        <w:ind w:firstLine="420" w:firstLineChars="200"/>
        <w:rPr>
          <w:color w:val="auto"/>
          <w:szCs w:val="21"/>
          <w:highlight w:val="none"/>
        </w:rPr>
      </w:pPr>
      <w:r>
        <w:rPr>
          <w:rFonts w:hint="eastAsia"/>
          <w:color w:val="auto"/>
          <w:szCs w:val="21"/>
          <w:highlight w:val="none"/>
        </w:rPr>
        <w:t>监理人应按《专用条件》约定的内容、时间和份数向委托人提交监理与相关服务的报告。</w:t>
      </w:r>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8</w:t>
      </w:r>
      <w:r>
        <w:rPr>
          <w:rFonts w:hint="eastAsia" w:ascii="黑体" w:eastAsia="黑体"/>
          <w:color w:val="auto"/>
          <w:kern w:val="18"/>
          <w:sz w:val="22"/>
          <w:szCs w:val="22"/>
          <w:highlight w:val="none"/>
        </w:rPr>
        <w:t>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文件资料</w:t>
      </w:r>
    </w:p>
    <w:p>
      <w:pPr>
        <w:tabs>
          <w:tab w:val="left" w:pos="426"/>
        </w:tabs>
        <w:spacing w:line="380" w:lineRule="exact"/>
        <w:ind w:firstLine="420" w:firstLineChars="200"/>
        <w:rPr>
          <w:color w:val="auto"/>
          <w:szCs w:val="21"/>
          <w:highlight w:val="none"/>
        </w:rPr>
      </w:pPr>
      <w:r>
        <w:rPr>
          <w:rFonts w:hint="eastAsia"/>
          <w:color w:val="auto"/>
          <w:szCs w:val="21"/>
          <w:highlight w:val="none"/>
        </w:rPr>
        <w:t>在监理合同履行期内，监理人应在现场保留工作所用的图纸、报告及记录监理工作的相关文件。工程竣工后，应当按照档案管理规定将监理有关文件归档。</w:t>
      </w:r>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9</w:t>
      </w:r>
      <w:r>
        <w:rPr>
          <w:rFonts w:hint="eastAsia" w:ascii="黑体" w:eastAsia="黑体"/>
          <w:color w:val="auto"/>
          <w:kern w:val="18"/>
          <w:sz w:val="22"/>
          <w:szCs w:val="22"/>
          <w:highlight w:val="none"/>
        </w:rPr>
        <w:t>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使用委托人的财产</w:t>
      </w:r>
    </w:p>
    <w:p>
      <w:pPr>
        <w:tabs>
          <w:tab w:val="left" w:pos="426"/>
        </w:tabs>
        <w:spacing w:line="380" w:lineRule="exact"/>
        <w:ind w:firstLine="420" w:firstLineChars="200"/>
        <w:rPr>
          <w:color w:val="auto"/>
          <w:szCs w:val="21"/>
          <w:highlight w:val="none"/>
        </w:rPr>
      </w:pPr>
      <w:r>
        <w:rPr>
          <w:rFonts w:hint="eastAsia"/>
          <w:color w:val="auto"/>
          <w:szCs w:val="21"/>
          <w:highlight w:val="none"/>
        </w:rPr>
        <w:t>监理人免费使用附录</w:t>
      </w:r>
      <w:r>
        <w:rPr>
          <w:color w:val="auto"/>
          <w:szCs w:val="21"/>
          <w:highlight w:val="none"/>
        </w:rPr>
        <w:t>B</w:t>
      </w:r>
      <w:r>
        <w:rPr>
          <w:rFonts w:hint="eastAsia"/>
          <w:color w:val="auto"/>
          <w:szCs w:val="21"/>
          <w:highlight w:val="none"/>
        </w:rPr>
        <w:t>中由委托人提供的人员、设备、设施。除《专用条件》另有约定外，委托人提供的设备、设施属于委托人的财产，监理人应妥善使用和保管，在监理合同终止时将这些设备、设施的清单提交委托人，并按《专用条件》约定的时间和方式移交。</w:t>
      </w:r>
    </w:p>
    <w:p>
      <w:pPr>
        <w:pStyle w:val="4"/>
        <w:keepNext w:val="0"/>
        <w:tabs>
          <w:tab w:val="left" w:pos="426"/>
        </w:tabs>
        <w:spacing w:before="360" w:after="240" w:line="380" w:lineRule="exact"/>
        <w:jc w:val="center"/>
        <w:rPr>
          <w:rFonts w:ascii="黑体" w:eastAsia="黑体"/>
          <w:b w:val="0"/>
          <w:color w:val="auto"/>
          <w:highlight w:val="none"/>
        </w:rPr>
      </w:pPr>
      <w:bookmarkStart w:id="148" w:name="_Toc29909"/>
      <w:bookmarkStart w:id="149" w:name="_Toc32629"/>
      <w:bookmarkStart w:id="150" w:name="_Toc18221"/>
      <w:bookmarkStart w:id="151" w:name="_Toc391916905"/>
      <w:bookmarkStart w:id="152" w:name="_Toc397084578"/>
      <w:bookmarkStart w:id="153" w:name="_Toc21083"/>
      <w:r>
        <w:rPr>
          <w:rFonts w:hint="eastAsia" w:ascii="黑体" w:eastAsia="黑体"/>
          <w:b w:val="0"/>
          <w:color w:val="auto"/>
          <w:highlight w:val="none"/>
        </w:rPr>
        <w:t>三、委托人的义务</w:t>
      </w:r>
      <w:bookmarkEnd w:id="148"/>
      <w:bookmarkEnd w:id="149"/>
      <w:bookmarkEnd w:id="150"/>
      <w:bookmarkEnd w:id="151"/>
      <w:bookmarkEnd w:id="152"/>
      <w:bookmarkEnd w:id="153"/>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10</w:t>
      </w:r>
      <w:r>
        <w:rPr>
          <w:rFonts w:hint="eastAsia" w:ascii="黑体" w:eastAsia="黑体"/>
          <w:color w:val="auto"/>
          <w:kern w:val="18"/>
          <w:sz w:val="22"/>
          <w:szCs w:val="22"/>
          <w:highlight w:val="none"/>
        </w:rPr>
        <w:t>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告知</w:t>
      </w:r>
    </w:p>
    <w:p>
      <w:pPr>
        <w:tabs>
          <w:tab w:val="left" w:pos="426"/>
        </w:tabs>
        <w:spacing w:line="380" w:lineRule="exact"/>
        <w:ind w:firstLine="420" w:firstLineChars="200"/>
        <w:rPr>
          <w:color w:val="auto"/>
          <w:szCs w:val="21"/>
          <w:highlight w:val="none"/>
        </w:rPr>
      </w:pPr>
      <w:r>
        <w:rPr>
          <w:rFonts w:hint="eastAsia"/>
          <w:color w:val="auto"/>
          <w:szCs w:val="21"/>
          <w:highlight w:val="none"/>
        </w:rPr>
        <w:t>委托人应在委托人与承包人签订的合同中明确监理人、总监理工程师和授予项目监理机构的权限。如有变更，应及时以书面形式通知承包人。</w:t>
      </w:r>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11</w:t>
      </w:r>
      <w:r>
        <w:rPr>
          <w:rFonts w:hint="eastAsia" w:ascii="黑体" w:eastAsia="黑体"/>
          <w:color w:val="auto"/>
          <w:kern w:val="18"/>
          <w:sz w:val="22"/>
          <w:szCs w:val="22"/>
          <w:highlight w:val="none"/>
        </w:rPr>
        <w:t>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提供资料</w:t>
      </w:r>
    </w:p>
    <w:p>
      <w:pPr>
        <w:tabs>
          <w:tab w:val="left" w:pos="426"/>
        </w:tabs>
        <w:spacing w:line="380" w:lineRule="exact"/>
        <w:ind w:firstLine="420" w:firstLineChars="200"/>
        <w:rPr>
          <w:color w:val="auto"/>
          <w:szCs w:val="21"/>
          <w:highlight w:val="none"/>
        </w:rPr>
      </w:pPr>
      <w:r>
        <w:rPr>
          <w:rFonts w:hint="eastAsia"/>
          <w:color w:val="auto"/>
          <w:szCs w:val="21"/>
          <w:highlight w:val="none"/>
        </w:rPr>
        <w:t>委托人应按照附录</w:t>
      </w:r>
      <w:r>
        <w:rPr>
          <w:color w:val="auto"/>
          <w:szCs w:val="21"/>
          <w:highlight w:val="none"/>
        </w:rPr>
        <w:t>B</w:t>
      </w:r>
      <w:r>
        <w:rPr>
          <w:rFonts w:hint="eastAsia"/>
          <w:color w:val="auto"/>
          <w:szCs w:val="21"/>
          <w:highlight w:val="none"/>
        </w:rPr>
        <w:t>约定，免费向监理人提供工程有关的资料。在监理合同履行过程中，委托人应及时向监理人提供最新的与工程有关的资料。</w:t>
      </w:r>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12</w:t>
      </w:r>
      <w:r>
        <w:rPr>
          <w:rFonts w:hint="eastAsia" w:ascii="黑体" w:eastAsia="黑体"/>
          <w:color w:val="auto"/>
          <w:kern w:val="18"/>
          <w:sz w:val="22"/>
          <w:szCs w:val="22"/>
          <w:highlight w:val="none"/>
        </w:rPr>
        <w:t>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提供工作条件</w:t>
      </w:r>
    </w:p>
    <w:p>
      <w:pPr>
        <w:tabs>
          <w:tab w:val="left" w:pos="426"/>
        </w:tabs>
        <w:spacing w:line="380" w:lineRule="exact"/>
        <w:ind w:firstLine="420" w:firstLineChars="200"/>
        <w:rPr>
          <w:color w:val="auto"/>
          <w:szCs w:val="21"/>
          <w:highlight w:val="none"/>
        </w:rPr>
      </w:pPr>
      <w:r>
        <w:rPr>
          <w:rFonts w:hint="eastAsia"/>
          <w:color w:val="auto"/>
          <w:szCs w:val="21"/>
          <w:highlight w:val="none"/>
        </w:rPr>
        <w:t>委托人应为监理人完成监理与相关服务提供必要的条件。</w:t>
      </w:r>
    </w:p>
    <w:p>
      <w:pPr>
        <w:tabs>
          <w:tab w:val="left" w:pos="426"/>
        </w:tabs>
        <w:spacing w:line="380" w:lineRule="exact"/>
        <w:ind w:firstLine="420" w:firstLineChars="200"/>
        <w:rPr>
          <w:color w:val="auto"/>
          <w:szCs w:val="21"/>
          <w:highlight w:val="none"/>
        </w:rPr>
      </w:pPr>
      <w:r>
        <w:rPr>
          <w:color w:val="auto"/>
          <w:szCs w:val="21"/>
          <w:highlight w:val="none"/>
        </w:rPr>
        <w:t xml:space="preserve">12.1 </w:t>
      </w:r>
      <w:r>
        <w:rPr>
          <w:rFonts w:hint="eastAsia"/>
          <w:color w:val="auto"/>
          <w:szCs w:val="21"/>
          <w:highlight w:val="none"/>
        </w:rPr>
        <w:t>委托人应按照附录</w:t>
      </w:r>
      <w:r>
        <w:rPr>
          <w:color w:val="auto"/>
          <w:szCs w:val="21"/>
          <w:highlight w:val="none"/>
        </w:rPr>
        <w:t>B</w:t>
      </w:r>
      <w:r>
        <w:rPr>
          <w:rFonts w:hint="eastAsia"/>
          <w:color w:val="auto"/>
          <w:szCs w:val="21"/>
          <w:highlight w:val="none"/>
        </w:rPr>
        <w:t>约定，提供相应的人员、房屋、设备、设施，供监理人免费使用。</w:t>
      </w:r>
    </w:p>
    <w:p>
      <w:pPr>
        <w:tabs>
          <w:tab w:val="left" w:pos="426"/>
        </w:tabs>
        <w:spacing w:line="380" w:lineRule="exact"/>
        <w:ind w:firstLine="420" w:firstLineChars="200"/>
        <w:rPr>
          <w:color w:val="auto"/>
          <w:szCs w:val="21"/>
          <w:highlight w:val="none"/>
        </w:rPr>
      </w:pPr>
      <w:r>
        <w:rPr>
          <w:color w:val="auto"/>
          <w:szCs w:val="21"/>
          <w:highlight w:val="none"/>
        </w:rPr>
        <w:t xml:space="preserve">12.2 </w:t>
      </w:r>
      <w:r>
        <w:rPr>
          <w:rFonts w:hint="eastAsia"/>
          <w:color w:val="auto"/>
          <w:szCs w:val="21"/>
          <w:highlight w:val="none"/>
        </w:rPr>
        <w:t>委托人应负责协调工程建设中所有外部关系，为监理人履行监理合同提供必要的外部条件。</w:t>
      </w:r>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13</w:t>
      </w:r>
      <w:r>
        <w:rPr>
          <w:rFonts w:hint="eastAsia" w:ascii="黑体" w:eastAsia="黑体"/>
          <w:color w:val="auto"/>
          <w:kern w:val="18"/>
          <w:sz w:val="22"/>
          <w:szCs w:val="22"/>
          <w:highlight w:val="none"/>
        </w:rPr>
        <w:t>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委托人代表</w:t>
      </w:r>
    </w:p>
    <w:p>
      <w:pPr>
        <w:tabs>
          <w:tab w:val="left" w:pos="426"/>
        </w:tabs>
        <w:spacing w:line="380" w:lineRule="exact"/>
        <w:ind w:firstLine="420" w:firstLineChars="200"/>
        <w:rPr>
          <w:color w:val="auto"/>
          <w:szCs w:val="21"/>
          <w:highlight w:val="none"/>
        </w:rPr>
      </w:pPr>
      <w:r>
        <w:rPr>
          <w:rFonts w:hint="eastAsia"/>
          <w:color w:val="auto"/>
          <w:szCs w:val="21"/>
          <w:highlight w:val="none"/>
        </w:rPr>
        <w:t>委托人应授权一名熟悉工程情况的代表，负责与监理人联系。委托人应在双方签订监理合同后</w:t>
      </w:r>
      <w:r>
        <w:rPr>
          <w:color w:val="auto"/>
          <w:szCs w:val="21"/>
          <w:highlight w:val="none"/>
        </w:rPr>
        <w:t>7</w:t>
      </w:r>
      <w:r>
        <w:rPr>
          <w:rFonts w:hint="eastAsia"/>
          <w:color w:val="auto"/>
          <w:szCs w:val="21"/>
          <w:highlight w:val="none"/>
        </w:rPr>
        <w:t>天内，将委托人代表的姓名和职责书面告知监理人。当委托人更换委托人代表时，应提前</w:t>
      </w:r>
      <w:r>
        <w:rPr>
          <w:color w:val="auto"/>
          <w:szCs w:val="21"/>
          <w:highlight w:val="none"/>
        </w:rPr>
        <w:t>7</w:t>
      </w:r>
      <w:r>
        <w:rPr>
          <w:rFonts w:hint="eastAsia"/>
          <w:color w:val="auto"/>
          <w:szCs w:val="21"/>
          <w:highlight w:val="none"/>
        </w:rPr>
        <w:t>天书面通知监理人。</w:t>
      </w:r>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14</w:t>
      </w:r>
      <w:r>
        <w:rPr>
          <w:rFonts w:hint="eastAsia" w:ascii="黑体" w:eastAsia="黑体"/>
          <w:color w:val="auto"/>
          <w:kern w:val="18"/>
          <w:sz w:val="22"/>
          <w:szCs w:val="22"/>
          <w:highlight w:val="none"/>
        </w:rPr>
        <w:t>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委托人意见或要求</w:t>
      </w:r>
    </w:p>
    <w:p>
      <w:pPr>
        <w:tabs>
          <w:tab w:val="left" w:pos="426"/>
        </w:tabs>
        <w:spacing w:line="380" w:lineRule="exact"/>
        <w:ind w:firstLine="420" w:firstLineChars="200"/>
        <w:rPr>
          <w:color w:val="auto"/>
          <w:szCs w:val="21"/>
          <w:highlight w:val="none"/>
        </w:rPr>
      </w:pPr>
      <w:r>
        <w:rPr>
          <w:rFonts w:hint="eastAsia"/>
          <w:color w:val="auto"/>
          <w:szCs w:val="21"/>
          <w:highlight w:val="none"/>
        </w:rPr>
        <w:t>在监理合同约定的监理和相关服务工作范围内，委托人对承包人的任何意见或要求应通知监理人，由监理人向承包人发出相应指令。</w:t>
      </w:r>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15</w:t>
      </w:r>
      <w:r>
        <w:rPr>
          <w:rFonts w:hint="eastAsia" w:ascii="黑体" w:eastAsia="黑体"/>
          <w:color w:val="auto"/>
          <w:kern w:val="18"/>
          <w:sz w:val="22"/>
          <w:szCs w:val="22"/>
          <w:highlight w:val="none"/>
        </w:rPr>
        <w:t>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答复</w:t>
      </w:r>
    </w:p>
    <w:p>
      <w:pPr>
        <w:tabs>
          <w:tab w:val="left" w:pos="426"/>
        </w:tabs>
        <w:spacing w:line="380" w:lineRule="exact"/>
        <w:ind w:firstLine="420" w:firstLineChars="200"/>
        <w:rPr>
          <w:color w:val="auto"/>
          <w:szCs w:val="21"/>
          <w:highlight w:val="none"/>
        </w:rPr>
      </w:pPr>
      <w:r>
        <w:rPr>
          <w:rFonts w:hint="eastAsia"/>
          <w:color w:val="auto"/>
          <w:szCs w:val="21"/>
          <w:highlight w:val="none"/>
        </w:rPr>
        <w:t>委托人应在《专用条件》约定的时间内，对监理人以书面形式提交并要求作出决定的事宜，给予书面答复。逾期未答复的，视为委托人认可。</w:t>
      </w:r>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16</w:t>
      </w:r>
      <w:r>
        <w:rPr>
          <w:rFonts w:hint="eastAsia" w:ascii="黑体" w:eastAsia="黑体"/>
          <w:color w:val="auto"/>
          <w:kern w:val="18"/>
          <w:sz w:val="22"/>
          <w:szCs w:val="22"/>
          <w:highlight w:val="none"/>
        </w:rPr>
        <w:t>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支付</w:t>
      </w:r>
    </w:p>
    <w:p>
      <w:pPr>
        <w:tabs>
          <w:tab w:val="left" w:pos="426"/>
        </w:tabs>
        <w:spacing w:line="380" w:lineRule="exact"/>
        <w:ind w:firstLine="420" w:firstLineChars="200"/>
        <w:rPr>
          <w:color w:val="auto"/>
          <w:szCs w:val="21"/>
          <w:highlight w:val="none"/>
        </w:rPr>
      </w:pPr>
      <w:r>
        <w:rPr>
          <w:rFonts w:hint="eastAsia"/>
          <w:color w:val="auto"/>
          <w:szCs w:val="21"/>
          <w:highlight w:val="none"/>
        </w:rPr>
        <w:t>委托人应按监理合同约定，向监理人支付酬金。</w:t>
      </w:r>
    </w:p>
    <w:p>
      <w:pPr>
        <w:pStyle w:val="4"/>
        <w:keepNext w:val="0"/>
        <w:tabs>
          <w:tab w:val="left" w:pos="426"/>
        </w:tabs>
        <w:spacing w:before="360" w:after="240" w:line="380" w:lineRule="exact"/>
        <w:jc w:val="center"/>
        <w:rPr>
          <w:rFonts w:ascii="黑体" w:eastAsia="黑体"/>
          <w:b w:val="0"/>
          <w:color w:val="auto"/>
          <w:highlight w:val="none"/>
        </w:rPr>
      </w:pPr>
      <w:bookmarkStart w:id="154" w:name="_Toc397084579"/>
      <w:bookmarkStart w:id="155" w:name="_Toc28585"/>
      <w:bookmarkStart w:id="156" w:name="_Toc3060"/>
      <w:bookmarkStart w:id="157" w:name="_Toc391916906"/>
      <w:bookmarkStart w:id="158" w:name="_Toc20543"/>
      <w:bookmarkStart w:id="159" w:name="_Toc6986"/>
      <w:r>
        <w:rPr>
          <w:rFonts w:hint="eastAsia" w:ascii="黑体" w:eastAsia="黑体"/>
          <w:b w:val="0"/>
          <w:color w:val="auto"/>
          <w:highlight w:val="none"/>
        </w:rPr>
        <w:t>四、违约责任</w:t>
      </w:r>
      <w:bookmarkEnd w:id="154"/>
      <w:bookmarkEnd w:id="155"/>
      <w:bookmarkEnd w:id="156"/>
      <w:bookmarkEnd w:id="157"/>
      <w:bookmarkEnd w:id="158"/>
      <w:bookmarkEnd w:id="159"/>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17</w:t>
      </w:r>
      <w:r>
        <w:rPr>
          <w:rFonts w:hint="eastAsia" w:ascii="黑体" w:eastAsia="黑体"/>
          <w:color w:val="auto"/>
          <w:kern w:val="18"/>
          <w:sz w:val="22"/>
          <w:szCs w:val="22"/>
          <w:highlight w:val="none"/>
        </w:rPr>
        <w:t>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监理人的违约责任</w:t>
      </w:r>
    </w:p>
    <w:p>
      <w:pPr>
        <w:tabs>
          <w:tab w:val="left" w:pos="426"/>
        </w:tabs>
        <w:spacing w:line="380" w:lineRule="exact"/>
        <w:ind w:firstLine="420" w:firstLineChars="200"/>
        <w:rPr>
          <w:color w:val="auto"/>
          <w:szCs w:val="21"/>
          <w:highlight w:val="none"/>
        </w:rPr>
      </w:pPr>
      <w:r>
        <w:rPr>
          <w:rFonts w:hint="eastAsia"/>
          <w:color w:val="auto"/>
          <w:szCs w:val="21"/>
          <w:highlight w:val="none"/>
        </w:rPr>
        <w:t>监理人未履行监理合同义务的，应承担相应的责任。</w:t>
      </w:r>
    </w:p>
    <w:p>
      <w:pPr>
        <w:tabs>
          <w:tab w:val="left" w:pos="426"/>
        </w:tabs>
        <w:spacing w:line="380" w:lineRule="exact"/>
        <w:ind w:firstLine="420" w:firstLineChars="200"/>
        <w:rPr>
          <w:color w:val="auto"/>
          <w:szCs w:val="21"/>
          <w:highlight w:val="none"/>
        </w:rPr>
      </w:pPr>
      <w:r>
        <w:rPr>
          <w:color w:val="auto"/>
          <w:szCs w:val="21"/>
          <w:highlight w:val="none"/>
        </w:rPr>
        <w:t xml:space="preserve">17.1 </w:t>
      </w:r>
      <w:r>
        <w:rPr>
          <w:rFonts w:hint="eastAsia"/>
          <w:color w:val="auto"/>
          <w:szCs w:val="21"/>
          <w:highlight w:val="none"/>
        </w:rPr>
        <w:t>因监理人违反监理合同约定给委托人造成损失的，监理人应当赔偿委托人损失。赔偿金额的确定方法在《专用条件》中约定。</w:t>
      </w:r>
    </w:p>
    <w:p>
      <w:pPr>
        <w:tabs>
          <w:tab w:val="left" w:pos="426"/>
        </w:tabs>
        <w:spacing w:line="380" w:lineRule="exact"/>
        <w:ind w:firstLine="420" w:firstLineChars="200"/>
        <w:rPr>
          <w:color w:val="auto"/>
          <w:szCs w:val="21"/>
          <w:highlight w:val="none"/>
        </w:rPr>
      </w:pPr>
      <w:r>
        <w:rPr>
          <w:rFonts w:hint="eastAsia"/>
          <w:color w:val="auto"/>
          <w:szCs w:val="21"/>
          <w:highlight w:val="none"/>
        </w:rPr>
        <w:t>17.2本合同履行期间，发生下述情形时，委托方有权解除本合同，监理方除应退还委托方支付的全部款项外，还应支付本合同项下服务费总金额20%的违约金。监理方应同时将已完成的项目成果移交给委托方，并将全部有关资料退还委托方：</w:t>
      </w:r>
    </w:p>
    <w:p>
      <w:pPr>
        <w:tabs>
          <w:tab w:val="left" w:pos="426"/>
        </w:tabs>
        <w:spacing w:line="380" w:lineRule="exact"/>
        <w:ind w:firstLine="420" w:firstLineChars="200"/>
        <w:rPr>
          <w:color w:val="auto"/>
          <w:szCs w:val="21"/>
          <w:highlight w:val="none"/>
        </w:rPr>
      </w:pPr>
      <w:r>
        <w:rPr>
          <w:rFonts w:hint="eastAsia"/>
          <w:color w:val="auto"/>
          <w:szCs w:val="21"/>
          <w:highlight w:val="none"/>
        </w:rPr>
        <w:t>(1)</w:t>
      </w:r>
      <w:r>
        <w:rPr>
          <w:rFonts w:hint="eastAsia"/>
          <w:color w:val="auto"/>
          <w:szCs w:val="21"/>
          <w:highlight w:val="none"/>
        </w:rPr>
        <w:tab/>
      </w:r>
      <w:r>
        <w:rPr>
          <w:rFonts w:hint="eastAsia"/>
          <w:color w:val="auto"/>
          <w:szCs w:val="21"/>
          <w:highlight w:val="none"/>
        </w:rPr>
        <w:t>未经委托方书面在先同意，监理方擅自将本合同项目与任何第三方合作，或将本合同标的的全部或部分擅自转包给任何第三方，且未按委托方的要求终止与第三方的协议的。</w:t>
      </w:r>
    </w:p>
    <w:p>
      <w:pPr>
        <w:tabs>
          <w:tab w:val="left" w:pos="426"/>
        </w:tabs>
        <w:spacing w:line="380" w:lineRule="exact"/>
        <w:ind w:firstLine="420" w:firstLineChars="200"/>
        <w:rPr>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项目负责人为承担本协议项目实质性工作，或未经委托方书面在先同意，监理方擅自更换总监理工程师的。</w:t>
      </w:r>
    </w:p>
    <w:p>
      <w:pPr>
        <w:tabs>
          <w:tab w:val="left" w:pos="426"/>
        </w:tabs>
        <w:spacing w:line="380" w:lineRule="exact"/>
        <w:ind w:firstLine="420" w:firstLineChars="200"/>
        <w:rPr>
          <w:color w:val="auto"/>
          <w:szCs w:val="21"/>
          <w:highlight w:val="none"/>
        </w:rPr>
      </w:pPr>
      <w:r>
        <w:rPr>
          <w:rFonts w:hint="eastAsia"/>
          <w:color w:val="auto"/>
          <w:szCs w:val="21"/>
          <w:highlight w:val="none"/>
        </w:rPr>
        <w:t>(3)</w:t>
      </w:r>
      <w:r>
        <w:rPr>
          <w:rFonts w:hint="eastAsia"/>
          <w:color w:val="auto"/>
          <w:szCs w:val="21"/>
          <w:highlight w:val="none"/>
        </w:rPr>
        <w:tab/>
      </w:r>
      <w:r>
        <w:rPr>
          <w:rFonts w:hint="eastAsia"/>
          <w:color w:val="auto"/>
          <w:szCs w:val="21"/>
          <w:highlight w:val="none"/>
        </w:rPr>
        <w:t>发现监理方或监理方工作人员出现全部或部分丧失履行委托服务能力的情况，委托方有权通知监理方限期整改或更换工作人员，期限届满监理方并未进行改善的。</w:t>
      </w:r>
    </w:p>
    <w:p>
      <w:pPr>
        <w:tabs>
          <w:tab w:val="left" w:pos="426"/>
        </w:tabs>
        <w:spacing w:line="380" w:lineRule="exact"/>
        <w:ind w:firstLine="420" w:firstLineChars="200"/>
        <w:rPr>
          <w:color w:val="auto"/>
          <w:szCs w:val="21"/>
          <w:highlight w:val="none"/>
        </w:rPr>
      </w:pPr>
      <w:r>
        <w:rPr>
          <w:rFonts w:hint="eastAsia"/>
          <w:color w:val="auto"/>
          <w:szCs w:val="21"/>
          <w:highlight w:val="none"/>
        </w:rPr>
        <w:t>(4)</w:t>
      </w:r>
      <w:r>
        <w:rPr>
          <w:rFonts w:hint="eastAsia"/>
          <w:color w:val="auto"/>
          <w:szCs w:val="21"/>
          <w:highlight w:val="none"/>
        </w:rPr>
        <w:tab/>
      </w:r>
      <w:r>
        <w:rPr>
          <w:rFonts w:hint="eastAsia"/>
          <w:color w:val="auto"/>
          <w:szCs w:val="21"/>
          <w:highlight w:val="none"/>
        </w:rPr>
        <w:t>监理方明确表示或者以自己的行为表明不履行本合同的。</w:t>
      </w:r>
    </w:p>
    <w:p>
      <w:pPr>
        <w:tabs>
          <w:tab w:val="left" w:pos="426"/>
        </w:tabs>
        <w:spacing w:line="380" w:lineRule="exact"/>
        <w:ind w:firstLine="420" w:firstLineChars="200"/>
        <w:rPr>
          <w:color w:val="auto"/>
          <w:szCs w:val="21"/>
          <w:highlight w:val="none"/>
        </w:rPr>
      </w:pPr>
      <w:r>
        <w:rPr>
          <w:color w:val="auto"/>
          <w:szCs w:val="21"/>
          <w:highlight w:val="none"/>
        </w:rPr>
        <w:t>17.</w:t>
      </w:r>
      <w:r>
        <w:rPr>
          <w:rFonts w:hint="eastAsia"/>
          <w:color w:val="auto"/>
          <w:szCs w:val="21"/>
          <w:highlight w:val="none"/>
        </w:rPr>
        <w:t>3</w:t>
      </w:r>
      <w:r>
        <w:rPr>
          <w:color w:val="auto"/>
          <w:szCs w:val="21"/>
          <w:highlight w:val="none"/>
        </w:rPr>
        <w:t xml:space="preserve"> </w:t>
      </w:r>
      <w:r>
        <w:rPr>
          <w:rFonts w:hint="eastAsia"/>
          <w:color w:val="auto"/>
          <w:szCs w:val="21"/>
          <w:highlight w:val="none"/>
        </w:rPr>
        <w:t>监理人向委托人的索赔不成立时，监理人应赔偿委托人由此发生的费用。</w:t>
      </w:r>
    </w:p>
    <w:p>
      <w:pPr>
        <w:tabs>
          <w:tab w:val="left" w:pos="426"/>
        </w:tabs>
        <w:spacing w:line="380" w:lineRule="exact"/>
        <w:ind w:firstLine="420" w:firstLineChars="200"/>
        <w:rPr>
          <w:color w:val="auto"/>
          <w:szCs w:val="21"/>
          <w:highlight w:val="none"/>
        </w:rPr>
      </w:pPr>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18</w:t>
      </w:r>
      <w:r>
        <w:rPr>
          <w:rFonts w:hint="eastAsia" w:ascii="黑体" w:eastAsia="黑体"/>
          <w:color w:val="auto"/>
          <w:kern w:val="18"/>
          <w:sz w:val="22"/>
          <w:szCs w:val="22"/>
          <w:highlight w:val="none"/>
        </w:rPr>
        <w:t>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委托人的违约责任</w:t>
      </w:r>
    </w:p>
    <w:p>
      <w:pPr>
        <w:tabs>
          <w:tab w:val="left" w:pos="426"/>
        </w:tabs>
        <w:spacing w:line="380" w:lineRule="exact"/>
        <w:ind w:firstLine="420" w:firstLineChars="200"/>
        <w:rPr>
          <w:color w:val="auto"/>
          <w:szCs w:val="21"/>
          <w:highlight w:val="none"/>
        </w:rPr>
      </w:pPr>
      <w:r>
        <w:rPr>
          <w:rFonts w:hint="eastAsia"/>
          <w:color w:val="auto"/>
          <w:szCs w:val="21"/>
          <w:highlight w:val="none"/>
        </w:rPr>
        <w:t>委托人未履行监理合同义务的，应承担相应的责任。</w:t>
      </w:r>
    </w:p>
    <w:p>
      <w:pPr>
        <w:tabs>
          <w:tab w:val="left" w:pos="426"/>
        </w:tabs>
        <w:spacing w:line="380" w:lineRule="exact"/>
        <w:ind w:firstLine="420" w:firstLineChars="200"/>
        <w:rPr>
          <w:color w:val="auto"/>
          <w:szCs w:val="21"/>
          <w:highlight w:val="none"/>
        </w:rPr>
      </w:pPr>
      <w:r>
        <w:rPr>
          <w:color w:val="auto"/>
          <w:szCs w:val="21"/>
          <w:highlight w:val="none"/>
        </w:rPr>
        <w:t xml:space="preserve">18.1 </w:t>
      </w:r>
      <w:r>
        <w:rPr>
          <w:rFonts w:hint="eastAsia"/>
          <w:color w:val="auto"/>
          <w:szCs w:val="21"/>
          <w:highlight w:val="none"/>
        </w:rPr>
        <w:t>委托人违反监理合同约定造成监理人损失的，委托人应予以赔偿。</w:t>
      </w:r>
    </w:p>
    <w:p>
      <w:pPr>
        <w:tabs>
          <w:tab w:val="left" w:pos="426"/>
        </w:tabs>
        <w:spacing w:line="380" w:lineRule="exact"/>
        <w:ind w:firstLine="420" w:firstLineChars="200"/>
        <w:rPr>
          <w:color w:val="auto"/>
          <w:szCs w:val="21"/>
          <w:highlight w:val="none"/>
        </w:rPr>
      </w:pPr>
      <w:r>
        <w:rPr>
          <w:color w:val="auto"/>
          <w:szCs w:val="21"/>
          <w:highlight w:val="none"/>
        </w:rPr>
        <w:t xml:space="preserve">18.2 </w:t>
      </w:r>
      <w:r>
        <w:rPr>
          <w:rFonts w:hint="eastAsia"/>
          <w:color w:val="auto"/>
          <w:szCs w:val="21"/>
          <w:highlight w:val="none"/>
        </w:rPr>
        <w:t>委托人向监理人的索赔不成立时，应赔偿监理人由此引起的费用。</w:t>
      </w:r>
    </w:p>
    <w:p>
      <w:pPr>
        <w:tabs>
          <w:tab w:val="left" w:pos="426"/>
        </w:tabs>
        <w:spacing w:line="380" w:lineRule="exact"/>
        <w:ind w:firstLine="420" w:firstLineChars="200"/>
        <w:rPr>
          <w:color w:val="auto"/>
          <w:szCs w:val="21"/>
          <w:highlight w:val="none"/>
        </w:rPr>
      </w:pPr>
      <w:r>
        <w:rPr>
          <w:color w:val="auto"/>
          <w:szCs w:val="21"/>
          <w:highlight w:val="none"/>
        </w:rPr>
        <w:t>18.3</w:t>
      </w:r>
      <w:r>
        <w:rPr>
          <w:rFonts w:hint="eastAsia"/>
          <w:color w:val="auto"/>
          <w:szCs w:val="21"/>
          <w:highlight w:val="none"/>
        </w:rPr>
        <w:t>如委托方未按照本合同约定的时间支付服务费，监理方书面催告委托方并给予不少于7个工作日的履行期限后委托方仍未支付的，监理方有权自该期限届满之日起要求委托方支付该阶段应付而未付合同价款每日3‰的逾期违约金。</w:t>
      </w:r>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19</w:t>
      </w:r>
      <w:r>
        <w:rPr>
          <w:rFonts w:hint="eastAsia" w:ascii="黑体" w:eastAsia="黑体"/>
          <w:color w:val="auto"/>
          <w:kern w:val="18"/>
          <w:sz w:val="22"/>
          <w:szCs w:val="22"/>
          <w:highlight w:val="none"/>
        </w:rPr>
        <w:t>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除外责任</w:t>
      </w:r>
    </w:p>
    <w:p>
      <w:pPr>
        <w:tabs>
          <w:tab w:val="left" w:pos="426"/>
        </w:tabs>
        <w:spacing w:line="380" w:lineRule="exact"/>
        <w:ind w:firstLine="420" w:firstLineChars="200"/>
        <w:rPr>
          <w:color w:val="auto"/>
          <w:szCs w:val="21"/>
          <w:highlight w:val="none"/>
        </w:rPr>
      </w:pPr>
      <w:r>
        <w:rPr>
          <w:rFonts w:hint="eastAsia"/>
          <w:color w:val="auto"/>
          <w:szCs w:val="21"/>
          <w:highlight w:val="none"/>
        </w:rPr>
        <w:t>非因监理人的原因，且监理人无过错，发生工程质量事故、安全事故、工期延误等造成的损失，监理人不承担赔偿责任。</w:t>
      </w:r>
    </w:p>
    <w:p>
      <w:pPr>
        <w:tabs>
          <w:tab w:val="left" w:pos="426"/>
        </w:tabs>
        <w:spacing w:line="380" w:lineRule="exact"/>
        <w:ind w:firstLine="420" w:firstLineChars="200"/>
        <w:rPr>
          <w:color w:val="auto"/>
          <w:szCs w:val="21"/>
          <w:highlight w:val="none"/>
        </w:rPr>
      </w:pPr>
      <w:r>
        <w:rPr>
          <w:rFonts w:hint="eastAsia"/>
          <w:color w:val="auto"/>
          <w:szCs w:val="21"/>
          <w:highlight w:val="none"/>
        </w:rPr>
        <w:t>因不可抗力导致监理合同全部或部分不能履行时，双方各自承担其因此而造成的损失、损害。</w:t>
      </w:r>
    </w:p>
    <w:p>
      <w:pPr>
        <w:pStyle w:val="4"/>
        <w:keepNext w:val="0"/>
        <w:tabs>
          <w:tab w:val="left" w:pos="426"/>
        </w:tabs>
        <w:spacing w:before="360" w:after="240" w:line="380" w:lineRule="exact"/>
        <w:jc w:val="center"/>
        <w:rPr>
          <w:rFonts w:ascii="黑体" w:eastAsia="黑体"/>
          <w:b w:val="0"/>
          <w:color w:val="auto"/>
          <w:highlight w:val="none"/>
        </w:rPr>
      </w:pPr>
      <w:bookmarkStart w:id="160" w:name="_Toc30010"/>
      <w:bookmarkStart w:id="161" w:name="_Toc12963"/>
      <w:bookmarkStart w:id="162" w:name="_Toc391916907"/>
      <w:bookmarkStart w:id="163" w:name="_Toc397084580"/>
      <w:bookmarkStart w:id="164" w:name="_Toc15321"/>
      <w:bookmarkStart w:id="165" w:name="_Toc31530"/>
      <w:r>
        <w:rPr>
          <w:rFonts w:hint="eastAsia" w:ascii="黑体" w:eastAsia="黑体"/>
          <w:b w:val="0"/>
          <w:color w:val="auto"/>
          <w:highlight w:val="none"/>
        </w:rPr>
        <w:t>五、监理服务酬金的计取与支付</w:t>
      </w:r>
      <w:bookmarkEnd w:id="160"/>
      <w:bookmarkEnd w:id="161"/>
      <w:bookmarkEnd w:id="162"/>
      <w:bookmarkEnd w:id="163"/>
      <w:bookmarkEnd w:id="164"/>
      <w:bookmarkEnd w:id="165"/>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20</w:t>
      </w:r>
      <w:r>
        <w:rPr>
          <w:rFonts w:hint="eastAsia" w:ascii="黑体" w:eastAsia="黑体"/>
          <w:color w:val="auto"/>
          <w:kern w:val="18"/>
          <w:sz w:val="22"/>
          <w:szCs w:val="22"/>
          <w:highlight w:val="none"/>
        </w:rPr>
        <w:t>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酬金计取</w:t>
      </w:r>
    </w:p>
    <w:p>
      <w:pPr>
        <w:tabs>
          <w:tab w:val="left" w:pos="426"/>
        </w:tabs>
        <w:spacing w:line="380" w:lineRule="exact"/>
        <w:ind w:firstLine="420" w:firstLineChars="200"/>
        <w:rPr>
          <w:color w:val="auto"/>
          <w:szCs w:val="21"/>
          <w:highlight w:val="none"/>
        </w:rPr>
      </w:pPr>
      <w:r>
        <w:rPr>
          <w:rFonts w:hint="eastAsia"/>
          <w:color w:val="auto"/>
          <w:szCs w:val="21"/>
          <w:highlight w:val="none"/>
        </w:rPr>
        <w:t>根据深圳市物价局、建设局《关于贯彻国家发展改革委建设部〈建设工程监理与相关服务收费管理规定〉的通知》（深价规</w:t>
      </w:r>
      <w:r>
        <w:rPr>
          <w:color w:val="auto"/>
          <w:szCs w:val="21"/>
          <w:highlight w:val="none"/>
        </w:rPr>
        <w:t>[2009]1</w:t>
      </w:r>
      <w:r>
        <w:rPr>
          <w:rFonts w:hint="eastAsia"/>
          <w:color w:val="auto"/>
          <w:szCs w:val="21"/>
          <w:highlight w:val="none"/>
        </w:rPr>
        <w:t>号）的规定，工程监理与相关服务酬金包括工程施工阶段的工程监理服务酬金和勘察、设计、保修等各阶段的相关服务酬金。</w:t>
      </w:r>
    </w:p>
    <w:p>
      <w:pPr>
        <w:tabs>
          <w:tab w:val="left" w:pos="426"/>
        </w:tabs>
        <w:spacing w:line="380" w:lineRule="exact"/>
        <w:ind w:firstLine="420" w:firstLineChars="200"/>
        <w:rPr>
          <w:color w:val="auto"/>
          <w:szCs w:val="21"/>
          <w:highlight w:val="none"/>
        </w:rPr>
      </w:pPr>
      <w:r>
        <w:rPr>
          <w:rFonts w:hint="eastAsia"/>
          <w:color w:val="auto"/>
          <w:szCs w:val="21"/>
          <w:highlight w:val="none"/>
        </w:rPr>
        <w:t>⑴</w:t>
      </w:r>
      <w:r>
        <w:rPr>
          <w:color w:val="auto"/>
          <w:szCs w:val="21"/>
          <w:highlight w:val="none"/>
        </w:rPr>
        <w:t>.</w:t>
      </w:r>
      <w:r>
        <w:rPr>
          <w:rFonts w:hint="eastAsia"/>
          <w:color w:val="auto"/>
          <w:szCs w:val="21"/>
          <w:highlight w:val="none"/>
        </w:rPr>
        <w:t>铁路、水运、公路、水电、水库工程的施工阶段监理服务酬金按建筑安装工程费分档定额计费方式计算酬金；</w:t>
      </w:r>
    </w:p>
    <w:p>
      <w:pPr>
        <w:tabs>
          <w:tab w:val="left" w:pos="426"/>
        </w:tabs>
        <w:spacing w:line="380" w:lineRule="exact"/>
        <w:ind w:firstLine="420" w:firstLineChars="200"/>
        <w:rPr>
          <w:color w:val="auto"/>
          <w:szCs w:val="21"/>
          <w:highlight w:val="none"/>
        </w:rPr>
      </w:pPr>
      <w:r>
        <w:rPr>
          <w:rFonts w:hint="eastAsia"/>
          <w:color w:val="auto"/>
          <w:szCs w:val="21"/>
          <w:highlight w:val="none"/>
        </w:rPr>
        <w:t>⑵</w:t>
      </w:r>
      <w:r>
        <w:rPr>
          <w:color w:val="auto"/>
          <w:szCs w:val="21"/>
          <w:highlight w:val="none"/>
        </w:rPr>
        <w:t>.</w:t>
      </w:r>
      <w:r>
        <w:rPr>
          <w:rFonts w:hint="eastAsia"/>
          <w:color w:val="auto"/>
          <w:szCs w:val="21"/>
          <w:highlight w:val="none"/>
        </w:rPr>
        <w:t>房屋建筑工程，城市道路、桥梁、隧道等市政公用工程及其他工程的施工阶段监理服务酬金按照建设项目工程概算投资额分档定额计费方式计算酬金；</w:t>
      </w:r>
    </w:p>
    <w:p>
      <w:pPr>
        <w:tabs>
          <w:tab w:val="left" w:pos="426"/>
        </w:tabs>
        <w:spacing w:line="380" w:lineRule="exact"/>
        <w:ind w:firstLine="420" w:firstLineChars="200"/>
        <w:rPr>
          <w:color w:val="auto"/>
          <w:szCs w:val="21"/>
          <w:highlight w:val="none"/>
        </w:rPr>
      </w:pPr>
      <w:r>
        <w:rPr>
          <w:rFonts w:hint="eastAsia"/>
          <w:color w:val="auto"/>
          <w:szCs w:val="21"/>
          <w:highlight w:val="none"/>
        </w:rPr>
        <w:t>⑶</w:t>
      </w:r>
      <w:r>
        <w:rPr>
          <w:color w:val="auto"/>
          <w:szCs w:val="21"/>
          <w:highlight w:val="none"/>
        </w:rPr>
        <w:t>.</w:t>
      </w:r>
      <w:r>
        <w:rPr>
          <w:rFonts w:hint="eastAsia"/>
          <w:color w:val="auto"/>
          <w:szCs w:val="21"/>
          <w:highlight w:val="none"/>
        </w:rPr>
        <w:t>其他阶段的相关服务酬金一般按相关服务工作所需工日和《建设工程监理与相关服务人员人工日费用标准》计算酬金。</w:t>
      </w:r>
    </w:p>
    <w:p>
      <w:pPr>
        <w:tabs>
          <w:tab w:val="left" w:pos="426"/>
        </w:tabs>
        <w:spacing w:line="380" w:lineRule="exact"/>
        <w:ind w:firstLine="420" w:firstLineChars="200"/>
        <w:rPr>
          <w:color w:val="auto"/>
          <w:szCs w:val="21"/>
          <w:highlight w:val="none"/>
        </w:rPr>
      </w:pPr>
      <w:r>
        <w:rPr>
          <w:rFonts w:hint="eastAsia"/>
          <w:color w:val="auto"/>
          <w:szCs w:val="21"/>
          <w:highlight w:val="none"/>
        </w:rPr>
        <w:t>⑷</w:t>
      </w:r>
      <w:r>
        <w:rPr>
          <w:color w:val="auto"/>
          <w:szCs w:val="21"/>
          <w:highlight w:val="none"/>
        </w:rPr>
        <w:t>.</w:t>
      </w:r>
      <w:r>
        <w:rPr>
          <w:rFonts w:hint="eastAsia"/>
          <w:color w:val="auto"/>
          <w:szCs w:val="21"/>
          <w:highlight w:val="none"/>
        </w:rPr>
        <w:t>对于政府建设投资项目，当施工阶段与保修阶段的监理服务委托同一监理人时，一般按施工阶段监理服务酬金的</w:t>
      </w:r>
      <w:r>
        <w:rPr>
          <w:color w:val="auto"/>
          <w:szCs w:val="21"/>
          <w:highlight w:val="none"/>
        </w:rPr>
        <w:t>5</w:t>
      </w:r>
      <w:r>
        <w:rPr>
          <w:rFonts w:hint="eastAsia"/>
          <w:color w:val="auto"/>
          <w:szCs w:val="21"/>
          <w:highlight w:val="none"/>
        </w:rPr>
        <w:t>％进行报价。</w:t>
      </w:r>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21</w:t>
      </w:r>
      <w:r>
        <w:rPr>
          <w:rFonts w:hint="eastAsia" w:ascii="黑体" w:eastAsia="黑体"/>
          <w:color w:val="auto"/>
          <w:kern w:val="18"/>
          <w:sz w:val="22"/>
          <w:szCs w:val="22"/>
          <w:highlight w:val="none"/>
        </w:rPr>
        <w:t>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酬金支付</w:t>
      </w:r>
    </w:p>
    <w:p>
      <w:pPr>
        <w:tabs>
          <w:tab w:val="left" w:pos="426"/>
        </w:tabs>
        <w:ind w:firstLine="420" w:firstLineChars="200"/>
        <w:rPr>
          <w:color w:val="auto"/>
          <w:szCs w:val="21"/>
          <w:highlight w:val="none"/>
        </w:rPr>
      </w:pPr>
      <w:r>
        <w:rPr>
          <w:rFonts w:hint="eastAsia"/>
          <w:color w:val="auto"/>
          <w:szCs w:val="21"/>
          <w:highlight w:val="none"/>
        </w:rPr>
        <w:t>本合同以人民币付款</w:t>
      </w:r>
      <w:r>
        <w:rPr>
          <w:rFonts w:hint="eastAsia"/>
          <w:color w:val="auto"/>
          <w:szCs w:val="21"/>
          <w:highlight w:val="none"/>
          <w:lang w:eastAsia="zh-CN"/>
        </w:rPr>
        <w:t>，</w:t>
      </w:r>
      <w:r>
        <w:rPr>
          <w:rFonts w:hint="eastAsia"/>
          <w:color w:val="auto"/>
          <w:szCs w:val="21"/>
          <w:highlight w:val="none"/>
        </w:rPr>
        <w:t>委托人应按监理合同第一部分《合同书》中约定的时间、金额和方式向监理人支付酬金。</w:t>
      </w:r>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22</w:t>
      </w:r>
      <w:r>
        <w:rPr>
          <w:rFonts w:hint="eastAsia" w:ascii="黑体" w:eastAsia="黑体"/>
          <w:color w:val="auto"/>
          <w:kern w:val="18"/>
          <w:sz w:val="22"/>
          <w:szCs w:val="22"/>
          <w:highlight w:val="none"/>
        </w:rPr>
        <w:t>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支付货币</w:t>
      </w:r>
    </w:p>
    <w:p>
      <w:pPr>
        <w:tabs>
          <w:tab w:val="left" w:pos="426"/>
        </w:tabs>
        <w:spacing w:line="380" w:lineRule="exact"/>
        <w:ind w:firstLine="420" w:firstLineChars="200"/>
        <w:rPr>
          <w:color w:val="auto"/>
          <w:szCs w:val="21"/>
          <w:highlight w:val="none"/>
        </w:rPr>
      </w:pPr>
      <w:r>
        <w:rPr>
          <w:rFonts w:hint="eastAsia"/>
          <w:color w:val="auto"/>
          <w:szCs w:val="21"/>
          <w:highlight w:val="none"/>
        </w:rPr>
        <w:t>除《专用条件》另有约定外，酬金均以人民币支付。涉及外币支付的，所采用的货币种类、比例和汇率在《专用条件》中约定。</w:t>
      </w:r>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23</w:t>
      </w:r>
      <w:r>
        <w:rPr>
          <w:rFonts w:hint="eastAsia" w:ascii="黑体" w:eastAsia="黑体"/>
          <w:color w:val="auto"/>
          <w:kern w:val="18"/>
          <w:sz w:val="22"/>
          <w:szCs w:val="22"/>
          <w:highlight w:val="none"/>
        </w:rPr>
        <w:t>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支付申请</w:t>
      </w:r>
    </w:p>
    <w:p>
      <w:pPr>
        <w:tabs>
          <w:tab w:val="left" w:pos="426"/>
        </w:tabs>
        <w:spacing w:line="380" w:lineRule="exact"/>
        <w:ind w:firstLine="420" w:firstLineChars="200"/>
        <w:rPr>
          <w:color w:val="auto"/>
          <w:szCs w:val="21"/>
          <w:highlight w:val="none"/>
        </w:rPr>
      </w:pPr>
      <w:r>
        <w:rPr>
          <w:rFonts w:hint="eastAsia"/>
          <w:color w:val="auto"/>
          <w:szCs w:val="21"/>
          <w:highlight w:val="none"/>
        </w:rPr>
        <w:t>监理人应在监理合同约定的每次应付款时间的</w:t>
      </w:r>
      <w:r>
        <w:rPr>
          <w:color w:val="auto"/>
          <w:szCs w:val="21"/>
          <w:highlight w:val="none"/>
        </w:rPr>
        <w:t>7</w:t>
      </w:r>
      <w:r>
        <w:rPr>
          <w:rFonts w:hint="eastAsia"/>
          <w:color w:val="auto"/>
          <w:szCs w:val="21"/>
          <w:highlight w:val="none"/>
        </w:rPr>
        <w:t>天前，以书面形式向委托人提交支付申请书。支付申请书应当说明当期应付款总额，并列出当期应支付的款项及其金额。</w:t>
      </w:r>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24</w:t>
      </w:r>
      <w:r>
        <w:rPr>
          <w:rFonts w:hint="eastAsia" w:ascii="黑体" w:eastAsia="黑体"/>
          <w:color w:val="auto"/>
          <w:kern w:val="18"/>
          <w:sz w:val="22"/>
          <w:szCs w:val="22"/>
          <w:highlight w:val="none"/>
        </w:rPr>
        <w:t>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支付酬金</w:t>
      </w:r>
    </w:p>
    <w:p>
      <w:pPr>
        <w:tabs>
          <w:tab w:val="left" w:pos="426"/>
        </w:tabs>
        <w:spacing w:line="380" w:lineRule="exact"/>
        <w:ind w:firstLine="420" w:firstLineChars="200"/>
        <w:rPr>
          <w:color w:val="auto"/>
          <w:szCs w:val="21"/>
          <w:highlight w:val="none"/>
        </w:rPr>
      </w:pPr>
      <w:r>
        <w:rPr>
          <w:rFonts w:hint="eastAsia"/>
          <w:color w:val="auto"/>
          <w:szCs w:val="21"/>
          <w:highlight w:val="none"/>
        </w:rPr>
        <w:t>委托人应按监理合同第一部分《合同书》中约定的时间、金额和方式向监理人支付酬金。</w:t>
      </w:r>
    </w:p>
    <w:p>
      <w:pPr>
        <w:pStyle w:val="4"/>
        <w:keepNext w:val="0"/>
        <w:tabs>
          <w:tab w:val="left" w:pos="426"/>
        </w:tabs>
        <w:spacing w:before="360" w:after="240" w:line="380" w:lineRule="exact"/>
        <w:jc w:val="center"/>
        <w:rPr>
          <w:rFonts w:ascii="黑体" w:eastAsia="黑体"/>
          <w:b w:val="0"/>
          <w:color w:val="auto"/>
          <w:highlight w:val="none"/>
        </w:rPr>
      </w:pPr>
      <w:bookmarkStart w:id="166" w:name="_Toc1838"/>
      <w:bookmarkStart w:id="167" w:name="_Toc15887"/>
      <w:bookmarkStart w:id="168" w:name="_Toc397084581"/>
      <w:bookmarkStart w:id="169" w:name="_Toc9824"/>
      <w:bookmarkStart w:id="170" w:name="_Toc16756"/>
      <w:bookmarkStart w:id="171" w:name="_Toc391916908"/>
      <w:r>
        <w:rPr>
          <w:rFonts w:hint="eastAsia" w:ascii="黑体" w:eastAsia="黑体"/>
          <w:b w:val="0"/>
          <w:color w:val="auto"/>
          <w:highlight w:val="none"/>
        </w:rPr>
        <w:t>六、监理合同生效、变更与终止</w:t>
      </w:r>
      <w:bookmarkEnd w:id="166"/>
      <w:bookmarkEnd w:id="167"/>
      <w:bookmarkEnd w:id="168"/>
      <w:bookmarkEnd w:id="169"/>
      <w:bookmarkEnd w:id="170"/>
      <w:bookmarkEnd w:id="171"/>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2</w:t>
      </w:r>
      <w:r>
        <w:rPr>
          <w:rFonts w:hint="eastAsia" w:ascii="黑体" w:eastAsia="黑体"/>
          <w:color w:val="auto"/>
          <w:kern w:val="18"/>
          <w:sz w:val="22"/>
          <w:szCs w:val="22"/>
          <w:highlight w:val="none"/>
        </w:rPr>
        <w:t>5条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生效</w:t>
      </w:r>
    </w:p>
    <w:p>
      <w:pPr>
        <w:tabs>
          <w:tab w:val="left" w:pos="426"/>
        </w:tabs>
        <w:spacing w:line="380" w:lineRule="exact"/>
        <w:ind w:firstLine="420" w:firstLineChars="200"/>
        <w:rPr>
          <w:color w:val="auto"/>
          <w:szCs w:val="21"/>
          <w:highlight w:val="none"/>
        </w:rPr>
      </w:pPr>
      <w:r>
        <w:rPr>
          <w:rFonts w:hint="eastAsia"/>
          <w:color w:val="auto"/>
          <w:szCs w:val="21"/>
          <w:highlight w:val="none"/>
        </w:rPr>
        <w:t>除法律另有规定或者《专用条件》另有约定外，委托人和监理人的法定代表人或其授权代理人在合同书上签字并盖单位章后生效。</w:t>
      </w:r>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2</w:t>
      </w:r>
      <w:r>
        <w:rPr>
          <w:rFonts w:hint="eastAsia" w:ascii="黑体" w:eastAsia="黑体"/>
          <w:color w:val="auto"/>
          <w:kern w:val="18"/>
          <w:sz w:val="22"/>
          <w:szCs w:val="22"/>
          <w:highlight w:val="none"/>
        </w:rPr>
        <w:t>6条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变更</w:t>
      </w:r>
    </w:p>
    <w:p>
      <w:pPr>
        <w:tabs>
          <w:tab w:val="left" w:pos="426"/>
        </w:tabs>
        <w:spacing w:line="380" w:lineRule="exact"/>
        <w:ind w:firstLine="420" w:firstLineChars="200"/>
        <w:rPr>
          <w:color w:val="auto"/>
          <w:szCs w:val="21"/>
          <w:highlight w:val="none"/>
        </w:rPr>
      </w:pPr>
      <w:r>
        <w:rPr>
          <w:color w:val="auto"/>
          <w:szCs w:val="21"/>
          <w:highlight w:val="none"/>
        </w:rPr>
        <w:t>2</w:t>
      </w:r>
      <w:r>
        <w:rPr>
          <w:rFonts w:hint="eastAsia"/>
          <w:color w:val="auto"/>
          <w:szCs w:val="21"/>
          <w:highlight w:val="none"/>
        </w:rPr>
        <w:t>6</w:t>
      </w:r>
      <w:r>
        <w:rPr>
          <w:color w:val="auto"/>
          <w:szCs w:val="21"/>
          <w:highlight w:val="none"/>
        </w:rPr>
        <w:t xml:space="preserve">.1 </w:t>
      </w:r>
      <w:r>
        <w:rPr>
          <w:rFonts w:hint="eastAsia"/>
          <w:color w:val="auto"/>
          <w:szCs w:val="21"/>
          <w:highlight w:val="none"/>
        </w:rPr>
        <w:t>任何一方提出变更请求时，双方经协商一致后可进行变更。</w:t>
      </w:r>
    </w:p>
    <w:p>
      <w:pPr>
        <w:tabs>
          <w:tab w:val="left" w:pos="426"/>
        </w:tabs>
        <w:spacing w:line="380" w:lineRule="exact"/>
        <w:ind w:firstLine="420" w:firstLineChars="200"/>
        <w:rPr>
          <w:color w:val="auto"/>
          <w:szCs w:val="21"/>
          <w:highlight w:val="none"/>
        </w:rPr>
      </w:pPr>
      <w:r>
        <w:rPr>
          <w:color w:val="auto"/>
          <w:szCs w:val="21"/>
          <w:highlight w:val="none"/>
        </w:rPr>
        <w:t>2</w:t>
      </w:r>
      <w:r>
        <w:rPr>
          <w:rFonts w:hint="eastAsia"/>
          <w:color w:val="auto"/>
          <w:szCs w:val="21"/>
          <w:highlight w:val="none"/>
        </w:rPr>
        <w:t>6</w:t>
      </w:r>
      <w:r>
        <w:rPr>
          <w:color w:val="auto"/>
          <w:szCs w:val="21"/>
          <w:highlight w:val="none"/>
        </w:rPr>
        <w:t xml:space="preserve">.2 </w:t>
      </w:r>
      <w:r>
        <w:rPr>
          <w:rFonts w:hint="eastAsia"/>
          <w:color w:val="auto"/>
          <w:szCs w:val="21"/>
          <w:highlight w:val="none"/>
        </w:rPr>
        <w:t>除不可抗力外，非因监理人原因导致监理人履行监理合同期限延长、内容增加时，委托人应向监理人支付附加工作酬金。</w:t>
      </w:r>
    </w:p>
    <w:p>
      <w:pPr>
        <w:tabs>
          <w:tab w:val="left" w:pos="426"/>
        </w:tabs>
        <w:spacing w:line="380" w:lineRule="exact"/>
        <w:ind w:firstLine="420" w:firstLineChars="200"/>
        <w:rPr>
          <w:color w:val="auto"/>
          <w:szCs w:val="21"/>
          <w:highlight w:val="none"/>
        </w:rPr>
      </w:pPr>
      <w:r>
        <w:rPr>
          <w:color w:val="auto"/>
          <w:szCs w:val="21"/>
          <w:highlight w:val="none"/>
        </w:rPr>
        <w:t>2</w:t>
      </w:r>
      <w:r>
        <w:rPr>
          <w:rFonts w:hint="eastAsia"/>
          <w:color w:val="auto"/>
          <w:szCs w:val="21"/>
          <w:highlight w:val="none"/>
        </w:rPr>
        <w:t>6</w:t>
      </w:r>
      <w:r>
        <w:rPr>
          <w:color w:val="auto"/>
          <w:szCs w:val="21"/>
          <w:highlight w:val="none"/>
        </w:rPr>
        <w:t xml:space="preserve">.3 </w:t>
      </w:r>
      <w:r>
        <w:rPr>
          <w:rFonts w:hint="eastAsia"/>
          <w:color w:val="auto"/>
          <w:szCs w:val="21"/>
          <w:highlight w:val="none"/>
        </w:rPr>
        <w:t>除不可抗力外，非因监理人的原因使监理人的工作受到阻碍或延误时，监理人应当将此情况与可能产生的影响及时通知委托人，增加的监理合同期限应为附加工作。</w:t>
      </w:r>
    </w:p>
    <w:p>
      <w:pPr>
        <w:tabs>
          <w:tab w:val="left" w:pos="426"/>
        </w:tabs>
        <w:spacing w:line="380" w:lineRule="exact"/>
        <w:ind w:firstLine="420" w:firstLineChars="200"/>
        <w:rPr>
          <w:color w:val="auto"/>
          <w:szCs w:val="21"/>
          <w:highlight w:val="none"/>
        </w:rPr>
      </w:pPr>
      <w:r>
        <w:rPr>
          <w:color w:val="auto"/>
          <w:szCs w:val="21"/>
          <w:highlight w:val="none"/>
        </w:rPr>
        <w:t>2</w:t>
      </w:r>
      <w:r>
        <w:rPr>
          <w:rFonts w:hint="eastAsia"/>
          <w:color w:val="auto"/>
          <w:szCs w:val="21"/>
          <w:highlight w:val="none"/>
        </w:rPr>
        <w:t>6</w:t>
      </w:r>
      <w:r>
        <w:rPr>
          <w:color w:val="auto"/>
          <w:szCs w:val="21"/>
          <w:highlight w:val="none"/>
        </w:rPr>
        <w:t xml:space="preserve">.4 </w:t>
      </w:r>
      <w:r>
        <w:rPr>
          <w:rFonts w:hint="eastAsia"/>
          <w:color w:val="auto"/>
          <w:szCs w:val="21"/>
          <w:highlight w:val="none"/>
        </w:rPr>
        <w:t>监理合同生效后，如果实际情况发生变化导致履行中的监理合同全部或部分中止，使得监理人不能完成全部或部分工作时，监理人应立即通知委托人。其善后工作以及恢复服务的准备工作应为附加工作。监理人用于恢复服务的准备时间不应超过</w:t>
      </w:r>
      <w:r>
        <w:rPr>
          <w:color w:val="auto"/>
          <w:szCs w:val="21"/>
          <w:highlight w:val="none"/>
        </w:rPr>
        <w:t>28</w:t>
      </w:r>
      <w:r>
        <w:rPr>
          <w:rFonts w:hint="eastAsia"/>
          <w:color w:val="auto"/>
          <w:szCs w:val="21"/>
          <w:highlight w:val="none"/>
        </w:rPr>
        <w:t>天。</w:t>
      </w:r>
    </w:p>
    <w:p>
      <w:pPr>
        <w:tabs>
          <w:tab w:val="left" w:pos="426"/>
        </w:tabs>
        <w:spacing w:line="380" w:lineRule="exact"/>
        <w:ind w:firstLine="420" w:firstLineChars="200"/>
        <w:rPr>
          <w:color w:val="auto"/>
          <w:szCs w:val="21"/>
          <w:highlight w:val="none"/>
        </w:rPr>
      </w:pPr>
      <w:r>
        <w:rPr>
          <w:color w:val="auto"/>
          <w:szCs w:val="21"/>
          <w:highlight w:val="none"/>
        </w:rPr>
        <w:t>2</w:t>
      </w:r>
      <w:r>
        <w:rPr>
          <w:rFonts w:hint="eastAsia"/>
          <w:color w:val="auto"/>
          <w:szCs w:val="21"/>
          <w:highlight w:val="none"/>
        </w:rPr>
        <w:t>6</w:t>
      </w:r>
      <w:r>
        <w:rPr>
          <w:color w:val="auto"/>
          <w:szCs w:val="21"/>
          <w:highlight w:val="none"/>
        </w:rPr>
        <w:t xml:space="preserve">.5 </w:t>
      </w:r>
      <w:r>
        <w:rPr>
          <w:rFonts w:hint="eastAsia"/>
          <w:color w:val="auto"/>
          <w:szCs w:val="21"/>
          <w:highlight w:val="none"/>
        </w:rPr>
        <w:t>监理合同签订后，遇有与工程相关的法律法规、标准颁布或修订的，双方应遵照执行。由此引起监理与相关服务的范围、时间、酬金变化的，双方应通过协商进行相应调整。</w:t>
      </w:r>
    </w:p>
    <w:p>
      <w:pPr>
        <w:tabs>
          <w:tab w:val="left" w:pos="426"/>
        </w:tabs>
        <w:spacing w:line="380" w:lineRule="exact"/>
        <w:ind w:firstLine="420" w:firstLineChars="200"/>
        <w:rPr>
          <w:color w:val="auto"/>
          <w:szCs w:val="21"/>
          <w:highlight w:val="none"/>
        </w:rPr>
      </w:pPr>
      <w:r>
        <w:rPr>
          <w:color w:val="auto"/>
          <w:szCs w:val="21"/>
          <w:highlight w:val="none"/>
        </w:rPr>
        <w:t>2</w:t>
      </w:r>
      <w:r>
        <w:rPr>
          <w:rFonts w:hint="eastAsia"/>
          <w:color w:val="auto"/>
          <w:szCs w:val="21"/>
          <w:highlight w:val="none"/>
        </w:rPr>
        <w:t>6</w:t>
      </w:r>
      <w:r>
        <w:rPr>
          <w:color w:val="auto"/>
          <w:szCs w:val="21"/>
          <w:highlight w:val="none"/>
        </w:rPr>
        <w:t xml:space="preserve">.6 </w:t>
      </w:r>
      <w:r>
        <w:rPr>
          <w:rFonts w:hint="eastAsia"/>
          <w:color w:val="auto"/>
          <w:szCs w:val="21"/>
          <w:highlight w:val="none"/>
        </w:rPr>
        <w:t>监理合同签订后至工程竣工验收前，如工程规模或工程范围发生变化，并经当地政府发展改革部门批准调整原工程概算投资额或建筑安装工程费的幅度≥±</w:t>
      </w:r>
      <w:r>
        <w:rPr>
          <w:color w:val="auto"/>
          <w:szCs w:val="21"/>
          <w:highlight w:val="none"/>
        </w:rPr>
        <w:t>5</w:t>
      </w:r>
      <w:r>
        <w:rPr>
          <w:rFonts w:hint="eastAsia"/>
          <w:color w:val="auto"/>
          <w:szCs w:val="21"/>
          <w:highlight w:val="none"/>
        </w:rPr>
        <w:t>％，施工阶段监理服务酬金应作相应调整，调整方法在《专用条件》中约定。对于工程竣工验收后当地政府发展改革部门方批准调整原工程概算投资额或建筑安装工程费的，施工阶段监理服务酬金不作任何调整。</w:t>
      </w:r>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2</w:t>
      </w:r>
      <w:r>
        <w:rPr>
          <w:rFonts w:hint="eastAsia" w:ascii="黑体" w:eastAsia="黑体"/>
          <w:color w:val="auto"/>
          <w:kern w:val="18"/>
          <w:sz w:val="22"/>
          <w:szCs w:val="22"/>
          <w:highlight w:val="none"/>
        </w:rPr>
        <w:t>7条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终止</w:t>
      </w:r>
    </w:p>
    <w:p>
      <w:pPr>
        <w:tabs>
          <w:tab w:val="left" w:pos="426"/>
        </w:tabs>
        <w:spacing w:line="380" w:lineRule="exact"/>
        <w:ind w:firstLine="420" w:firstLineChars="200"/>
        <w:rPr>
          <w:color w:val="auto"/>
          <w:szCs w:val="21"/>
          <w:highlight w:val="none"/>
        </w:rPr>
      </w:pPr>
      <w:r>
        <w:rPr>
          <w:rFonts w:hint="eastAsia"/>
          <w:color w:val="auto"/>
          <w:szCs w:val="21"/>
          <w:highlight w:val="none"/>
        </w:rPr>
        <w:t>以下条件全部具备时，监理合同即告终止：</w:t>
      </w:r>
    </w:p>
    <w:p>
      <w:pPr>
        <w:tabs>
          <w:tab w:val="left" w:pos="426"/>
        </w:tabs>
        <w:spacing w:line="380" w:lineRule="exact"/>
        <w:ind w:firstLine="420" w:firstLineChars="200"/>
        <w:rPr>
          <w:color w:val="auto"/>
          <w:szCs w:val="21"/>
          <w:highlight w:val="none"/>
        </w:rPr>
      </w:pPr>
      <w:r>
        <w:rPr>
          <w:rFonts w:hint="eastAsia"/>
          <w:color w:val="auto"/>
          <w:szCs w:val="21"/>
          <w:highlight w:val="none"/>
        </w:rPr>
        <w:t>⑴</w:t>
      </w:r>
      <w:r>
        <w:rPr>
          <w:color w:val="auto"/>
          <w:szCs w:val="21"/>
          <w:highlight w:val="none"/>
        </w:rPr>
        <w:t>.</w:t>
      </w:r>
      <w:r>
        <w:rPr>
          <w:rFonts w:hint="eastAsia"/>
          <w:color w:val="auto"/>
          <w:szCs w:val="21"/>
          <w:highlight w:val="none"/>
        </w:rPr>
        <w:t>监理人完成监理合同约定的全部工作；</w:t>
      </w:r>
    </w:p>
    <w:p>
      <w:pPr>
        <w:tabs>
          <w:tab w:val="left" w:pos="426"/>
        </w:tabs>
        <w:spacing w:line="380" w:lineRule="exact"/>
        <w:ind w:firstLine="420" w:firstLineChars="200"/>
        <w:rPr>
          <w:color w:val="auto"/>
          <w:szCs w:val="21"/>
          <w:highlight w:val="none"/>
        </w:rPr>
      </w:pPr>
      <w:r>
        <w:rPr>
          <w:rFonts w:hint="eastAsia"/>
          <w:color w:val="auto"/>
          <w:szCs w:val="21"/>
          <w:highlight w:val="none"/>
        </w:rPr>
        <w:t>⑵</w:t>
      </w:r>
      <w:r>
        <w:rPr>
          <w:color w:val="auto"/>
          <w:szCs w:val="21"/>
          <w:highlight w:val="none"/>
        </w:rPr>
        <w:t>.</w:t>
      </w:r>
      <w:r>
        <w:rPr>
          <w:rFonts w:hint="eastAsia"/>
          <w:color w:val="auto"/>
          <w:szCs w:val="21"/>
          <w:highlight w:val="none"/>
        </w:rPr>
        <w:t>委托人与监理人结清并支付全部酬金。</w:t>
      </w:r>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2</w:t>
      </w:r>
      <w:r>
        <w:rPr>
          <w:rFonts w:hint="eastAsia" w:ascii="黑体" w:eastAsia="黑体"/>
          <w:color w:val="auto"/>
          <w:kern w:val="18"/>
          <w:sz w:val="22"/>
          <w:szCs w:val="22"/>
          <w:highlight w:val="none"/>
        </w:rPr>
        <w:t>8条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暂停履行与解除</w:t>
      </w:r>
    </w:p>
    <w:p>
      <w:pPr>
        <w:tabs>
          <w:tab w:val="left" w:pos="426"/>
        </w:tabs>
        <w:spacing w:line="380" w:lineRule="exact"/>
        <w:ind w:firstLine="420" w:firstLineChars="200"/>
        <w:rPr>
          <w:color w:val="auto"/>
          <w:szCs w:val="21"/>
          <w:highlight w:val="none"/>
        </w:rPr>
      </w:pPr>
      <w:r>
        <w:rPr>
          <w:rFonts w:hint="eastAsia"/>
          <w:color w:val="auto"/>
          <w:szCs w:val="21"/>
          <w:highlight w:val="none"/>
        </w:rPr>
        <w:t>除双方协商一致可以解除监理合同外，当一方无正当理由未履行监理合同约定的义务时，另一方可以根据监理合同约定暂停履行监理合同直至解除监理合同。</w:t>
      </w:r>
    </w:p>
    <w:p>
      <w:pPr>
        <w:tabs>
          <w:tab w:val="left" w:pos="426"/>
        </w:tabs>
        <w:spacing w:line="380" w:lineRule="exact"/>
        <w:ind w:firstLine="420" w:firstLineChars="200"/>
        <w:rPr>
          <w:color w:val="auto"/>
          <w:szCs w:val="21"/>
          <w:highlight w:val="none"/>
        </w:rPr>
      </w:pPr>
      <w:r>
        <w:rPr>
          <w:color w:val="auto"/>
          <w:szCs w:val="21"/>
          <w:highlight w:val="none"/>
        </w:rPr>
        <w:t>2</w:t>
      </w:r>
      <w:r>
        <w:rPr>
          <w:rFonts w:hint="eastAsia"/>
          <w:color w:val="auto"/>
          <w:szCs w:val="21"/>
          <w:highlight w:val="none"/>
        </w:rPr>
        <w:t>8</w:t>
      </w:r>
      <w:r>
        <w:rPr>
          <w:color w:val="auto"/>
          <w:szCs w:val="21"/>
          <w:highlight w:val="none"/>
        </w:rPr>
        <w:t xml:space="preserve">.1 </w:t>
      </w:r>
      <w:r>
        <w:rPr>
          <w:rFonts w:hint="eastAsia"/>
          <w:color w:val="auto"/>
          <w:szCs w:val="21"/>
          <w:highlight w:val="none"/>
        </w:rPr>
        <w:t>在监理合同有效期内，由于双方无法预见和控制的原因导致监理合同全部或部分无法继续履行或继续履行已无意义，经双方协商一致，可以解除监理合同或监理人的部分义务。在解除之前，监理人应作出合理安排，使开支减至最小。</w:t>
      </w:r>
    </w:p>
    <w:p>
      <w:pPr>
        <w:tabs>
          <w:tab w:val="left" w:pos="426"/>
        </w:tabs>
        <w:spacing w:line="380" w:lineRule="exact"/>
        <w:ind w:firstLine="420" w:firstLineChars="200"/>
        <w:rPr>
          <w:color w:val="auto"/>
          <w:szCs w:val="21"/>
          <w:highlight w:val="none"/>
        </w:rPr>
      </w:pPr>
      <w:r>
        <w:rPr>
          <w:rFonts w:hint="eastAsia"/>
          <w:color w:val="auto"/>
          <w:szCs w:val="21"/>
          <w:highlight w:val="none"/>
        </w:rPr>
        <w:t>因解除监理合同或解除监理人的部分义务导致监理人遭受的损失，除依法可以免除责任的情况外，应由委托人予以补偿，补偿金额由双方协商确定。</w:t>
      </w:r>
    </w:p>
    <w:p>
      <w:pPr>
        <w:tabs>
          <w:tab w:val="left" w:pos="426"/>
        </w:tabs>
        <w:spacing w:line="380" w:lineRule="exact"/>
        <w:ind w:firstLine="420" w:firstLineChars="200"/>
        <w:rPr>
          <w:color w:val="auto"/>
          <w:szCs w:val="21"/>
          <w:highlight w:val="none"/>
        </w:rPr>
      </w:pPr>
      <w:r>
        <w:rPr>
          <w:rFonts w:hint="eastAsia"/>
          <w:color w:val="auto"/>
          <w:szCs w:val="21"/>
          <w:highlight w:val="none"/>
        </w:rPr>
        <w:t>解除监理合同的协议必须采取书面形式，协议未达成之前，监理合同仍然有效。</w:t>
      </w:r>
    </w:p>
    <w:p>
      <w:pPr>
        <w:tabs>
          <w:tab w:val="left" w:pos="426"/>
        </w:tabs>
        <w:spacing w:line="380" w:lineRule="exact"/>
        <w:ind w:firstLine="420" w:firstLineChars="200"/>
        <w:rPr>
          <w:color w:val="auto"/>
          <w:szCs w:val="21"/>
          <w:highlight w:val="none"/>
        </w:rPr>
      </w:pPr>
      <w:r>
        <w:rPr>
          <w:color w:val="auto"/>
          <w:szCs w:val="21"/>
          <w:highlight w:val="none"/>
        </w:rPr>
        <w:t>2</w:t>
      </w:r>
      <w:r>
        <w:rPr>
          <w:rFonts w:hint="eastAsia"/>
          <w:color w:val="auto"/>
          <w:szCs w:val="21"/>
          <w:highlight w:val="none"/>
        </w:rPr>
        <w:t>8</w:t>
      </w:r>
      <w:r>
        <w:rPr>
          <w:color w:val="auto"/>
          <w:szCs w:val="21"/>
          <w:highlight w:val="none"/>
        </w:rPr>
        <w:t xml:space="preserve">.2 </w:t>
      </w:r>
      <w:r>
        <w:rPr>
          <w:rFonts w:hint="eastAsia"/>
          <w:color w:val="auto"/>
          <w:szCs w:val="21"/>
          <w:highlight w:val="none"/>
        </w:rPr>
        <w:t>在监理合同有效期内，非因监理人的原因导致工程施工全部或部分暂停，委托人可以书面形式通知监理人要求暂停全部或部分工作。监理人应立即安排停止工作，并将开支减至最小。</w:t>
      </w:r>
    </w:p>
    <w:p>
      <w:pPr>
        <w:tabs>
          <w:tab w:val="left" w:pos="426"/>
        </w:tabs>
        <w:spacing w:line="380" w:lineRule="exact"/>
        <w:ind w:firstLine="420" w:firstLineChars="200"/>
        <w:rPr>
          <w:color w:val="auto"/>
          <w:szCs w:val="21"/>
          <w:highlight w:val="none"/>
        </w:rPr>
      </w:pPr>
      <w:r>
        <w:rPr>
          <w:color w:val="auto"/>
          <w:szCs w:val="21"/>
          <w:highlight w:val="none"/>
        </w:rPr>
        <w:t>2</w:t>
      </w:r>
      <w:r>
        <w:rPr>
          <w:rFonts w:hint="eastAsia"/>
          <w:color w:val="auto"/>
          <w:szCs w:val="21"/>
          <w:highlight w:val="none"/>
        </w:rPr>
        <w:t>8</w:t>
      </w:r>
      <w:r>
        <w:rPr>
          <w:color w:val="auto"/>
          <w:szCs w:val="21"/>
          <w:highlight w:val="none"/>
        </w:rPr>
        <w:t xml:space="preserve">.3 </w:t>
      </w:r>
      <w:r>
        <w:rPr>
          <w:rFonts w:hint="eastAsia"/>
          <w:color w:val="auto"/>
          <w:szCs w:val="21"/>
          <w:highlight w:val="none"/>
        </w:rPr>
        <w:t>当监理人无正当理由未履行监理合同约定的义务时，委托人应以书面形式通知监理人限期改正。若委托人在监理人接到通知后的</w:t>
      </w:r>
      <w:r>
        <w:rPr>
          <w:color w:val="auto"/>
          <w:szCs w:val="21"/>
          <w:highlight w:val="none"/>
        </w:rPr>
        <w:t>7</w:t>
      </w:r>
      <w:r>
        <w:rPr>
          <w:rFonts w:hint="eastAsia"/>
          <w:color w:val="auto"/>
          <w:szCs w:val="21"/>
          <w:highlight w:val="none"/>
        </w:rPr>
        <w:t>天内未收到监理人书面形式的合理解释，则可在</w:t>
      </w:r>
      <w:r>
        <w:rPr>
          <w:color w:val="auto"/>
          <w:szCs w:val="21"/>
          <w:highlight w:val="none"/>
        </w:rPr>
        <w:t>7</w:t>
      </w:r>
      <w:r>
        <w:rPr>
          <w:rFonts w:hint="eastAsia"/>
          <w:color w:val="auto"/>
          <w:szCs w:val="21"/>
          <w:highlight w:val="none"/>
        </w:rPr>
        <w:t>天内发出解除监理合同的通知，自通知到达监理人时监理合同解除。</w:t>
      </w:r>
    </w:p>
    <w:p>
      <w:pPr>
        <w:tabs>
          <w:tab w:val="left" w:pos="426"/>
        </w:tabs>
        <w:spacing w:line="380" w:lineRule="exact"/>
        <w:ind w:firstLine="420" w:firstLineChars="200"/>
        <w:rPr>
          <w:color w:val="auto"/>
          <w:szCs w:val="21"/>
          <w:highlight w:val="none"/>
        </w:rPr>
      </w:pPr>
      <w:r>
        <w:rPr>
          <w:color w:val="auto"/>
          <w:szCs w:val="21"/>
          <w:highlight w:val="none"/>
        </w:rPr>
        <w:t>2</w:t>
      </w:r>
      <w:r>
        <w:rPr>
          <w:rFonts w:hint="eastAsia"/>
          <w:color w:val="auto"/>
          <w:szCs w:val="21"/>
          <w:highlight w:val="none"/>
        </w:rPr>
        <w:t>8</w:t>
      </w:r>
      <w:r>
        <w:rPr>
          <w:color w:val="auto"/>
          <w:szCs w:val="21"/>
          <w:highlight w:val="none"/>
        </w:rPr>
        <w:t xml:space="preserve">.4 </w:t>
      </w:r>
      <w:r>
        <w:rPr>
          <w:rFonts w:hint="eastAsia"/>
          <w:color w:val="auto"/>
          <w:szCs w:val="21"/>
          <w:highlight w:val="none"/>
        </w:rPr>
        <w:t>监理人在《专用条件》中约定的支付之日起</w:t>
      </w:r>
      <w:r>
        <w:rPr>
          <w:color w:val="auto"/>
          <w:szCs w:val="21"/>
          <w:highlight w:val="none"/>
        </w:rPr>
        <w:t>28</w:t>
      </w:r>
      <w:r>
        <w:rPr>
          <w:rFonts w:hint="eastAsia"/>
          <w:color w:val="auto"/>
          <w:szCs w:val="21"/>
          <w:highlight w:val="none"/>
        </w:rPr>
        <w:t>天后仍未收到委托人按监理合同约定应付的款项，监理人可向委托人发出催付通知。委托人接到通知</w:t>
      </w:r>
      <w:r>
        <w:rPr>
          <w:color w:val="auto"/>
          <w:szCs w:val="21"/>
          <w:highlight w:val="none"/>
        </w:rPr>
        <w:t>14</w:t>
      </w:r>
      <w:r>
        <w:rPr>
          <w:rFonts w:hint="eastAsia"/>
          <w:color w:val="auto"/>
          <w:szCs w:val="21"/>
          <w:highlight w:val="none"/>
        </w:rPr>
        <w:t>天后仍未支付或未提出监理人可以接受的延期支付安排，监理人可向委托人发出暂停工作的通知并可自行暂停全部或部分工作。暂停工作后</w:t>
      </w:r>
      <w:r>
        <w:rPr>
          <w:color w:val="auto"/>
          <w:szCs w:val="21"/>
          <w:highlight w:val="none"/>
        </w:rPr>
        <w:t>14</w:t>
      </w:r>
      <w:r>
        <w:rPr>
          <w:rFonts w:hint="eastAsia"/>
          <w:color w:val="auto"/>
          <w:szCs w:val="21"/>
          <w:highlight w:val="none"/>
        </w:rPr>
        <w:t>天内监理人仍未获得委托人应付酬金或委托人的合理答复，监理人可向委托人发出解除监理合同的通知，自通知到达委托人时监理合同解除。</w:t>
      </w:r>
    </w:p>
    <w:p>
      <w:pPr>
        <w:tabs>
          <w:tab w:val="left" w:pos="426"/>
        </w:tabs>
        <w:spacing w:line="380" w:lineRule="exact"/>
        <w:ind w:firstLine="420" w:firstLineChars="200"/>
        <w:rPr>
          <w:color w:val="auto"/>
          <w:szCs w:val="21"/>
          <w:highlight w:val="none"/>
        </w:rPr>
      </w:pPr>
      <w:r>
        <w:rPr>
          <w:color w:val="auto"/>
          <w:szCs w:val="21"/>
          <w:highlight w:val="none"/>
        </w:rPr>
        <w:t>2</w:t>
      </w:r>
      <w:r>
        <w:rPr>
          <w:rFonts w:hint="eastAsia"/>
          <w:color w:val="auto"/>
          <w:szCs w:val="21"/>
          <w:highlight w:val="none"/>
        </w:rPr>
        <w:t>8</w:t>
      </w:r>
      <w:r>
        <w:rPr>
          <w:color w:val="auto"/>
          <w:szCs w:val="21"/>
          <w:highlight w:val="none"/>
        </w:rPr>
        <w:t xml:space="preserve">.5 </w:t>
      </w:r>
      <w:r>
        <w:rPr>
          <w:rFonts w:hint="eastAsia"/>
          <w:color w:val="auto"/>
          <w:szCs w:val="21"/>
          <w:highlight w:val="none"/>
        </w:rPr>
        <w:t>因不可抗力致使监理合同部分或全部不能履行时，一方应立即书面通知另一方，可暂停或解除监理合同。</w:t>
      </w:r>
    </w:p>
    <w:p>
      <w:pPr>
        <w:tabs>
          <w:tab w:val="left" w:pos="426"/>
        </w:tabs>
        <w:spacing w:line="380" w:lineRule="exact"/>
        <w:ind w:firstLine="420" w:firstLineChars="200"/>
        <w:rPr>
          <w:color w:val="auto"/>
          <w:szCs w:val="21"/>
          <w:highlight w:val="none"/>
        </w:rPr>
      </w:pPr>
      <w:r>
        <w:rPr>
          <w:color w:val="auto"/>
          <w:szCs w:val="21"/>
          <w:highlight w:val="none"/>
        </w:rPr>
        <w:t>2</w:t>
      </w:r>
      <w:r>
        <w:rPr>
          <w:rFonts w:hint="eastAsia"/>
          <w:color w:val="auto"/>
          <w:szCs w:val="21"/>
          <w:highlight w:val="none"/>
        </w:rPr>
        <w:t>8</w:t>
      </w:r>
      <w:r>
        <w:rPr>
          <w:color w:val="auto"/>
          <w:szCs w:val="21"/>
          <w:highlight w:val="none"/>
        </w:rPr>
        <w:t xml:space="preserve">.6 </w:t>
      </w:r>
      <w:r>
        <w:rPr>
          <w:rFonts w:hint="eastAsia"/>
          <w:color w:val="auto"/>
          <w:szCs w:val="21"/>
          <w:highlight w:val="none"/>
        </w:rPr>
        <w:t>监理合同解除后，监理合同约定的有关结算、清理、争议解决方式的条件仍然有效。</w:t>
      </w:r>
    </w:p>
    <w:p>
      <w:pPr>
        <w:pStyle w:val="4"/>
        <w:keepNext w:val="0"/>
        <w:tabs>
          <w:tab w:val="left" w:pos="426"/>
        </w:tabs>
        <w:spacing w:before="360" w:after="240" w:line="380" w:lineRule="exact"/>
        <w:jc w:val="center"/>
        <w:rPr>
          <w:rFonts w:ascii="黑体" w:eastAsia="黑体"/>
          <w:b w:val="0"/>
          <w:color w:val="auto"/>
          <w:highlight w:val="none"/>
        </w:rPr>
      </w:pPr>
      <w:bookmarkStart w:id="172" w:name="_Toc15113"/>
      <w:bookmarkStart w:id="173" w:name="_Toc21269"/>
      <w:bookmarkStart w:id="174" w:name="_Toc25582"/>
      <w:bookmarkStart w:id="175" w:name="_Toc397084582"/>
      <w:bookmarkStart w:id="176" w:name="_Toc28378"/>
      <w:bookmarkStart w:id="177" w:name="_Toc391916909"/>
      <w:r>
        <w:rPr>
          <w:rFonts w:hint="eastAsia" w:ascii="黑体" w:eastAsia="黑体"/>
          <w:b w:val="0"/>
          <w:color w:val="auto"/>
          <w:highlight w:val="none"/>
        </w:rPr>
        <w:t>七、争议解决</w:t>
      </w:r>
      <w:bookmarkEnd w:id="172"/>
      <w:bookmarkEnd w:id="173"/>
      <w:bookmarkEnd w:id="174"/>
      <w:bookmarkEnd w:id="175"/>
      <w:bookmarkEnd w:id="176"/>
      <w:bookmarkEnd w:id="177"/>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第29条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协商</w:t>
      </w:r>
    </w:p>
    <w:p>
      <w:pPr>
        <w:tabs>
          <w:tab w:val="left" w:pos="426"/>
        </w:tabs>
        <w:spacing w:line="380" w:lineRule="exact"/>
        <w:ind w:firstLine="420" w:firstLineChars="200"/>
        <w:rPr>
          <w:color w:val="auto"/>
          <w:szCs w:val="21"/>
          <w:highlight w:val="none"/>
        </w:rPr>
      </w:pPr>
      <w:r>
        <w:rPr>
          <w:rFonts w:hint="eastAsia"/>
          <w:color w:val="auto"/>
          <w:szCs w:val="21"/>
          <w:highlight w:val="none"/>
        </w:rPr>
        <w:t>双方应本着诚信原则协商解决彼此间的争议。</w:t>
      </w:r>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3</w:t>
      </w:r>
      <w:r>
        <w:rPr>
          <w:rFonts w:hint="eastAsia" w:ascii="黑体" w:eastAsia="黑体"/>
          <w:color w:val="auto"/>
          <w:kern w:val="18"/>
          <w:sz w:val="22"/>
          <w:szCs w:val="22"/>
          <w:highlight w:val="none"/>
        </w:rPr>
        <w:t>0条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调解</w:t>
      </w:r>
    </w:p>
    <w:p>
      <w:pPr>
        <w:tabs>
          <w:tab w:val="left" w:pos="426"/>
        </w:tabs>
        <w:spacing w:line="380" w:lineRule="exact"/>
        <w:ind w:firstLine="420" w:firstLineChars="200"/>
        <w:rPr>
          <w:color w:val="auto"/>
          <w:szCs w:val="21"/>
          <w:highlight w:val="none"/>
        </w:rPr>
      </w:pPr>
      <w:r>
        <w:rPr>
          <w:rFonts w:hint="eastAsia"/>
          <w:color w:val="auto"/>
          <w:szCs w:val="21"/>
          <w:highlight w:val="none"/>
        </w:rPr>
        <w:t>如果双方不能在</w:t>
      </w:r>
      <w:r>
        <w:rPr>
          <w:color w:val="auto"/>
          <w:szCs w:val="21"/>
          <w:highlight w:val="none"/>
        </w:rPr>
        <w:t>14</w:t>
      </w:r>
      <w:r>
        <w:rPr>
          <w:rFonts w:hint="eastAsia"/>
          <w:color w:val="auto"/>
          <w:szCs w:val="21"/>
          <w:highlight w:val="none"/>
        </w:rPr>
        <w:t>天内或双方商定的其他时间内解决监理合同争议，可以将其提交给《专用条件》约定的或事后达成协议的调解人进行调解。</w:t>
      </w:r>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3</w:t>
      </w:r>
      <w:r>
        <w:rPr>
          <w:rFonts w:hint="eastAsia" w:ascii="黑体" w:eastAsia="黑体"/>
          <w:color w:val="auto"/>
          <w:kern w:val="18"/>
          <w:sz w:val="22"/>
          <w:szCs w:val="22"/>
          <w:highlight w:val="none"/>
        </w:rPr>
        <w:t>1条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仲裁或诉讼</w:t>
      </w:r>
    </w:p>
    <w:p>
      <w:pPr>
        <w:tabs>
          <w:tab w:val="left" w:pos="426"/>
        </w:tabs>
        <w:spacing w:line="360" w:lineRule="exact"/>
        <w:ind w:firstLine="420" w:firstLineChars="200"/>
        <w:rPr>
          <w:color w:val="auto"/>
          <w:kern w:val="18"/>
          <w:szCs w:val="21"/>
          <w:highlight w:val="none"/>
        </w:rPr>
      </w:pPr>
      <w:r>
        <w:rPr>
          <w:rFonts w:hint="eastAsia"/>
          <w:color w:val="auto"/>
          <w:kern w:val="18"/>
          <w:szCs w:val="21"/>
          <w:highlight w:val="none"/>
        </w:rPr>
        <w:t>因本合同的履行或合同本身发生的争议或纠纷，双方应当协商解决，如未能达成一致，双方可向深圳前海合作区人民法院提起诉讼。</w:t>
      </w:r>
    </w:p>
    <w:p>
      <w:pPr>
        <w:pStyle w:val="4"/>
        <w:keepNext w:val="0"/>
        <w:tabs>
          <w:tab w:val="left" w:pos="426"/>
        </w:tabs>
        <w:spacing w:before="360" w:after="240" w:line="380" w:lineRule="exact"/>
        <w:jc w:val="center"/>
        <w:rPr>
          <w:rFonts w:ascii="黑体" w:eastAsia="黑体"/>
          <w:b w:val="0"/>
          <w:color w:val="auto"/>
          <w:highlight w:val="none"/>
        </w:rPr>
      </w:pPr>
      <w:bookmarkStart w:id="178" w:name="_Toc23885"/>
      <w:bookmarkStart w:id="179" w:name="_Toc397084583"/>
      <w:bookmarkStart w:id="180" w:name="_Toc26843"/>
      <w:bookmarkStart w:id="181" w:name="_Toc11874"/>
      <w:bookmarkStart w:id="182" w:name="_Toc14891"/>
      <w:bookmarkStart w:id="183" w:name="_Toc391916910"/>
      <w:r>
        <w:rPr>
          <w:rFonts w:hint="eastAsia" w:ascii="黑体" w:eastAsia="黑体"/>
          <w:b w:val="0"/>
          <w:color w:val="auto"/>
          <w:highlight w:val="none"/>
        </w:rPr>
        <w:t>八、其他</w:t>
      </w:r>
      <w:bookmarkEnd w:id="178"/>
      <w:bookmarkEnd w:id="179"/>
      <w:bookmarkEnd w:id="180"/>
      <w:bookmarkEnd w:id="181"/>
      <w:bookmarkEnd w:id="182"/>
      <w:bookmarkEnd w:id="183"/>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3</w:t>
      </w:r>
      <w:r>
        <w:rPr>
          <w:rFonts w:hint="eastAsia" w:ascii="黑体" w:eastAsia="黑体"/>
          <w:color w:val="auto"/>
          <w:kern w:val="18"/>
          <w:sz w:val="22"/>
          <w:szCs w:val="22"/>
          <w:highlight w:val="none"/>
        </w:rPr>
        <w:t>2条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守法诚信</w:t>
      </w:r>
    </w:p>
    <w:p>
      <w:pPr>
        <w:tabs>
          <w:tab w:val="left" w:pos="426"/>
        </w:tabs>
        <w:spacing w:line="380" w:lineRule="exact"/>
        <w:ind w:firstLine="420" w:firstLineChars="200"/>
        <w:rPr>
          <w:color w:val="auto"/>
          <w:szCs w:val="21"/>
          <w:highlight w:val="none"/>
        </w:rPr>
      </w:pPr>
      <w:r>
        <w:rPr>
          <w:rFonts w:hint="eastAsia"/>
          <w:color w:val="auto"/>
          <w:szCs w:val="21"/>
          <w:highlight w:val="none"/>
        </w:rPr>
        <w:t>监理人及其工作人员不得从与实施工程有关的第三方处获得任何经济利益。</w:t>
      </w:r>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3</w:t>
      </w:r>
      <w:r>
        <w:rPr>
          <w:rFonts w:hint="eastAsia" w:ascii="黑体" w:eastAsia="黑体"/>
          <w:color w:val="auto"/>
          <w:kern w:val="18"/>
          <w:sz w:val="22"/>
          <w:szCs w:val="22"/>
          <w:highlight w:val="none"/>
        </w:rPr>
        <w:t>3条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保密</w:t>
      </w:r>
    </w:p>
    <w:p>
      <w:pPr>
        <w:tabs>
          <w:tab w:val="left" w:pos="426"/>
        </w:tabs>
        <w:spacing w:line="380" w:lineRule="exact"/>
        <w:ind w:firstLine="420" w:firstLineChars="200"/>
        <w:rPr>
          <w:color w:val="auto"/>
          <w:szCs w:val="21"/>
          <w:highlight w:val="none"/>
        </w:rPr>
      </w:pPr>
      <w:r>
        <w:rPr>
          <w:rFonts w:hint="eastAsia"/>
          <w:color w:val="auto"/>
          <w:szCs w:val="21"/>
          <w:highlight w:val="none"/>
        </w:rPr>
        <w:t>(1)</w:t>
      </w:r>
      <w:r>
        <w:rPr>
          <w:rFonts w:hint="eastAsia"/>
          <w:color w:val="auto"/>
          <w:szCs w:val="21"/>
          <w:highlight w:val="none"/>
        </w:rPr>
        <w:tab/>
      </w:r>
      <w:r>
        <w:rPr>
          <w:rFonts w:hint="eastAsia"/>
          <w:color w:val="auto"/>
          <w:szCs w:val="21"/>
          <w:highlight w:val="none"/>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tabs>
          <w:tab w:val="left" w:pos="426"/>
        </w:tabs>
        <w:spacing w:line="380" w:lineRule="exact"/>
        <w:ind w:firstLine="420" w:firstLineChars="200"/>
        <w:rPr>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监理方应以保密方式处理监理过程中自委托方、委托方工作人员或委托方关联机构获得的相关信息、资料、图纸、数据等，或由委托方在履行本合同过程中明确指明为秘密的任何信息，以及因监理方本项目工作内容所直接或间接取得、处理或接触的任何其他资料。未经委托方书面在先同意，监理方不得向任何第三方透露与本项目有关的内容，或公开本项目的阶段性成果或最终成果内容。即使向履行本合同有关的人员提供，也应注意保密并限于履行合同的必需范围，且这些人员应接受至少与本条款同等严格的保密条款的约束。</w:t>
      </w:r>
    </w:p>
    <w:p>
      <w:pPr>
        <w:tabs>
          <w:tab w:val="left" w:pos="426"/>
        </w:tabs>
        <w:spacing w:line="380" w:lineRule="exact"/>
        <w:ind w:firstLine="420" w:firstLineChars="200"/>
        <w:rPr>
          <w:color w:val="auto"/>
          <w:szCs w:val="21"/>
          <w:highlight w:val="none"/>
        </w:rPr>
      </w:pPr>
      <w:r>
        <w:rPr>
          <w:rFonts w:hint="eastAsia"/>
          <w:color w:val="auto"/>
          <w:szCs w:val="21"/>
          <w:highlight w:val="none"/>
        </w:rPr>
        <w:t>(3)</w:t>
      </w:r>
      <w:r>
        <w:rPr>
          <w:rFonts w:hint="eastAsia"/>
          <w:color w:val="auto"/>
          <w:szCs w:val="21"/>
          <w:highlight w:val="none"/>
        </w:rPr>
        <w:tab/>
      </w:r>
      <w:r>
        <w:rPr>
          <w:rFonts w:hint="eastAsia"/>
          <w:color w:val="auto"/>
          <w:szCs w:val="21"/>
          <w:highlight w:val="none"/>
        </w:rPr>
        <w:t>监理方实施项目的程序应符合国家安全、保密的有关规定和标准。</w:t>
      </w:r>
    </w:p>
    <w:p>
      <w:pPr>
        <w:tabs>
          <w:tab w:val="left" w:pos="426"/>
        </w:tabs>
        <w:spacing w:line="380" w:lineRule="exact"/>
        <w:ind w:firstLine="420" w:firstLineChars="200"/>
        <w:rPr>
          <w:color w:val="auto"/>
          <w:szCs w:val="21"/>
          <w:highlight w:val="none"/>
        </w:rPr>
      </w:pPr>
      <w:r>
        <w:rPr>
          <w:rFonts w:hint="eastAsia"/>
          <w:color w:val="auto"/>
          <w:szCs w:val="21"/>
          <w:highlight w:val="none"/>
        </w:rPr>
        <w:t>(4)</w:t>
      </w:r>
      <w:r>
        <w:rPr>
          <w:rFonts w:hint="eastAsia"/>
          <w:color w:val="auto"/>
          <w:szCs w:val="21"/>
          <w:highlight w:val="none"/>
        </w:rPr>
        <w:tab/>
      </w:r>
      <w:r>
        <w:rPr>
          <w:rFonts w:hint="eastAsia"/>
          <w:color w:val="auto"/>
          <w:szCs w:val="21"/>
          <w:highlight w:val="none"/>
        </w:rPr>
        <w:t>上述保密义务不适用以下情况：</w:t>
      </w:r>
    </w:p>
    <w:p>
      <w:pPr>
        <w:tabs>
          <w:tab w:val="left" w:pos="426"/>
        </w:tabs>
        <w:spacing w:line="380" w:lineRule="exact"/>
        <w:ind w:firstLine="420" w:firstLineChars="200"/>
        <w:rPr>
          <w:color w:val="auto"/>
          <w:szCs w:val="21"/>
          <w:highlight w:val="none"/>
        </w:rPr>
      </w:pPr>
      <w:r>
        <w:rPr>
          <w:rFonts w:hint="eastAsia"/>
          <w:color w:val="auto"/>
          <w:szCs w:val="21"/>
          <w:highlight w:val="none"/>
        </w:rPr>
        <w:t>①</w:t>
      </w:r>
      <w:r>
        <w:rPr>
          <w:rFonts w:hint="eastAsia"/>
          <w:color w:val="auto"/>
          <w:szCs w:val="21"/>
          <w:highlight w:val="none"/>
        </w:rPr>
        <w:tab/>
      </w:r>
      <w:r>
        <w:rPr>
          <w:rFonts w:hint="eastAsia"/>
          <w:color w:val="auto"/>
          <w:szCs w:val="21"/>
          <w:highlight w:val="none"/>
        </w:rPr>
        <w:t>获取的信息已被合法公开；</w:t>
      </w:r>
    </w:p>
    <w:p>
      <w:pPr>
        <w:tabs>
          <w:tab w:val="left" w:pos="426"/>
        </w:tabs>
        <w:spacing w:line="380" w:lineRule="exact"/>
        <w:ind w:firstLine="420" w:firstLineChars="200"/>
        <w:rPr>
          <w:color w:val="auto"/>
          <w:szCs w:val="21"/>
          <w:highlight w:val="none"/>
        </w:rPr>
      </w:pPr>
      <w:r>
        <w:rPr>
          <w:rFonts w:hint="eastAsia"/>
          <w:color w:val="auto"/>
          <w:szCs w:val="21"/>
          <w:highlight w:val="none"/>
        </w:rPr>
        <w:t>②</w:t>
      </w:r>
      <w:r>
        <w:rPr>
          <w:rFonts w:hint="eastAsia"/>
          <w:color w:val="auto"/>
          <w:szCs w:val="21"/>
          <w:highlight w:val="none"/>
        </w:rPr>
        <w:tab/>
      </w:r>
      <w:r>
        <w:rPr>
          <w:rFonts w:hint="eastAsia"/>
          <w:color w:val="auto"/>
          <w:szCs w:val="21"/>
          <w:highlight w:val="none"/>
        </w:rPr>
        <w:t>获得信息拥有方书面许可；</w:t>
      </w:r>
    </w:p>
    <w:p>
      <w:pPr>
        <w:tabs>
          <w:tab w:val="left" w:pos="426"/>
        </w:tabs>
        <w:spacing w:line="380" w:lineRule="exact"/>
        <w:ind w:firstLine="420" w:firstLineChars="200"/>
        <w:rPr>
          <w:color w:val="auto"/>
          <w:szCs w:val="21"/>
          <w:highlight w:val="none"/>
        </w:rPr>
      </w:pPr>
      <w:r>
        <w:rPr>
          <w:rFonts w:hint="eastAsia"/>
          <w:color w:val="auto"/>
          <w:szCs w:val="21"/>
          <w:highlight w:val="none"/>
        </w:rPr>
        <w:t>③</w:t>
      </w:r>
      <w:r>
        <w:rPr>
          <w:rFonts w:hint="eastAsia"/>
          <w:color w:val="auto"/>
          <w:szCs w:val="21"/>
          <w:highlight w:val="none"/>
        </w:rPr>
        <w:tab/>
      </w:r>
      <w:r>
        <w:rPr>
          <w:rFonts w:hint="eastAsia"/>
          <w:color w:val="auto"/>
          <w:szCs w:val="21"/>
          <w:highlight w:val="none"/>
        </w:rPr>
        <w:t>国家法律、法规规定的情形。</w:t>
      </w:r>
    </w:p>
    <w:p>
      <w:pPr>
        <w:tabs>
          <w:tab w:val="left" w:pos="426"/>
        </w:tabs>
        <w:spacing w:line="380" w:lineRule="exact"/>
        <w:ind w:firstLine="420" w:firstLineChars="200"/>
        <w:rPr>
          <w:color w:val="auto"/>
          <w:szCs w:val="21"/>
          <w:highlight w:val="none"/>
        </w:rPr>
      </w:pPr>
      <w:r>
        <w:rPr>
          <w:rFonts w:hint="eastAsia"/>
          <w:color w:val="auto"/>
          <w:szCs w:val="21"/>
          <w:highlight w:val="none"/>
        </w:rPr>
        <w:t>(5)</w:t>
      </w:r>
      <w:r>
        <w:rPr>
          <w:rFonts w:hint="eastAsia"/>
          <w:color w:val="auto"/>
          <w:szCs w:val="21"/>
          <w:highlight w:val="none"/>
        </w:rPr>
        <w:tab/>
      </w:r>
      <w:r>
        <w:rPr>
          <w:rFonts w:hint="eastAsia"/>
          <w:color w:val="auto"/>
          <w:szCs w:val="21"/>
          <w:highlight w:val="none"/>
        </w:rPr>
        <w:t>如违反上述保密条款，监理方应向委托方支付本合同服务费总金额20%的违约金，如果违约金无法弥补委托方损失，委托方保留要求监理方赔偿全部损失的权利。</w:t>
      </w:r>
    </w:p>
    <w:p>
      <w:pPr>
        <w:tabs>
          <w:tab w:val="left" w:pos="426"/>
        </w:tabs>
        <w:spacing w:line="380" w:lineRule="exact"/>
        <w:ind w:firstLine="420" w:firstLineChars="200"/>
        <w:rPr>
          <w:color w:val="auto"/>
          <w:szCs w:val="21"/>
          <w:highlight w:val="none"/>
        </w:rPr>
      </w:pPr>
      <w:r>
        <w:rPr>
          <w:rFonts w:hint="eastAsia"/>
          <w:color w:val="auto"/>
          <w:szCs w:val="21"/>
          <w:highlight w:val="none"/>
        </w:rPr>
        <w:t>(6)</w:t>
      </w:r>
      <w:r>
        <w:rPr>
          <w:rFonts w:hint="eastAsia"/>
          <w:color w:val="auto"/>
          <w:szCs w:val="21"/>
          <w:highlight w:val="none"/>
        </w:rPr>
        <w:tab/>
      </w:r>
      <w:r>
        <w:rPr>
          <w:rFonts w:hint="eastAsia"/>
          <w:color w:val="auto"/>
          <w:szCs w:val="21"/>
          <w:highlight w:val="none"/>
        </w:rPr>
        <w:t>无论本合同或本合同其他条款是否有效，或者本合同终止、解除、履行完毕后，本保密条款始终约束双方。国家秘密的保密期限由国家有关部门确定，工作秘密的保密期限由委托方确定。</w:t>
      </w:r>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3</w:t>
      </w:r>
      <w:r>
        <w:rPr>
          <w:rFonts w:hint="eastAsia" w:ascii="黑体" w:eastAsia="黑体"/>
          <w:color w:val="auto"/>
          <w:kern w:val="18"/>
          <w:sz w:val="22"/>
          <w:szCs w:val="22"/>
          <w:highlight w:val="none"/>
        </w:rPr>
        <w:t>4条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通知</w:t>
      </w:r>
    </w:p>
    <w:p>
      <w:pPr>
        <w:tabs>
          <w:tab w:val="left" w:pos="426"/>
        </w:tabs>
        <w:spacing w:line="380" w:lineRule="exact"/>
        <w:ind w:firstLine="420" w:firstLineChars="200"/>
        <w:rPr>
          <w:color w:val="auto"/>
          <w:szCs w:val="21"/>
          <w:highlight w:val="none"/>
        </w:rPr>
      </w:pPr>
      <w:r>
        <w:rPr>
          <w:rFonts w:hint="eastAsia"/>
          <w:color w:val="auto"/>
          <w:szCs w:val="21"/>
          <w:highlight w:val="none"/>
        </w:rPr>
        <w:t>监理合同涉及的通知均应当采用书面形式，并在送达对方时生效，收件人应书面签收。</w:t>
      </w:r>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第35条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著作权</w:t>
      </w:r>
    </w:p>
    <w:p>
      <w:pPr>
        <w:tabs>
          <w:tab w:val="left" w:pos="426"/>
        </w:tabs>
        <w:spacing w:line="380" w:lineRule="exact"/>
        <w:ind w:firstLine="420" w:firstLineChars="200"/>
        <w:rPr>
          <w:color w:val="auto"/>
          <w:szCs w:val="21"/>
          <w:highlight w:val="none"/>
        </w:rPr>
      </w:pPr>
      <w:r>
        <w:rPr>
          <w:rFonts w:hint="eastAsia"/>
          <w:color w:val="auto"/>
          <w:szCs w:val="21"/>
          <w:highlight w:val="none"/>
        </w:rPr>
        <w:t>本工程编制的所有阶段性成果和最终成果文件（包括为保修阶段服务范围所编制的文件）的所有权、知识产权以及与之相关的所有权利归委托方所有，监理方仅有权为本工程使用和复制此类文件，未经委托方书面在先同意，监理方不得将本项目的阶段性成果和/或最终成果文件及任何数据、资料、软件向任何第三方转让、授权任何第三方使用或用于本合同项目外的其他项目。如发生以上情况，监理方应向委托方支付本合同总价款20%的违约金，同时，委托方保留要求监理方赔偿全部损失的权利。</w:t>
      </w:r>
    </w:p>
    <w:p>
      <w:pPr>
        <w:tabs>
          <w:tab w:val="left" w:pos="426"/>
        </w:tabs>
        <w:spacing w:line="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br w:type="page"/>
      </w:r>
    </w:p>
    <w:p>
      <w:pPr>
        <w:pStyle w:val="6"/>
        <w:tabs>
          <w:tab w:val="left" w:pos="426"/>
        </w:tabs>
        <w:spacing w:before="240" w:after="240" w:line="500" w:lineRule="exact"/>
        <w:jc w:val="center"/>
        <w:rPr>
          <w:rFonts w:hint="eastAsia" w:ascii="黑体" w:eastAsia="黑体"/>
          <w:b w:val="0"/>
          <w:color w:val="auto"/>
          <w:sz w:val="36"/>
          <w:szCs w:val="36"/>
          <w:highlight w:val="none"/>
          <w:lang w:eastAsia="zh-CN"/>
        </w:rPr>
      </w:pPr>
      <w:bookmarkStart w:id="184" w:name="_Toc29065"/>
      <w:bookmarkStart w:id="185" w:name="_Toc9149"/>
      <w:bookmarkStart w:id="186" w:name="_Toc391916911"/>
      <w:bookmarkStart w:id="187" w:name="_Toc24962"/>
      <w:bookmarkStart w:id="188" w:name="_Toc17692"/>
      <w:bookmarkStart w:id="189" w:name="_Toc397084584"/>
      <w:r>
        <w:rPr>
          <w:rFonts w:hint="eastAsia" w:ascii="黑体"/>
          <w:color w:val="auto"/>
          <w:sz w:val="36"/>
          <w:szCs w:val="36"/>
          <w:highlight w:val="none"/>
        </w:rPr>
        <w:t>第三部分</w:t>
      </w:r>
      <w:r>
        <w:rPr>
          <w:rFonts w:ascii="黑体"/>
          <w:color w:val="auto"/>
          <w:sz w:val="36"/>
          <w:szCs w:val="36"/>
          <w:highlight w:val="none"/>
        </w:rPr>
        <w:t xml:space="preserve">  </w:t>
      </w:r>
      <w:r>
        <w:rPr>
          <w:rFonts w:hint="eastAsia" w:ascii="黑体"/>
          <w:color w:val="auto"/>
          <w:sz w:val="36"/>
          <w:szCs w:val="36"/>
          <w:highlight w:val="none"/>
        </w:rPr>
        <w:t>专</w:t>
      </w:r>
      <w:r>
        <w:rPr>
          <w:rFonts w:ascii="黑体"/>
          <w:color w:val="auto"/>
          <w:sz w:val="36"/>
          <w:szCs w:val="36"/>
          <w:highlight w:val="none"/>
        </w:rPr>
        <w:t xml:space="preserve"> </w:t>
      </w:r>
      <w:r>
        <w:rPr>
          <w:rFonts w:hint="eastAsia" w:ascii="黑体"/>
          <w:color w:val="auto"/>
          <w:sz w:val="36"/>
          <w:szCs w:val="36"/>
          <w:highlight w:val="none"/>
        </w:rPr>
        <w:t>用</w:t>
      </w:r>
      <w:r>
        <w:rPr>
          <w:rFonts w:ascii="黑体"/>
          <w:color w:val="auto"/>
          <w:sz w:val="36"/>
          <w:szCs w:val="36"/>
          <w:highlight w:val="none"/>
        </w:rPr>
        <w:t xml:space="preserve"> </w:t>
      </w:r>
      <w:r>
        <w:rPr>
          <w:rFonts w:hint="eastAsia" w:ascii="黑体"/>
          <w:color w:val="auto"/>
          <w:sz w:val="36"/>
          <w:szCs w:val="36"/>
          <w:highlight w:val="none"/>
        </w:rPr>
        <w:t>条</w:t>
      </w:r>
      <w:r>
        <w:rPr>
          <w:rFonts w:ascii="黑体"/>
          <w:color w:val="auto"/>
          <w:sz w:val="36"/>
          <w:szCs w:val="36"/>
          <w:highlight w:val="none"/>
        </w:rPr>
        <w:t xml:space="preserve"> </w:t>
      </w:r>
      <w:r>
        <w:rPr>
          <w:rFonts w:hint="eastAsia" w:ascii="黑体"/>
          <w:color w:val="auto"/>
          <w:sz w:val="36"/>
          <w:szCs w:val="36"/>
          <w:highlight w:val="none"/>
        </w:rPr>
        <w:t>件</w:t>
      </w:r>
      <w:bookmarkEnd w:id="184"/>
      <w:bookmarkEnd w:id="185"/>
      <w:bookmarkEnd w:id="186"/>
      <w:bookmarkEnd w:id="187"/>
      <w:bookmarkEnd w:id="188"/>
      <w:bookmarkEnd w:id="189"/>
    </w:p>
    <w:p>
      <w:pPr>
        <w:pStyle w:val="4"/>
        <w:keepNext w:val="0"/>
        <w:tabs>
          <w:tab w:val="left" w:pos="426"/>
        </w:tabs>
        <w:spacing w:before="360" w:after="240" w:line="380" w:lineRule="exact"/>
        <w:jc w:val="center"/>
        <w:rPr>
          <w:rFonts w:ascii="黑体" w:eastAsia="黑体"/>
          <w:b w:val="0"/>
          <w:color w:val="auto"/>
          <w:highlight w:val="none"/>
        </w:rPr>
      </w:pPr>
      <w:bookmarkStart w:id="190" w:name="_Toc3004"/>
      <w:bookmarkStart w:id="191" w:name="_Toc12451"/>
      <w:bookmarkStart w:id="192" w:name="_Toc391916912"/>
      <w:bookmarkStart w:id="193" w:name="_Toc397084585"/>
      <w:bookmarkStart w:id="194" w:name="_Toc18021"/>
      <w:bookmarkStart w:id="195" w:name="_Toc5680"/>
      <w:r>
        <w:rPr>
          <w:rFonts w:hint="eastAsia" w:ascii="黑体" w:eastAsia="黑体"/>
          <w:b w:val="0"/>
          <w:color w:val="auto"/>
          <w:highlight w:val="none"/>
        </w:rPr>
        <w:t>一、定义与解释</w:t>
      </w:r>
      <w:bookmarkEnd w:id="190"/>
      <w:bookmarkEnd w:id="191"/>
      <w:bookmarkEnd w:id="192"/>
      <w:bookmarkEnd w:id="193"/>
      <w:bookmarkEnd w:id="194"/>
      <w:bookmarkEnd w:id="195"/>
    </w:p>
    <w:p>
      <w:pPr>
        <w:tabs>
          <w:tab w:val="left" w:pos="426"/>
        </w:tabs>
        <w:spacing w:before="20" w:after="20" w:line="36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第1条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解释</w:t>
      </w:r>
    </w:p>
    <w:p>
      <w:pPr>
        <w:tabs>
          <w:tab w:val="left" w:pos="426"/>
        </w:tabs>
        <w:spacing w:line="360" w:lineRule="exact"/>
        <w:ind w:firstLine="420" w:firstLineChars="200"/>
        <w:rPr>
          <w:color w:val="auto"/>
          <w:szCs w:val="21"/>
          <w:highlight w:val="none"/>
        </w:rPr>
      </w:pPr>
      <w:r>
        <w:rPr>
          <w:color w:val="auto"/>
          <w:szCs w:val="21"/>
          <w:highlight w:val="none"/>
        </w:rPr>
        <w:t xml:space="preserve">2.1 </w:t>
      </w:r>
      <w:r>
        <w:rPr>
          <w:rFonts w:hint="eastAsia"/>
          <w:color w:val="auto"/>
          <w:szCs w:val="21"/>
          <w:highlight w:val="none"/>
        </w:rPr>
        <w:t>监理合同文件除使用中文外，还可用</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rPr>
        <w:t>。</w:t>
      </w:r>
    </w:p>
    <w:p>
      <w:pPr>
        <w:tabs>
          <w:tab w:val="left" w:pos="426"/>
        </w:tabs>
        <w:spacing w:line="36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第2条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监理服务范围与工作内容</w:t>
      </w:r>
    </w:p>
    <w:p>
      <w:pPr>
        <w:tabs>
          <w:tab w:val="left" w:pos="426"/>
        </w:tabs>
        <w:spacing w:before="20" w:after="20" w:line="360" w:lineRule="exact"/>
        <w:ind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监理人应按投标时的承诺与合同的约定，派出监理工作需要的监理机构及监理人员，向委托人报送委派的总监理工程师及其监理机构主要成员名单、监理规划，完成监理合同专用条件中约定的监理工程范围内的监理业务。监理人应依据本合同所授权限，承担施工承包合同和监理规范中规定或涉及的全部现场监理工作。各阶段监理还包括但不限于以下内容：</w:t>
      </w:r>
    </w:p>
    <w:p>
      <w:pPr>
        <w:tabs>
          <w:tab w:val="left" w:pos="426"/>
        </w:tabs>
        <w:spacing w:before="20" w:after="20" w:line="360" w:lineRule="exact"/>
        <w:ind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2.1施工阶段</w:t>
      </w:r>
    </w:p>
    <w:p>
      <w:pPr>
        <w:tabs>
          <w:tab w:val="left" w:pos="426"/>
        </w:tabs>
        <w:spacing w:before="20" w:after="20" w:line="360" w:lineRule="exact"/>
        <w:ind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施工过程中的质量、进度、费用控制，安全生产监督管理、合同、信息等方面的协调管理。</w:t>
      </w:r>
    </w:p>
    <w:p>
      <w:pPr>
        <w:tabs>
          <w:tab w:val="left" w:pos="426"/>
        </w:tabs>
        <w:spacing w:before="20" w:after="20" w:line="360" w:lineRule="exact"/>
        <w:ind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⑴ 审核承建商编写的开工报告，核查建设工程办理计划立项、规划许可、招标投标、工程质量监督、施工安全监督、施工许可等情况，审查承建商及其从业人员资质，督促工程建设依法进行；</w:t>
      </w:r>
    </w:p>
    <w:p>
      <w:pPr>
        <w:tabs>
          <w:tab w:val="left" w:pos="426"/>
        </w:tabs>
        <w:spacing w:before="20" w:after="20" w:line="360" w:lineRule="exact"/>
        <w:ind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 xml:space="preserve">⑵组织施工图纸会审； </w:t>
      </w:r>
    </w:p>
    <w:p>
      <w:pPr>
        <w:tabs>
          <w:tab w:val="left" w:pos="426"/>
        </w:tabs>
        <w:spacing w:before="20" w:after="20" w:line="360" w:lineRule="exact"/>
        <w:ind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⑶审核承建商提出的施工组织设计、施工技术方案、施工进度计划、施工质量保证体系和施工安全保证体系；</w:t>
      </w:r>
    </w:p>
    <w:p>
      <w:pPr>
        <w:tabs>
          <w:tab w:val="left" w:pos="426"/>
        </w:tabs>
        <w:spacing w:before="20" w:after="20" w:line="360" w:lineRule="exact"/>
        <w:ind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 xml:space="preserve">⑷督促、检查承建商严格执行工程承包合同和国家强制性技术标准； </w:t>
      </w:r>
    </w:p>
    <w:p>
      <w:pPr>
        <w:tabs>
          <w:tab w:val="left" w:pos="426"/>
        </w:tabs>
        <w:spacing w:before="20" w:after="20" w:line="360" w:lineRule="exact"/>
        <w:ind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⑸查验承建商或者建设单位提供的材料、配件和设备的数量及质量；</w:t>
      </w:r>
    </w:p>
    <w:p>
      <w:pPr>
        <w:tabs>
          <w:tab w:val="left" w:pos="426"/>
        </w:tabs>
        <w:spacing w:before="20" w:after="20" w:line="360" w:lineRule="exact"/>
        <w:ind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 xml:space="preserve">⑹控制工程进度、质量和投资，督促承建商落实施工安全保证措施； </w:t>
      </w:r>
    </w:p>
    <w:p>
      <w:pPr>
        <w:tabs>
          <w:tab w:val="left" w:pos="426"/>
        </w:tabs>
        <w:spacing w:before="20" w:after="20" w:line="360" w:lineRule="exact"/>
        <w:ind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⑺组织分部、分项工程和隐蔽工程的检查、验收；</w:t>
      </w:r>
    </w:p>
    <w:p>
      <w:pPr>
        <w:tabs>
          <w:tab w:val="left" w:pos="426"/>
        </w:tabs>
        <w:spacing w:before="20" w:after="20" w:line="360" w:lineRule="exact"/>
        <w:ind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⑻负责施工现场签证，处理工程变更的其他事宜；</w:t>
      </w:r>
    </w:p>
    <w:p>
      <w:pPr>
        <w:tabs>
          <w:tab w:val="left" w:pos="426"/>
        </w:tabs>
        <w:spacing w:before="20" w:after="20" w:line="360" w:lineRule="exact"/>
        <w:ind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⑼签发工程付款凭证；</w:t>
      </w:r>
    </w:p>
    <w:p>
      <w:pPr>
        <w:tabs>
          <w:tab w:val="left" w:pos="426"/>
        </w:tabs>
        <w:spacing w:before="20" w:after="20" w:line="360" w:lineRule="exact"/>
        <w:ind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⑽督促承建商整理合同文件和技术档案资料；</w:t>
      </w:r>
    </w:p>
    <w:p>
      <w:pPr>
        <w:tabs>
          <w:tab w:val="left" w:pos="426"/>
        </w:tabs>
        <w:spacing w:before="20" w:after="20" w:line="360" w:lineRule="exact"/>
        <w:ind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⑾组织工程竣工初步验收；</w:t>
      </w:r>
    </w:p>
    <w:p>
      <w:pPr>
        <w:tabs>
          <w:tab w:val="left" w:pos="426"/>
        </w:tabs>
        <w:spacing w:before="20" w:after="20" w:line="360" w:lineRule="exact"/>
        <w:ind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⑿督促建设工程办理竣工验收及其备案手续。</w:t>
      </w:r>
    </w:p>
    <w:p>
      <w:pPr>
        <w:tabs>
          <w:tab w:val="left" w:pos="426"/>
        </w:tabs>
        <w:spacing w:before="20" w:after="20" w:line="360" w:lineRule="exact"/>
        <w:ind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⒀协助</w:t>
      </w:r>
      <w:r>
        <w:rPr>
          <w:rFonts w:hint="eastAsia" w:ascii="楷体_GB2312" w:eastAsia="楷体_GB2312"/>
          <w:color w:val="auto"/>
          <w:kern w:val="18"/>
          <w:szCs w:val="21"/>
          <w:highlight w:val="none"/>
          <w:u w:val="single"/>
          <w:lang w:val="en-US" w:eastAsia="zh-CN"/>
        </w:rPr>
        <w:t>委托人</w:t>
      </w:r>
      <w:r>
        <w:rPr>
          <w:rFonts w:hint="eastAsia" w:ascii="楷体_GB2312" w:eastAsia="楷体_GB2312"/>
          <w:color w:val="auto"/>
          <w:kern w:val="18"/>
          <w:szCs w:val="21"/>
          <w:highlight w:val="none"/>
          <w:u w:val="single"/>
        </w:rPr>
        <w:t>办理审计手续。</w:t>
      </w:r>
    </w:p>
    <w:p>
      <w:pPr>
        <w:tabs>
          <w:tab w:val="left" w:pos="426"/>
        </w:tabs>
        <w:spacing w:before="20" w:after="20" w:line="360" w:lineRule="exact"/>
        <w:ind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2.2、保修阶段</w:t>
      </w:r>
    </w:p>
    <w:p>
      <w:pPr>
        <w:tabs>
          <w:tab w:val="left" w:pos="426"/>
        </w:tabs>
        <w:spacing w:before="20" w:after="20" w:line="360" w:lineRule="exact"/>
        <w:ind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⑴ 督促承建商回访；</w:t>
      </w:r>
    </w:p>
    <w:p>
      <w:pPr>
        <w:tabs>
          <w:tab w:val="left" w:pos="426"/>
        </w:tabs>
        <w:spacing w:before="20" w:after="20" w:line="360" w:lineRule="exact"/>
        <w:ind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⑵ 参与鉴定质量责任；</w:t>
      </w:r>
    </w:p>
    <w:p>
      <w:pPr>
        <w:tabs>
          <w:tab w:val="left" w:pos="426"/>
        </w:tabs>
        <w:spacing w:line="360" w:lineRule="exact"/>
        <w:ind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⑶ 监督工程保修直至达到规定的质量标准。</w:t>
      </w:r>
    </w:p>
    <w:p>
      <w:pPr>
        <w:tabs>
          <w:tab w:val="left" w:pos="426"/>
        </w:tabs>
        <w:spacing w:line="360" w:lineRule="exact"/>
        <w:ind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⑷ 协助承建商办理终验手续。</w:t>
      </w:r>
    </w:p>
    <w:p>
      <w:pPr>
        <w:pStyle w:val="4"/>
        <w:keepNext w:val="0"/>
        <w:tabs>
          <w:tab w:val="left" w:pos="426"/>
        </w:tabs>
        <w:spacing w:before="360" w:after="240" w:line="380" w:lineRule="exact"/>
        <w:jc w:val="center"/>
        <w:rPr>
          <w:rFonts w:ascii="黑体" w:eastAsia="黑体"/>
          <w:b w:val="0"/>
          <w:color w:val="auto"/>
          <w:highlight w:val="none"/>
        </w:rPr>
      </w:pPr>
      <w:bookmarkStart w:id="196" w:name="_Toc4146"/>
      <w:bookmarkStart w:id="197" w:name="_Toc397084586"/>
      <w:bookmarkStart w:id="198" w:name="_Toc22037"/>
      <w:bookmarkStart w:id="199" w:name="_Toc17266"/>
      <w:bookmarkStart w:id="200" w:name="_Toc4272"/>
      <w:bookmarkStart w:id="201" w:name="_Toc391916913"/>
      <w:r>
        <w:rPr>
          <w:rFonts w:hint="eastAsia" w:ascii="黑体" w:eastAsia="黑体"/>
          <w:b w:val="0"/>
          <w:color w:val="auto"/>
          <w:highlight w:val="none"/>
        </w:rPr>
        <w:t>二、监理人义务</w:t>
      </w:r>
      <w:bookmarkEnd w:id="196"/>
      <w:bookmarkEnd w:id="197"/>
      <w:bookmarkEnd w:id="198"/>
      <w:bookmarkEnd w:id="199"/>
      <w:bookmarkEnd w:id="200"/>
      <w:bookmarkEnd w:id="201"/>
    </w:p>
    <w:p>
      <w:pPr>
        <w:tabs>
          <w:tab w:val="left" w:pos="426"/>
        </w:tabs>
        <w:spacing w:before="20" w:after="20" w:line="36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第3条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监理与相关服务依据</w:t>
      </w:r>
    </w:p>
    <w:p>
      <w:pPr>
        <w:widowControl w:val="0"/>
        <w:numPr>
          <w:ilvl w:val="0"/>
          <w:numId w:val="2"/>
        </w:numPr>
        <w:shd w:val="clear" w:color="auto" w:fill="auto"/>
        <w:adjustRightInd/>
        <w:snapToGrid/>
        <w:spacing w:line="360" w:lineRule="exact"/>
        <w:ind w:left="420" w:firstLine="420"/>
        <w:jc w:val="both"/>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《建设工程监理规范》（</w:t>
      </w:r>
      <w:r>
        <w:rPr>
          <w:rFonts w:ascii="楷体_GB2312" w:eastAsia="楷体_GB2312"/>
          <w:color w:val="auto"/>
          <w:kern w:val="18"/>
          <w:szCs w:val="21"/>
          <w:highlight w:val="none"/>
          <w:u w:val="single"/>
        </w:rPr>
        <w:t>GB/T50319-2013</w:t>
      </w:r>
      <w:r>
        <w:rPr>
          <w:rFonts w:hint="eastAsia" w:ascii="楷体_GB2312" w:eastAsia="楷体_GB2312"/>
          <w:color w:val="auto"/>
          <w:kern w:val="18"/>
          <w:szCs w:val="21"/>
          <w:highlight w:val="none"/>
          <w:u w:val="single"/>
        </w:rPr>
        <w:t xml:space="preserve"> ）</w:t>
      </w:r>
    </w:p>
    <w:p>
      <w:pPr>
        <w:tabs>
          <w:tab w:val="left" w:pos="426"/>
        </w:tabs>
        <w:spacing w:line="360" w:lineRule="exact"/>
        <w:ind w:left="420" w:leftChars="200"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w:t>
      </w:r>
      <w:r>
        <w:rPr>
          <w:rFonts w:hint="eastAsia" w:ascii="楷体_GB2312" w:eastAsia="楷体_GB2312"/>
          <w:color w:val="auto"/>
          <w:kern w:val="18"/>
          <w:szCs w:val="21"/>
          <w:highlight w:val="none"/>
          <w:u w:val="single"/>
          <w:lang w:val="en-US" w:eastAsia="zh-CN"/>
        </w:rPr>
        <w:t>2</w:t>
      </w:r>
      <w:r>
        <w:rPr>
          <w:rFonts w:hint="eastAsia" w:ascii="楷体_GB2312" w:eastAsia="楷体_GB2312"/>
          <w:color w:val="auto"/>
          <w:kern w:val="18"/>
          <w:szCs w:val="21"/>
          <w:highlight w:val="none"/>
          <w:u w:val="single"/>
        </w:rPr>
        <w:t>)</w:t>
      </w:r>
      <w:r>
        <w:rPr>
          <w:rFonts w:hint="eastAsia" w:ascii="楷体_GB2312" w:eastAsia="楷体_GB2312"/>
          <w:color w:val="auto"/>
          <w:kern w:val="18"/>
          <w:szCs w:val="21"/>
          <w:highlight w:val="none"/>
          <w:u w:val="single"/>
        </w:rPr>
        <w:tab/>
      </w:r>
      <w:r>
        <w:rPr>
          <w:rFonts w:hint="eastAsia" w:ascii="楷体_GB2312" w:eastAsia="楷体_GB2312"/>
          <w:color w:val="auto"/>
          <w:kern w:val="18"/>
          <w:szCs w:val="21"/>
          <w:highlight w:val="none"/>
          <w:u w:val="single"/>
          <w:lang w:eastAsia="zh-CN"/>
        </w:rPr>
        <w:t>委托人</w:t>
      </w:r>
      <w:r>
        <w:rPr>
          <w:rFonts w:hint="eastAsia" w:ascii="楷体_GB2312" w:eastAsia="楷体_GB2312"/>
          <w:color w:val="auto"/>
          <w:kern w:val="18"/>
          <w:szCs w:val="21"/>
          <w:highlight w:val="none"/>
          <w:u w:val="single"/>
        </w:rPr>
        <w:t>与</w:t>
      </w:r>
      <w:r>
        <w:rPr>
          <w:rFonts w:hint="eastAsia" w:ascii="楷体_GB2312" w:eastAsia="楷体_GB2312"/>
          <w:color w:val="auto"/>
          <w:kern w:val="18"/>
          <w:szCs w:val="21"/>
          <w:highlight w:val="none"/>
          <w:u w:val="single"/>
          <w:lang w:eastAsia="zh-CN"/>
        </w:rPr>
        <w:t>承包人</w:t>
      </w:r>
      <w:r>
        <w:rPr>
          <w:rFonts w:hint="eastAsia" w:ascii="楷体_GB2312" w:eastAsia="楷体_GB2312"/>
          <w:color w:val="auto"/>
          <w:kern w:val="18"/>
          <w:szCs w:val="21"/>
          <w:highlight w:val="none"/>
          <w:u w:val="single"/>
        </w:rPr>
        <w:t>签订的承包合同；</w:t>
      </w:r>
    </w:p>
    <w:p>
      <w:pPr>
        <w:tabs>
          <w:tab w:val="left" w:pos="426"/>
        </w:tabs>
        <w:spacing w:line="360" w:lineRule="exact"/>
        <w:ind w:left="420" w:leftChars="200"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w:t>
      </w:r>
      <w:r>
        <w:rPr>
          <w:rFonts w:hint="eastAsia" w:ascii="楷体_GB2312" w:eastAsia="楷体_GB2312"/>
          <w:color w:val="auto"/>
          <w:kern w:val="18"/>
          <w:szCs w:val="21"/>
          <w:highlight w:val="none"/>
          <w:u w:val="single"/>
          <w:lang w:val="en-US" w:eastAsia="zh-CN"/>
        </w:rPr>
        <w:t>3</w:t>
      </w:r>
      <w:r>
        <w:rPr>
          <w:rFonts w:hint="eastAsia" w:ascii="楷体_GB2312" w:eastAsia="楷体_GB2312"/>
          <w:color w:val="auto"/>
          <w:kern w:val="18"/>
          <w:szCs w:val="21"/>
          <w:highlight w:val="none"/>
          <w:u w:val="single"/>
        </w:rPr>
        <w:t>)</w:t>
      </w:r>
      <w:r>
        <w:rPr>
          <w:rFonts w:hint="eastAsia" w:ascii="楷体_GB2312" w:eastAsia="楷体_GB2312"/>
          <w:color w:val="auto"/>
          <w:kern w:val="18"/>
          <w:szCs w:val="21"/>
          <w:highlight w:val="none"/>
          <w:u w:val="single"/>
        </w:rPr>
        <w:tab/>
      </w:r>
      <w:r>
        <w:rPr>
          <w:rFonts w:hint="eastAsia" w:ascii="楷体_GB2312" w:eastAsia="楷体_GB2312"/>
          <w:color w:val="auto"/>
          <w:kern w:val="18"/>
          <w:szCs w:val="21"/>
          <w:highlight w:val="none"/>
          <w:u w:val="single"/>
          <w:lang w:eastAsia="zh-CN"/>
        </w:rPr>
        <w:t>委托人</w:t>
      </w:r>
      <w:r>
        <w:rPr>
          <w:rFonts w:hint="eastAsia" w:ascii="楷体_GB2312" w:eastAsia="楷体_GB2312"/>
          <w:color w:val="auto"/>
          <w:kern w:val="18"/>
          <w:szCs w:val="21"/>
          <w:highlight w:val="none"/>
          <w:u w:val="single"/>
        </w:rPr>
        <w:t>与</w:t>
      </w:r>
      <w:r>
        <w:rPr>
          <w:rFonts w:hint="eastAsia" w:ascii="楷体_GB2312" w:eastAsia="楷体_GB2312"/>
          <w:color w:val="auto"/>
          <w:kern w:val="18"/>
          <w:szCs w:val="21"/>
          <w:highlight w:val="none"/>
          <w:u w:val="single"/>
          <w:lang w:eastAsia="zh-CN"/>
        </w:rPr>
        <w:t>监理人</w:t>
      </w:r>
      <w:r>
        <w:rPr>
          <w:rFonts w:hint="eastAsia" w:ascii="楷体_GB2312" w:eastAsia="楷体_GB2312"/>
          <w:color w:val="auto"/>
          <w:kern w:val="18"/>
          <w:szCs w:val="21"/>
          <w:highlight w:val="none"/>
          <w:u w:val="single"/>
        </w:rPr>
        <w:t>签订的委托监理合同；</w:t>
      </w:r>
    </w:p>
    <w:p>
      <w:pPr>
        <w:tabs>
          <w:tab w:val="left" w:pos="426"/>
        </w:tabs>
        <w:spacing w:line="360" w:lineRule="exact"/>
        <w:ind w:left="420" w:leftChars="200"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w:t>
      </w:r>
      <w:r>
        <w:rPr>
          <w:rFonts w:hint="eastAsia" w:ascii="楷体_GB2312" w:eastAsia="楷体_GB2312"/>
          <w:color w:val="auto"/>
          <w:kern w:val="18"/>
          <w:szCs w:val="21"/>
          <w:highlight w:val="none"/>
          <w:u w:val="single"/>
          <w:lang w:val="en-US" w:eastAsia="zh-CN"/>
        </w:rPr>
        <w:t>4</w:t>
      </w:r>
      <w:r>
        <w:rPr>
          <w:rFonts w:hint="eastAsia" w:ascii="楷体_GB2312" w:eastAsia="楷体_GB2312"/>
          <w:color w:val="auto"/>
          <w:kern w:val="18"/>
          <w:szCs w:val="21"/>
          <w:highlight w:val="none"/>
          <w:u w:val="single"/>
        </w:rPr>
        <w:t>)</w:t>
      </w:r>
      <w:r>
        <w:rPr>
          <w:rFonts w:hint="eastAsia" w:ascii="楷体_GB2312" w:eastAsia="楷体_GB2312"/>
          <w:color w:val="auto"/>
          <w:kern w:val="18"/>
          <w:szCs w:val="21"/>
          <w:highlight w:val="none"/>
          <w:u w:val="single"/>
        </w:rPr>
        <w:tab/>
      </w:r>
      <w:r>
        <w:rPr>
          <w:rFonts w:hint="eastAsia" w:ascii="楷体_GB2312" w:eastAsia="楷体_GB2312"/>
          <w:color w:val="auto"/>
          <w:kern w:val="18"/>
          <w:szCs w:val="21"/>
          <w:highlight w:val="none"/>
          <w:u w:val="single"/>
        </w:rPr>
        <w:t>本项目招标书、招标过程文件、各</w:t>
      </w:r>
      <w:r>
        <w:rPr>
          <w:rFonts w:hint="eastAsia" w:ascii="楷体_GB2312" w:eastAsia="楷体_GB2312"/>
          <w:color w:val="auto"/>
          <w:kern w:val="18"/>
          <w:szCs w:val="21"/>
          <w:highlight w:val="none"/>
          <w:u w:val="single"/>
          <w:lang w:eastAsia="zh-CN"/>
        </w:rPr>
        <w:t>监理人</w:t>
      </w:r>
      <w:r>
        <w:rPr>
          <w:rFonts w:hint="eastAsia" w:ascii="楷体_GB2312" w:eastAsia="楷体_GB2312"/>
          <w:color w:val="auto"/>
          <w:kern w:val="18"/>
          <w:szCs w:val="21"/>
          <w:highlight w:val="none"/>
          <w:u w:val="single"/>
        </w:rPr>
        <w:t>的投标书；</w:t>
      </w:r>
    </w:p>
    <w:p>
      <w:pPr>
        <w:tabs>
          <w:tab w:val="left" w:pos="426"/>
        </w:tabs>
        <w:spacing w:line="360" w:lineRule="exact"/>
        <w:ind w:left="420" w:leftChars="200"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w:t>
      </w:r>
      <w:r>
        <w:rPr>
          <w:rFonts w:hint="eastAsia" w:ascii="楷体_GB2312" w:eastAsia="楷体_GB2312"/>
          <w:color w:val="auto"/>
          <w:kern w:val="18"/>
          <w:szCs w:val="21"/>
          <w:highlight w:val="none"/>
          <w:u w:val="single"/>
          <w:lang w:val="en-US" w:eastAsia="zh-CN"/>
        </w:rPr>
        <w:t>5</w:t>
      </w:r>
      <w:r>
        <w:rPr>
          <w:rFonts w:hint="eastAsia" w:ascii="楷体_GB2312" w:eastAsia="楷体_GB2312"/>
          <w:color w:val="auto"/>
          <w:kern w:val="18"/>
          <w:szCs w:val="21"/>
          <w:highlight w:val="none"/>
          <w:u w:val="single"/>
        </w:rPr>
        <w:t>)</w:t>
      </w:r>
      <w:r>
        <w:rPr>
          <w:rFonts w:hint="eastAsia" w:ascii="楷体_GB2312" w:eastAsia="楷体_GB2312"/>
          <w:color w:val="auto"/>
          <w:kern w:val="18"/>
          <w:szCs w:val="21"/>
          <w:highlight w:val="none"/>
          <w:u w:val="single"/>
        </w:rPr>
        <w:tab/>
      </w:r>
      <w:r>
        <w:rPr>
          <w:rFonts w:hint="eastAsia" w:ascii="楷体_GB2312" w:eastAsia="楷体_GB2312"/>
          <w:color w:val="auto"/>
          <w:kern w:val="18"/>
          <w:szCs w:val="21"/>
          <w:highlight w:val="none"/>
          <w:u w:val="single"/>
        </w:rPr>
        <w:t>国家有关合同、招投标、政府采购的法律法规；</w:t>
      </w:r>
    </w:p>
    <w:p>
      <w:pPr>
        <w:tabs>
          <w:tab w:val="left" w:pos="426"/>
        </w:tabs>
        <w:spacing w:line="360" w:lineRule="exact"/>
        <w:ind w:left="420" w:leftChars="200"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w:t>
      </w:r>
      <w:r>
        <w:rPr>
          <w:rFonts w:hint="eastAsia" w:ascii="楷体_GB2312" w:eastAsia="楷体_GB2312"/>
          <w:color w:val="auto"/>
          <w:kern w:val="18"/>
          <w:szCs w:val="21"/>
          <w:highlight w:val="none"/>
          <w:u w:val="single"/>
          <w:lang w:val="en-US" w:eastAsia="zh-CN"/>
        </w:rPr>
        <w:t>6</w:t>
      </w:r>
      <w:r>
        <w:rPr>
          <w:rFonts w:hint="eastAsia" w:ascii="楷体_GB2312" w:eastAsia="楷体_GB2312"/>
          <w:color w:val="auto"/>
          <w:kern w:val="18"/>
          <w:szCs w:val="21"/>
          <w:highlight w:val="none"/>
          <w:u w:val="single"/>
        </w:rPr>
        <w:t>)各级政府的信息工程、信息工程监理的管理办法和规定；</w:t>
      </w:r>
    </w:p>
    <w:p>
      <w:pPr>
        <w:tabs>
          <w:tab w:val="left" w:pos="426"/>
        </w:tabs>
        <w:spacing w:line="360" w:lineRule="exact"/>
        <w:ind w:left="420" w:leftChars="200"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w:t>
      </w:r>
      <w:r>
        <w:rPr>
          <w:rFonts w:hint="eastAsia" w:ascii="楷体_GB2312" w:eastAsia="楷体_GB2312"/>
          <w:color w:val="auto"/>
          <w:kern w:val="18"/>
          <w:szCs w:val="21"/>
          <w:highlight w:val="none"/>
          <w:u w:val="single"/>
          <w:lang w:val="en-US" w:eastAsia="zh-CN"/>
        </w:rPr>
        <w:t>7</w:t>
      </w:r>
      <w:r>
        <w:rPr>
          <w:rFonts w:hint="eastAsia" w:ascii="楷体_GB2312" w:eastAsia="楷体_GB2312"/>
          <w:color w:val="auto"/>
          <w:kern w:val="18"/>
          <w:szCs w:val="21"/>
          <w:highlight w:val="none"/>
          <w:u w:val="single"/>
        </w:rPr>
        <w:t>)建设工程和信息工程相关的国家、行业标准和规范；</w:t>
      </w:r>
    </w:p>
    <w:p>
      <w:pPr>
        <w:tabs>
          <w:tab w:val="left" w:pos="426"/>
        </w:tabs>
        <w:spacing w:line="360" w:lineRule="exact"/>
        <w:ind w:left="420" w:leftChars="200"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w:t>
      </w:r>
      <w:r>
        <w:rPr>
          <w:rFonts w:hint="eastAsia" w:ascii="楷体_GB2312" w:eastAsia="楷体_GB2312"/>
          <w:color w:val="auto"/>
          <w:kern w:val="18"/>
          <w:szCs w:val="21"/>
          <w:highlight w:val="none"/>
          <w:u w:val="single"/>
          <w:lang w:val="en-US" w:eastAsia="zh-CN"/>
        </w:rPr>
        <w:t>8</w:t>
      </w:r>
      <w:r>
        <w:rPr>
          <w:rFonts w:hint="eastAsia" w:ascii="楷体_GB2312" w:eastAsia="楷体_GB2312"/>
          <w:color w:val="auto"/>
          <w:kern w:val="18"/>
          <w:szCs w:val="21"/>
          <w:highlight w:val="none"/>
          <w:u w:val="single"/>
        </w:rPr>
        <w:t>)建设工程和信息工程技术监督、工程验收规范；</w:t>
      </w:r>
    </w:p>
    <w:p>
      <w:pPr>
        <w:tabs>
          <w:tab w:val="left" w:pos="426"/>
        </w:tabs>
        <w:spacing w:line="360" w:lineRule="exact"/>
        <w:ind w:left="420" w:leftChars="200"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w:t>
      </w:r>
      <w:r>
        <w:rPr>
          <w:rFonts w:hint="eastAsia" w:ascii="楷体_GB2312" w:eastAsia="楷体_GB2312"/>
          <w:color w:val="auto"/>
          <w:kern w:val="18"/>
          <w:szCs w:val="21"/>
          <w:highlight w:val="none"/>
          <w:u w:val="single"/>
          <w:lang w:val="en-US" w:eastAsia="zh-CN"/>
        </w:rPr>
        <w:t>9</w:t>
      </w:r>
      <w:r>
        <w:rPr>
          <w:rFonts w:hint="eastAsia" w:ascii="楷体_GB2312" w:eastAsia="楷体_GB2312"/>
          <w:color w:val="auto"/>
          <w:kern w:val="18"/>
          <w:szCs w:val="21"/>
          <w:highlight w:val="none"/>
          <w:u w:val="single"/>
        </w:rPr>
        <w:t>)与项目相关的技术资料；</w:t>
      </w:r>
    </w:p>
    <w:p>
      <w:pPr>
        <w:tabs>
          <w:tab w:val="left" w:pos="426"/>
        </w:tabs>
        <w:spacing w:line="360" w:lineRule="exact"/>
        <w:ind w:left="420" w:leftChars="200"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(1</w:t>
      </w:r>
      <w:r>
        <w:rPr>
          <w:rFonts w:hint="eastAsia" w:ascii="楷体_GB2312" w:eastAsia="楷体_GB2312"/>
          <w:color w:val="auto"/>
          <w:kern w:val="18"/>
          <w:szCs w:val="21"/>
          <w:highlight w:val="none"/>
          <w:u w:val="single"/>
          <w:lang w:val="en-US" w:eastAsia="zh-CN"/>
        </w:rPr>
        <w:t>0</w:t>
      </w:r>
      <w:r>
        <w:rPr>
          <w:rFonts w:hint="eastAsia" w:ascii="楷体_GB2312" w:eastAsia="楷体_GB2312"/>
          <w:color w:val="auto"/>
          <w:kern w:val="18"/>
          <w:szCs w:val="21"/>
          <w:highlight w:val="none"/>
          <w:u w:val="single"/>
        </w:rPr>
        <w:t>)其他与本项目适用的法律、法规和标准；</w:t>
      </w:r>
    </w:p>
    <w:p>
      <w:pPr>
        <w:tabs>
          <w:tab w:val="left" w:pos="426"/>
        </w:tabs>
        <w:spacing w:line="360" w:lineRule="exact"/>
        <w:ind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 xml:space="preserve">    (1</w:t>
      </w:r>
      <w:r>
        <w:rPr>
          <w:rFonts w:hint="eastAsia" w:ascii="楷体_GB2312" w:eastAsia="楷体_GB2312"/>
          <w:color w:val="auto"/>
          <w:kern w:val="18"/>
          <w:szCs w:val="21"/>
          <w:highlight w:val="none"/>
          <w:u w:val="single"/>
          <w:lang w:val="en-US" w:eastAsia="zh-CN"/>
        </w:rPr>
        <w:t>1</w:t>
      </w:r>
      <w:r>
        <w:rPr>
          <w:rFonts w:hint="eastAsia" w:ascii="楷体_GB2312" w:eastAsia="楷体_GB2312"/>
          <w:color w:val="auto"/>
          <w:kern w:val="18"/>
          <w:szCs w:val="21"/>
          <w:highlight w:val="none"/>
          <w:u w:val="single"/>
        </w:rPr>
        <w:t>)国家、地方及行业相关的技术标准。</w:t>
      </w:r>
    </w:p>
    <w:p>
      <w:pPr>
        <w:tabs>
          <w:tab w:val="left" w:pos="426"/>
        </w:tabs>
        <w:spacing w:before="20" w:after="20" w:line="36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第4条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履行职责</w:t>
      </w:r>
    </w:p>
    <w:p>
      <w:pPr>
        <w:tabs>
          <w:tab w:val="left" w:pos="426"/>
        </w:tabs>
        <w:spacing w:line="360" w:lineRule="exact"/>
        <w:ind w:firstLine="420" w:firstLineChars="200"/>
        <w:rPr>
          <w:color w:val="auto"/>
          <w:szCs w:val="21"/>
          <w:highlight w:val="none"/>
          <w:u w:val="single"/>
        </w:rPr>
      </w:pPr>
      <w:r>
        <w:rPr>
          <w:rFonts w:hint="eastAsia"/>
          <w:color w:val="auto"/>
          <w:szCs w:val="21"/>
          <w:highlight w:val="none"/>
        </w:rPr>
        <w:t>监理人指令承包人调换其人员的限制条件：</w:t>
      </w:r>
      <w:r>
        <w:rPr>
          <w:rFonts w:hint="eastAsia"/>
          <w:color w:val="auto"/>
          <w:szCs w:val="21"/>
          <w:highlight w:val="none"/>
          <w:u w:val="single"/>
        </w:rPr>
        <w:t>未经委托人同意，不得随意更换总监理工程师和现场监理工程师。</w:t>
      </w:r>
    </w:p>
    <w:p>
      <w:pPr>
        <w:tabs>
          <w:tab w:val="left" w:pos="426"/>
        </w:tabs>
        <w:spacing w:line="360" w:lineRule="exact"/>
        <w:ind w:firstLine="420" w:firstLineChars="200"/>
        <w:rPr>
          <w:color w:val="auto"/>
          <w:szCs w:val="21"/>
          <w:highlight w:val="none"/>
          <w:u w:val="single"/>
        </w:rPr>
      </w:pPr>
      <w:r>
        <w:rPr>
          <w:rFonts w:hint="eastAsia"/>
          <w:color w:val="auto"/>
          <w:szCs w:val="21"/>
          <w:highlight w:val="none"/>
          <w:u w:val="single"/>
        </w:rPr>
        <w:t>当监理工程师发生以下所列行为之一的，经监理人或委托人要求，可以更换监理工程师：</w:t>
      </w:r>
    </w:p>
    <w:p>
      <w:pPr>
        <w:tabs>
          <w:tab w:val="left" w:pos="426"/>
        </w:tabs>
        <w:spacing w:line="360" w:lineRule="exact"/>
        <w:ind w:firstLine="420" w:firstLineChars="200"/>
        <w:rPr>
          <w:color w:val="auto"/>
          <w:szCs w:val="21"/>
          <w:highlight w:val="none"/>
          <w:u w:val="single"/>
        </w:rPr>
      </w:pPr>
      <w:r>
        <w:rPr>
          <w:rFonts w:hint="eastAsia"/>
          <w:color w:val="auto"/>
          <w:szCs w:val="21"/>
          <w:highlight w:val="none"/>
          <w:u w:val="single"/>
        </w:rPr>
        <w:t>1）在项目管理中不到岗或未认真履行岗位职责；</w:t>
      </w:r>
    </w:p>
    <w:p>
      <w:pPr>
        <w:tabs>
          <w:tab w:val="left" w:pos="426"/>
        </w:tabs>
        <w:spacing w:line="360" w:lineRule="exact"/>
        <w:ind w:firstLine="420" w:firstLineChars="200"/>
        <w:rPr>
          <w:color w:val="auto"/>
          <w:szCs w:val="21"/>
          <w:highlight w:val="none"/>
          <w:u w:val="single"/>
        </w:rPr>
      </w:pPr>
      <w:r>
        <w:rPr>
          <w:rFonts w:hint="eastAsia"/>
          <w:color w:val="auto"/>
          <w:szCs w:val="21"/>
          <w:highlight w:val="none"/>
          <w:u w:val="single"/>
        </w:rPr>
        <w:t>2）管理的项目发生重大质量、安全责任事故；</w:t>
      </w:r>
    </w:p>
    <w:p>
      <w:pPr>
        <w:tabs>
          <w:tab w:val="left" w:pos="426"/>
        </w:tabs>
        <w:spacing w:line="360" w:lineRule="exact"/>
        <w:ind w:firstLine="420" w:firstLineChars="200"/>
        <w:rPr>
          <w:color w:val="auto"/>
          <w:szCs w:val="21"/>
          <w:highlight w:val="none"/>
          <w:u w:val="single"/>
        </w:rPr>
      </w:pPr>
      <w:r>
        <w:rPr>
          <w:rFonts w:hint="eastAsia"/>
          <w:color w:val="auto"/>
          <w:szCs w:val="21"/>
          <w:highlight w:val="none"/>
          <w:u w:val="single"/>
        </w:rPr>
        <w:t>3）严重违法违规行为；</w:t>
      </w:r>
    </w:p>
    <w:p>
      <w:pPr>
        <w:tabs>
          <w:tab w:val="left" w:pos="426"/>
        </w:tabs>
        <w:spacing w:line="360" w:lineRule="exact"/>
        <w:ind w:firstLine="420" w:firstLineChars="200"/>
        <w:rPr>
          <w:color w:val="auto"/>
          <w:szCs w:val="21"/>
          <w:highlight w:val="none"/>
          <w:u w:val="single"/>
        </w:rPr>
      </w:pPr>
      <w:r>
        <w:rPr>
          <w:rFonts w:hint="eastAsia"/>
          <w:color w:val="auto"/>
          <w:szCs w:val="21"/>
          <w:highlight w:val="none"/>
          <w:u w:val="single"/>
        </w:rPr>
        <w:t>4）因身体原因（应有市级及以上医院证明）不能胜任项目管理工作的；</w:t>
      </w:r>
    </w:p>
    <w:p>
      <w:pPr>
        <w:tabs>
          <w:tab w:val="left" w:pos="426"/>
        </w:tabs>
        <w:spacing w:line="360" w:lineRule="exact"/>
        <w:ind w:firstLine="420" w:firstLineChars="200"/>
        <w:rPr>
          <w:rFonts w:ascii="仿宋_GB2312" w:eastAsia="仿宋_GB2312"/>
          <w:color w:val="auto"/>
          <w:szCs w:val="21"/>
          <w:highlight w:val="none"/>
          <w:u w:val="single"/>
        </w:rPr>
      </w:pPr>
      <w:r>
        <w:rPr>
          <w:rFonts w:hint="eastAsia"/>
          <w:color w:val="auto"/>
          <w:szCs w:val="21"/>
          <w:highlight w:val="none"/>
          <w:u w:val="single"/>
        </w:rPr>
        <w:t>5）其它不可抗拒的原因。</w:t>
      </w:r>
    </w:p>
    <w:p>
      <w:pPr>
        <w:tabs>
          <w:tab w:val="left" w:pos="426"/>
        </w:tabs>
        <w:spacing w:before="20" w:after="20" w:line="36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第5条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报告</w:t>
      </w:r>
    </w:p>
    <w:p>
      <w:pPr>
        <w:tabs>
          <w:tab w:val="left" w:pos="426"/>
        </w:tabs>
        <w:ind w:firstLine="420" w:firstLineChars="200"/>
        <w:rPr>
          <w:rFonts w:ascii="楷体_GB2312" w:eastAsia="楷体_GB2312"/>
          <w:color w:val="auto"/>
          <w:kern w:val="18"/>
          <w:szCs w:val="21"/>
          <w:highlight w:val="none"/>
          <w:u w:val="single"/>
        </w:rPr>
      </w:pPr>
      <w:r>
        <w:rPr>
          <w:rFonts w:hint="eastAsia"/>
          <w:color w:val="auto"/>
          <w:szCs w:val="21"/>
          <w:highlight w:val="none"/>
        </w:rPr>
        <w:t>监理人应提交报告的种类（包括监理规划、监理月报及约定的专项报告）、时间和份数：</w:t>
      </w:r>
      <w:r>
        <w:rPr>
          <w:rFonts w:hint="eastAsia" w:ascii="楷体_GB2312" w:eastAsia="楷体_GB2312"/>
          <w:color w:val="auto"/>
          <w:kern w:val="18"/>
          <w:szCs w:val="21"/>
          <w:highlight w:val="none"/>
          <w:u w:val="single"/>
        </w:rPr>
        <w:t>1、监理人应加紧对上报资料的审核，一般情况下按以下时限执行（以签收之日起计）</w:t>
      </w:r>
      <w:r>
        <w:rPr>
          <w:rFonts w:hint="eastAsia" w:ascii="楷体_GB2312" w:eastAsia="楷体_GB2312"/>
          <w:color w:val="auto"/>
          <w:kern w:val="18"/>
          <w:szCs w:val="21"/>
          <w:highlight w:val="none"/>
          <w:u w:val="single"/>
          <w:lang w:eastAsia="zh-CN"/>
        </w:rPr>
        <w:t>，</w:t>
      </w:r>
      <w:r>
        <w:rPr>
          <w:rFonts w:hint="eastAsia" w:ascii="楷体_GB2312" w:eastAsia="楷体_GB2312"/>
          <w:color w:val="auto"/>
          <w:kern w:val="18"/>
          <w:szCs w:val="21"/>
          <w:highlight w:val="none"/>
          <w:u w:val="single"/>
          <w:lang w:val="en-US" w:eastAsia="zh-CN"/>
        </w:rPr>
        <w:t>报告三份纸质正本，电子版三份，分别送委托人、承包人、监理人，副本数量不限</w:t>
      </w:r>
      <w:r>
        <w:rPr>
          <w:rFonts w:hint="eastAsia" w:ascii="楷体_GB2312" w:eastAsia="楷体_GB2312"/>
          <w:color w:val="auto"/>
          <w:kern w:val="18"/>
          <w:szCs w:val="21"/>
          <w:highlight w:val="none"/>
          <w:u w:val="single"/>
        </w:rPr>
        <w:t>：</w:t>
      </w:r>
    </w:p>
    <w:p>
      <w:pPr>
        <w:tabs>
          <w:tab w:val="left" w:pos="426"/>
        </w:tabs>
        <w:ind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 xml:space="preserve">  </w:t>
      </w:r>
      <w:r>
        <w:rPr>
          <w:rFonts w:ascii="楷体_GB2312" w:eastAsia="楷体_GB2312"/>
          <w:color w:val="auto"/>
          <w:kern w:val="18"/>
          <w:szCs w:val="21"/>
          <w:highlight w:val="none"/>
          <w:u w:val="single"/>
        </w:rPr>
        <w:fldChar w:fldCharType="begin"/>
      </w:r>
      <w:r>
        <w:rPr>
          <w:rFonts w:ascii="楷体_GB2312" w:eastAsia="楷体_GB2312"/>
          <w:color w:val="auto"/>
          <w:kern w:val="18"/>
          <w:szCs w:val="21"/>
          <w:highlight w:val="none"/>
          <w:u w:val="single"/>
        </w:rPr>
        <w:instrText xml:space="preserve"> </w:instrText>
      </w:r>
      <w:r>
        <w:rPr>
          <w:rFonts w:hint="eastAsia" w:ascii="楷体_GB2312" w:eastAsia="楷体_GB2312"/>
          <w:color w:val="auto"/>
          <w:kern w:val="18"/>
          <w:szCs w:val="21"/>
          <w:highlight w:val="none"/>
          <w:u w:val="single"/>
        </w:rPr>
        <w:instrText xml:space="preserve">= 1 \* GB2</w:instrText>
      </w:r>
      <w:r>
        <w:rPr>
          <w:rFonts w:ascii="楷体_GB2312" w:eastAsia="楷体_GB2312"/>
          <w:color w:val="auto"/>
          <w:kern w:val="18"/>
          <w:szCs w:val="21"/>
          <w:highlight w:val="none"/>
          <w:u w:val="single"/>
        </w:rPr>
        <w:instrText xml:space="preserve"> </w:instrText>
      </w:r>
      <w:r>
        <w:rPr>
          <w:rFonts w:ascii="楷体_GB2312" w:eastAsia="楷体_GB2312"/>
          <w:color w:val="auto"/>
          <w:kern w:val="18"/>
          <w:szCs w:val="21"/>
          <w:highlight w:val="none"/>
          <w:u w:val="single"/>
        </w:rPr>
        <w:fldChar w:fldCharType="separate"/>
      </w:r>
      <w:r>
        <w:rPr>
          <w:rFonts w:hint="eastAsia" w:ascii="楷体_GB2312" w:eastAsia="楷体_GB2312"/>
          <w:color w:val="auto"/>
          <w:kern w:val="18"/>
          <w:szCs w:val="21"/>
          <w:highlight w:val="none"/>
          <w:u w:val="single"/>
        </w:rPr>
        <w:t>⑴</w:t>
      </w:r>
      <w:r>
        <w:rPr>
          <w:rFonts w:ascii="楷体_GB2312" w:eastAsia="楷体_GB2312"/>
          <w:color w:val="auto"/>
          <w:kern w:val="18"/>
          <w:szCs w:val="21"/>
          <w:highlight w:val="none"/>
          <w:u w:val="single"/>
        </w:rPr>
        <w:fldChar w:fldCharType="end"/>
      </w:r>
      <w:r>
        <w:rPr>
          <w:rFonts w:hint="eastAsia" w:ascii="楷体_GB2312" w:eastAsia="楷体_GB2312"/>
          <w:color w:val="auto"/>
          <w:kern w:val="18"/>
          <w:szCs w:val="21"/>
          <w:highlight w:val="none"/>
          <w:u w:val="single"/>
        </w:rPr>
        <w:t xml:space="preserve"> 专项报告、工程联系单（不含预算审核）、预付款：1天；</w:t>
      </w:r>
    </w:p>
    <w:p>
      <w:pPr>
        <w:tabs>
          <w:tab w:val="left" w:pos="426"/>
        </w:tabs>
        <w:ind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 xml:space="preserve">  </w:t>
      </w:r>
      <w:r>
        <w:rPr>
          <w:rFonts w:ascii="楷体_GB2312" w:eastAsia="楷体_GB2312"/>
          <w:color w:val="auto"/>
          <w:kern w:val="18"/>
          <w:szCs w:val="21"/>
          <w:highlight w:val="none"/>
          <w:u w:val="single"/>
        </w:rPr>
        <w:fldChar w:fldCharType="begin"/>
      </w:r>
      <w:r>
        <w:rPr>
          <w:rFonts w:ascii="楷体_GB2312" w:eastAsia="楷体_GB2312"/>
          <w:color w:val="auto"/>
          <w:kern w:val="18"/>
          <w:szCs w:val="21"/>
          <w:highlight w:val="none"/>
          <w:u w:val="single"/>
        </w:rPr>
        <w:instrText xml:space="preserve"> </w:instrText>
      </w:r>
      <w:r>
        <w:rPr>
          <w:rFonts w:hint="eastAsia" w:ascii="楷体_GB2312" w:eastAsia="楷体_GB2312"/>
          <w:color w:val="auto"/>
          <w:kern w:val="18"/>
          <w:szCs w:val="21"/>
          <w:highlight w:val="none"/>
          <w:u w:val="single"/>
        </w:rPr>
        <w:instrText xml:space="preserve">= 2 \* GB2</w:instrText>
      </w:r>
      <w:r>
        <w:rPr>
          <w:rFonts w:ascii="楷体_GB2312" w:eastAsia="楷体_GB2312"/>
          <w:color w:val="auto"/>
          <w:kern w:val="18"/>
          <w:szCs w:val="21"/>
          <w:highlight w:val="none"/>
          <w:u w:val="single"/>
        </w:rPr>
        <w:instrText xml:space="preserve"> </w:instrText>
      </w:r>
      <w:r>
        <w:rPr>
          <w:rFonts w:ascii="楷体_GB2312" w:eastAsia="楷体_GB2312"/>
          <w:color w:val="auto"/>
          <w:kern w:val="18"/>
          <w:szCs w:val="21"/>
          <w:highlight w:val="none"/>
          <w:u w:val="single"/>
        </w:rPr>
        <w:fldChar w:fldCharType="separate"/>
      </w:r>
      <w:r>
        <w:rPr>
          <w:rFonts w:hint="eastAsia" w:ascii="楷体_GB2312" w:eastAsia="楷体_GB2312"/>
          <w:color w:val="auto"/>
          <w:kern w:val="18"/>
          <w:szCs w:val="21"/>
          <w:highlight w:val="none"/>
          <w:u w:val="single"/>
        </w:rPr>
        <w:t>⑵</w:t>
      </w:r>
      <w:r>
        <w:rPr>
          <w:rFonts w:ascii="楷体_GB2312" w:eastAsia="楷体_GB2312"/>
          <w:color w:val="auto"/>
          <w:kern w:val="18"/>
          <w:szCs w:val="21"/>
          <w:highlight w:val="none"/>
          <w:u w:val="single"/>
        </w:rPr>
        <w:fldChar w:fldCharType="end"/>
      </w:r>
      <w:r>
        <w:rPr>
          <w:rFonts w:hint="eastAsia" w:ascii="楷体_GB2312" w:eastAsia="楷体_GB2312"/>
          <w:color w:val="auto"/>
          <w:kern w:val="18"/>
          <w:szCs w:val="21"/>
          <w:highlight w:val="none"/>
          <w:u w:val="single"/>
        </w:rPr>
        <w:t xml:space="preserve"> 工程联系单（含预算审核）、进度计划安排、工程变更单：2天；</w:t>
      </w:r>
    </w:p>
    <w:p>
      <w:pPr>
        <w:tabs>
          <w:tab w:val="left" w:pos="426"/>
        </w:tabs>
        <w:ind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 xml:space="preserve">  </w:t>
      </w:r>
      <w:r>
        <w:rPr>
          <w:rFonts w:ascii="楷体_GB2312" w:eastAsia="楷体_GB2312"/>
          <w:color w:val="auto"/>
          <w:kern w:val="18"/>
          <w:szCs w:val="21"/>
          <w:highlight w:val="none"/>
          <w:u w:val="single"/>
        </w:rPr>
        <w:fldChar w:fldCharType="begin"/>
      </w:r>
      <w:r>
        <w:rPr>
          <w:rFonts w:ascii="楷体_GB2312" w:eastAsia="楷体_GB2312"/>
          <w:color w:val="auto"/>
          <w:kern w:val="18"/>
          <w:szCs w:val="21"/>
          <w:highlight w:val="none"/>
          <w:u w:val="single"/>
        </w:rPr>
        <w:instrText xml:space="preserve"> </w:instrText>
      </w:r>
      <w:r>
        <w:rPr>
          <w:rFonts w:hint="eastAsia" w:ascii="楷体_GB2312" w:eastAsia="楷体_GB2312"/>
          <w:color w:val="auto"/>
          <w:kern w:val="18"/>
          <w:szCs w:val="21"/>
          <w:highlight w:val="none"/>
          <w:u w:val="single"/>
        </w:rPr>
        <w:instrText xml:space="preserve">= 3 \* GB2</w:instrText>
      </w:r>
      <w:r>
        <w:rPr>
          <w:rFonts w:ascii="楷体_GB2312" w:eastAsia="楷体_GB2312"/>
          <w:color w:val="auto"/>
          <w:kern w:val="18"/>
          <w:szCs w:val="21"/>
          <w:highlight w:val="none"/>
          <w:u w:val="single"/>
        </w:rPr>
        <w:instrText xml:space="preserve"> </w:instrText>
      </w:r>
      <w:r>
        <w:rPr>
          <w:rFonts w:ascii="楷体_GB2312" w:eastAsia="楷体_GB2312"/>
          <w:color w:val="auto"/>
          <w:kern w:val="18"/>
          <w:szCs w:val="21"/>
          <w:highlight w:val="none"/>
          <w:u w:val="single"/>
        </w:rPr>
        <w:fldChar w:fldCharType="separate"/>
      </w:r>
      <w:r>
        <w:rPr>
          <w:rFonts w:hint="eastAsia" w:ascii="楷体_GB2312" w:eastAsia="楷体_GB2312"/>
          <w:color w:val="auto"/>
          <w:kern w:val="18"/>
          <w:szCs w:val="21"/>
          <w:highlight w:val="none"/>
          <w:u w:val="single"/>
        </w:rPr>
        <w:t>⑶</w:t>
      </w:r>
      <w:r>
        <w:rPr>
          <w:rFonts w:ascii="楷体_GB2312" w:eastAsia="楷体_GB2312"/>
          <w:color w:val="auto"/>
          <w:kern w:val="18"/>
          <w:szCs w:val="21"/>
          <w:highlight w:val="none"/>
          <w:u w:val="single"/>
        </w:rPr>
        <w:fldChar w:fldCharType="end"/>
      </w:r>
      <w:r>
        <w:rPr>
          <w:rFonts w:hint="eastAsia" w:ascii="楷体_GB2312" w:eastAsia="楷体_GB2312"/>
          <w:color w:val="auto"/>
          <w:kern w:val="18"/>
          <w:szCs w:val="21"/>
          <w:highlight w:val="none"/>
          <w:u w:val="single"/>
        </w:rPr>
        <w:t xml:space="preserve"> 施工组织设计、专项施工方案、进度款、设计变更签证单：7天；</w:t>
      </w:r>
    </w:p>
    <w:p>
      <w:pPr>
        <w:tabs>
          <w:tab w:val="left" w:pos="426"/>
        </w:tabs>
        <w:ind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 xml:space="preserve">  </w:t>
      </w:r>
      <w:r>
        <w:rPr>
          <w:rFonts w:ascii="楷体_GB2312" w:eastAsia="楷体_GB2312"/>
          <w:color w:val="auto"/>
          <w:kern w:val="18"/>
          <w:szCs w:val="21"/>
          <w:highlight w:val="none"/>
          <w:u w:val="single"/>
        </w:rPr>
        <w:fldChar w:fldCharType="begin"/>
      </w:r>
      <w:r>
        <w:rPr>
          <w:rFonts w:ascii="楷体_GB2312" w:eastAsia="楷体_GB2312"/>
          <w:color w:val="auto"/>
          <w:kern w:val="18"/>
          <w:szCs w:val="21"/>
          <w:highlight w:val="none"/>
          <w:u w:val="single"/>
        </w:rPr>
        <w:instrText xml:space="preserve"> </w:instrText>
      </w:r>
      <w:r>
        <w:rPr>
          <w:rFonts w:hint="eastAsia" w:ascii="楷体_GB2312" w:eastAsia="楷体_GB2312"/>
          <w:color w:val="auto"/>
          <w:kern w:val="18"/>
          <w:szCs w:val="21"/>
          <w:highlight w:val="none"/>
          <w:u w:val="single"/>
        </w:rPr>
        <w:instrText xml:space="preserve">= 4 \* GB2</w:instrText>
      </w:r>
      <w:r>
        <w:rPr>
          <w:rFonts w:ascii="楷体_GB2312" w:eastAsia="楷体_GB2312"/>
          <w:color w:val="auto"/>
          <w:kern w:val="18"/>
          <w:szCs w:val="21"/>
          <w:highlight w:val="none"/>
          <w:u w:val="single"/>
        </w:rPr>
        <w:instrText xml:space="preserve"> </w:instrText>
      </w:r>
      <w:r>
        <w:rPr>
          <w:rFonts w:ascii="楷体_GB2312" w:eastAsia="楷体_GB2312"/>
          <w:color w:val="auto"/>
          <w:kern w:val="18"/>
          <w:szCs w:val="21"/>
          <w:highlight w:val="none"/>
          <w:u w:val="single"/>
        </w:rPr>
        <w:fldChar w:fldCharType="separate"/>
      </w:r>
      <w:r>
        <w:rPr>
          <w:rFonts w:hint="eastAsia" w:ascii="楷体_GB2312" w:eastAsia="楷体_GB2312"/>
          <w:color w:val="auto"/>
          <w:kern w:val="18"/>
          <w:szCs w:val="21"/>
          <w:highlight w:val="none"/>
          <w:u w:val="single"/>
        </w:rPr>
        <w:t>⑷</w:t>
      </w:r>
      <w:r>
        <w:rPr>
          <w:rFonts w:ascii="楷体_GB2312" w:eastAsia="楷体_GB2312"/>
          <w:color w:val="auto"/>
          <w:kern w:val="18"/>
          <w:szCs w:val="21"/>
          <w:highlight w:val="none"/>
          <w:u w:val="single"/>
        </w:rPr>
        <w:fldChar w:fldCharType="end"/>
      </w:r>
      <w:r>
        <w:rPr>
          <w:rFonts w:hint="eastAsia" w:ascii="楷体_GB2312" w:eastAsia="楷体_GB2312"/>
          <w:color w:val="auto"/>
          <w:kern w:val="18"/>
          <w:szCs w:val="21"/>
          <w:highlight w:val="none"/>
          <w:u w:val="single"/>
        </w:rPr>
        <w:t xml:space="preserve"> 工程量清单错漏项：7天；其他未列明资料参照执行，特殊情况由监理人与委托人另行商议。</w:t>
      </w:r>
    </w:p>
    <w:p>
      <w:pPr>
        <w:tabs>
          <w:tab w:val="left" w:pos="426"/>
        </w:tabs>
        <w:spacing w:line="360" w:lineRule="exact"/>
        <w:ind w:firstLine="420" w:firstLineChars="200"/>
        <w:rPr>
          <w:rFonts w:ascii="仿宋_GB2312" w:eastAsia="仿宋_GB2312"/>
          <w:color w:val="auto"/>
          <w:szCs w:val="21"/>
          <w:highlight w:val="none"/>
          <w:u w:val="single"/>
        </w:rPr>
      </w:pPr>
      <w:r>
        <w:rPr>
          <w:rFonts w:hint="eastAsia" w:ascii="楷体_GB2312" w:eastAsia="楷体_GB2312"/>
          <w:color w:val="auto"/>
          <w:kern w:val="18"/>
          <w:szCs w:val="21"/>
          <w:highlight w:val="none"/>
          <w:u w:val="single"/>
        </w:rPr>
        <w:t>2、监理人在确保传统档案管理质量的基础上，应加强电子信息化管理。监理日志、管理记录及收发文等资料应同时采用电子档案以加快信息流通速度，达到资源共享。原文无电子文档的应采用扫描或照相等技术建立电子档案。</w:t>
      </w:r>
      <w:r>
        <w:rPr>
          <w:rFonts w:ascii="仿宋_GB2312" w:eastAsia="仿宋_GB2312"/>
          <w:color w:val="auto"/>
          <w:szCs w:val="21"/>
          <w:highlight w:val="none"/>
          <w:u w:val="single"/>
        </w:rPr>
        <w:t xml:space="preserve"> </w:t>
      </w:r>
    </w:p>
    <w:p>
      <w:pPr>
        <w:tabs>
          <w:tab w:val="left" w:pos="426"/>
        </w:tabs>
        <w:spacing w:before="20" w:after="20" w:line="36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第6条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使用委托人的财产</w:t>
      </w:r>
    </w:p>
    <w:p>
      <w:pPr>
        <w:tabs>
          <w:tab w:val="left" w:pos="426"/>
        </w:tabs>
        <w:spacing w:line="360" w:lineRule="exact"/>
        <w:ind w:firstLine="420" w:firstLineChars="200"/>
        <w:rPr>
          <w:color w:val="auto"/>
          <w:szCs w:val="21"/>
          <w:highlight w:val="none"/>
        </w:rPr>
      </w:pPr>
      <w:r>
        <w:rPr>
          <w:rFonts w:hint="eastAsia"/>
          <w:color w:val="auto"/>
          <w:szCs w:val="21"/>
          <w:highlight w:val="none"/>
        </w:rPr>
        <w:t>附录</w:t>
      </w:r>
      <w:r>
        <w:rPr>
          <w:color w:val="auto"/>
          <w:szCs w:val="21"/>
          <w:highlight w:val="none"/>
        </w:rPr>
        <w:t>B</w:t>
      </w:r>
      <w:r>
        <w:rPr>
          <w:rFonts w:hint="eastAsia"/>
          <w:color w:val="auto"/>
          <w:szCs w:val="21"/>
          <w:highlight w:val="none"/>
        </w:rPr>
        <w:t>中由委托人提供的设备、设施的所有权：</w:t>
      </w:r>
      <w:r>
        <w:rPr>
          <w:color w:val="auto"/>
          <w:szCs w:val="21"/>
          <w:highlight w:val="none"/>
          <w:u w:val="single"/>
        </w:rPr>
        <w:t xml:space="preserve">  </w:t>
      </w:r>
      <w:r>
        <w:rPr>
          <w:rFonts w:hint="eastAsia" w:ascii="楷体_GB2312" w:eastAsia="楷体_GB2312"/>
          <w:color w:val="auto"/>
          <w:kern w:val="18"/>
          <w:szCs w:val="21"/>
          <w:highlight w:val="none"/>
          <w:u w:val="single"/>
        </w:rPr>
        <w:t>属于委托人</w:t>
      </w:r>
      <w:r>
        <w:rPr>
          <w:rFonts w:ascii="楷体_GB2312" w:eastAsia="楷体_GB2312"/>
          <w:color w:val="auto"/>
          <w:kern w:val="18"/>
          <w:szCs w:val="21"/>
          <w:highlight w:val="none"/>
          <w:u w:val="single"/>
        </w:rPr>
        <w:t xml:space="preserve"> </w:t>
      </w:r>
      <w:r>
        <w:rPr>
          <w:rFonts w:hint="eastAsia" w:ascii="楷体_GB2312" w:eastAsia="楷体_GB2312"/>
          <w:color w:val="auto"/>
          <w:kern w:val="18"/>
          <w:szCs w:val="21"/>
          <w:highlight w:val="none"/>
          <w:u w:val="single"/>
        </w:rPr>
        <w:t>。</w:t>
      </w:r>
      <w:r>
        <w:rPr>
          <w:color w:val="auto"/>
          <w:szCs w:val="21"/>
          <w:highlight w:val="none"/>
          <w:u w:val="single"/>
        </w:rPr>
        <w:t xml:space="preserve">                    </w:t>
      </w:r>
    </w:p>
    <w:p>
      <w:pPr>
        <w:tabs>
          <w:tab w:val="left" w:pos="426"/>
        </w:tabs>
        <w:spacing w:line="360" w:lineRule="exact"/>
        <w:ind w:firstLine="420" w:firstLineChars="200"/>
        <w:rPr>
          <w:rFonts w:ascii="仿宋_GB2312" w:eastAsia="仿宋_GB2312"/>
          <w:color w:val="auto"/>
          <w:szCs w:val="21"/>
          <w:highlight w:val="none"/>
          <w:u w:val="single"/>
        </w:rPr>
      </w:pPr>
      <w:r>
        <w:rPr>
          <w:rFonts w:hint="eastAsia"/>
          <w:color w:val="auto"/>
          <w:szCs w:val="21"/>
          <w:highlight w:val="none"/>
        </w:rPr>
        <w:t>在工程监理与相关服务完成或监理合同终止时，监理人应在</w:t>
      </w:r>
      <w:r>
        <w:rPr>
          <w:color w:val="auto"/>
          <w:szCs w:val="21"/>
          <w:highlight w:val="none"/>
          <w:u w:val="single"/>
        </w:rPr>
        <w:t xml:space="preserve">    </w:t>
      </w:r>
      <w:r>
        <w:rPr>
          <w:rFonts w:hint="eastAsia"/>
          <w:color w:val="auto"/>
          <w:szCs w:val="21"/>
          <w:highlight w:val="none"/>
        </w:rPr>
        <w:t>天内提交归还委托人提供的设备、设施，归还的方式和时间为：</w:t>
      </w:r>
      <w:r>
        <w:rPr>
          <w:color w:val="auto"/>
          <w:szCs w:val="21"/>
          <w:highlight w:val="none"/>
          <w:u w:val="single"/>
        </w:rPr>
        <w:t xml:space="preserve">  </w:t>
      </w:r>
      <w:r>
        <w:rPr>
          <w:rFonts w:hint="eastAsia" w:ascii="楷体_GB2312" w:eastAsia="楷体_GB2312"/>
          <w:color w:val="auto"/>
          <w:kern w:val="18"/>
          <w:szCs w:val="21"/>
          <w:highlight w:val="none"/>
          <w:u w:val="single"/>
        </w:rPr>
        <w:t>委托人代表现场验收，双方现场办理交接手续。</w:t>
      </w:r>
      <w:r>
        <w:rPr>
          <w:rFonts w:ascii="仿宋_GB2312" w:eastAsia="仿宋_GB2312"/>
          <w:color w:val="auto"/>
          <w:szCs w:val="21"/>
          <w:highlight w:val="none"/>
          <w:u w:val="single"/>
        </w:rPr>
        <w:t xml:space="preserve"> </w:t>
      </w:r>
    </w:p>
    <w:p>
      <w:pPr>
        <w:pStyle w:val="4"/>
        <w:keepNext w:val="0"/>
        <w:tabs>
          <w:tab w:val="left" w:pos="426"/>
        </w:tabs>
        <w:spacing w:before="360" w:after="240" w:line="380" w:lineRule="exact"/>
        <w:jc w:val="center"/>
        <w:rPr>
          <w:rFonts w:ascii="黑体" w:eastAsia="黑体"/>
          <w:b w:val="0"/>
          <w:color w:val="auto"/>
          <w:highlight w:val="none"/>
        </w:rPr>
      </w:pPr>
      <w:bookmarkStart w:id="202" w:name="_Toc3522"/>
      <w:bookmarkStart w:id="203" w:name="_Toc5552"/>
      <w:bookmarkStart w:id="204" w:name="_Toc397084587"/>
      <w:bookmarkStart w:id="205" w:name="_Toc3846"/>
      <w:bookmarkStart w:id="206" w:name="_Toc9774"/>
      <w:bookmarkStart w:id="207" w:name="_Toc391916914"/>
      <w:r>
        <w:rPr>
          <w:rFonts w:hint="eastAsia" w:ascii="黑体" w:eastAsia="黑体"/>
          <w:b w:val="0"/>
          <w:color w:val="auto"/>
          <w:highlight w:val="none"/>
        </w:rPr>
        <w:t>三、委托人义务</w:t>
      </w:r>
      <w:bookmarkEnd w:id="202"/>
      <w:bookmarkEnd w:id="203"/>
      <w:bookmarkEnd w:id="204"/>
      <w:bookmarkEnd w:id="205"/>
      <w:bookmarkEnd w:id="206"/>
      <w:bookmarkEnd w:id="207"/>
    </w:p>
    <w:p>
      <w:pPr>
        <w:tabs>
          <w:tab w:val="left" w:pos="426"/>
        </w:tabs>
        <w:spacing w:before="20" w:after="20" w:line="36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第7条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委托人代表</w:t>
      </w:r>
    </w:p>
    <w:p>
      <w:pPr>
        <w:tabs>
          <w:tab w:val="left" w:pos="426"/>
        </w:tabs>
        <w:spacing w:line="360" w:lineRule="exact"/>
        <w:ind w:firstLine="420" w:firstLineChars="200"/>
        <w:rPr>
          <w:color w:val="auto"/>
          <w:szCs w:val="21"/>
          <w:highlight w:val="none"/>
        </w:rPr>
      </w:pPr>
      <w:r>
        <w:rPr>
          <w:rFonts w:hint="eastAsia"/>
          <w:color w:val="auto"/>
          <w:szCs w:val="21"/>
          <w:highlight w:val="none"/>
        </w:rPr>
        <w:t>委托人代表为：</w:t>
      </w:r>
      <w:r>
        <w:rPr>
          <w:color w:val="auto"/>
          <w:szCs w:val="21"/>
          <w:highlight w:val="none"/>
          <w:u w:val="single"/>
        </w:rPr>
        <w:t xml:space="preserve">                                   </w:t>
      </w:r>
    </w:p>
    <w:p>
      <w:pPr>
        <w:tabs>
          <w:tab w:val="left" w:pos="426"/>
        </w:tabs>
        <w:spacing w:before="20" w:after="20" w:line="36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第8条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答复</w:t>
      </w:r>
    </w:p>
    <w:p>
      <w:pPr>
        <w:tabs>
          <w:tab w:val="left" w:pos="426"/>
        </w:tabs>
        <w:spacing w:line="360" w:lineRule="exact"/>
        <w:ind w:firstLine="420" w:firstLineChars="200"/>
        <w:rPr>
          <w:color w:val="auto"/>
          <w:szCs w:val="21"/>
          <w:highlight w:val="none"/>
        </w:rPr>
      </w:pPr>
      <w:r>
        <w:rPr>
          <w:rFonts w:hint="eastAsia"/>
          <w:color w:val="auto"/>
          <w:szCs w:val="21"/>
          <w:highlight w:val="none"/>
        </w:rPr>
        <w:t>委托人同意在</w:t>
      </w:r>
      <w:r>
        <w:rPr>
          <w:color w:val="auto"/>
          <w:szCs w:val="21"/>
          <w:highlight w:val="none"/>
          <w:u w:val="single"/>
        </w:rPr>
        <w:t xml:space="preserve"> 3 </w:t>
      </w:r>
      <w:r>
        <w:rPr>
          <w:rFonts w:hint="eastAsia"/>
          <w:color w:val="auto"/>
          <w:szCs w:val="21"/>
          <w:highlight w:val="none"/>
        </w:rPr>
        <w:t>天内，对监理人书面提交并要求作出决定的事宜给予书面答复。</w:t>
      </w:r>
    </w:p>
    <w:p>
      <w:pPr>
        <w:pStyle w:val="4"/>
        <w:keepNext w:val="0"/>
        <w:tabs>
          <w:tab w:val="left" w:pos="426"/>
        </w:tabs>
        <w:spacing w:before="360" w:after="240" w:line="380" w:lineRule="exact"/>
        <w:jc w:val="center"/>
        <w:rPr>
          <w:rFonts w:ascii="黑体" w:eastAsia="黑体"/>
          <w:b w:val="0"/>
          <w:color w:val="auto"/>
          <w:highlight w:val="none"/>
        </w:rPr>
      </w:pPr>
      <w:bookmarkStart w:id="208" w:name="_Toc397084588"/>
      <w:bookmarkStart w:id="209" w:name="_Toc6517"/>
      <w:bookmarkStart w:id="210" w:name="_Toc11000"/>
      <w:bookmarkStart w:id="211" w:name="_Toc391916915"/>
      <w:bookmarkStart w:id="212" w:name="_Toc13253"/>
      <w:bookmarkStart w:id="213" w:name="_Toc30826"/>
      <w:r>
        <w:rPr>
          <w:rFonts w:hint="eastAsia" w:ascii="黑体" w:eastAsia="黑体"/>
          <w:b w:val="0"/>
          <w:color w:val="auto"/>
          <w:highlight w:val="none"/>
        </w:rPr>
        <w:t>四、违约责任</w:t>
      </w:r>
      <w:bookmarkEnd w:id="208"/>
      <w:bookmarkEnd w:id="209"/>
      <w:bookmarkEnd w:id="210"/>
      <w:bookmarkEnd w:id="211"/>
      <w:bookmarkEnd w:id="212"/>
      <w:bookmarkEnd w:id="213"/>
    </w:p>
    <w:p>
      <w:pPr>
        <w:tabs>
          <w:tab w:val="left" w:pos="426"/>
        </w:tabs>
        <w:spacing w:before="20" w:after="20" w:line="36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第9条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监理人的违约责任</w:t>
      </w:r>
    </w:p>
    <w:p>
      <w:pPr>
        <w:tabs>
          <w:tab w:val="left" w:pos="426"/>
        </w:tabs>
        <w:adjustRightInd/>
        <w:snapToGrid/>
        <w:spacing w:line="360" w:lineRule="exact"/>
        <w:ind w:firstLine="420" w:firstLineChars="200"/>
        <w:jc w:val="left"/>
        <w:rPr>
          <w:rFonts w:hint="eastAsia" w:ascii="Times New Roman" w:hAnsi="Times New Roman" w:eastAsia="宋体" w:cs="Times New Roman"/>
          <w:snapToGrid/>
          <w:color w:val="auto"/>
          <w:kern w:val="2"/>
          <w:szCs w:val="21"/>
          <w:highlight w:val="none"/>
        </w:rPr>
      </w:pPr>
      <w:r>
        <w:rPr>
          <w:rFonts w:hint="eastAsia" w:ascii="Times New Roman" w:hAnsi="Times New Roman" w:eastAsia="宋体" w:cs="Times New Roman"/>
          <w:snapToGrid/>
          <w:color w:val="auto"/>
          <w:kern w:val="2"/>
          <w:szCs w:val="21"/>
          <w:highlight w:val="none"/>
        </w:rPr>
        <w:t>因</w:t>
      </w:r>
      <w:r>
        <w:rPr>
          <w:rFonts w:hint="eastAsia"/>
          <w:color w:val="auto"/>
          <w:szCs w:val="21"/>
          <w:highlight w:val="none"/>
        </w:rPr>
        <w:t>监理人</w:t>
      </w:r>
      <w:r>
        <w:rPr>
          <w:rFonts w:hint="eastAsia" w:ascii="Times New Roman" w:hAnsi="Times New Roman" w:eastAsia="宋体" w:cs="Times New Roman"/>
          <w:snapToGrid/>
          <w:color w:val="auto"/>
          <w:kern w:val="2"/>
          <w:szCs w:val="21"/>
          <w:highlight w:val="none"/>
        </w:rPr>
        <w:t>违反合同约定给</w:t>
      </w:r>
      <w:r>
        <w:rPr>
          <w:rFonts w:hint="eastAsia" w:ascii="Times New Roman" w:eastAsia="宋体"/>
          <w:color w:val="auto"/>
          <w:szCs w:val="21"/>
          <w:highlight w:val="none"/>
        </w:rPr>
        <w:t>委托人</w:t>
      </w:r>
      <w:r>
        <w:rPr>
          <w:rFonts w:hint="eastAsia" w:ascii="Times New Roman" w:hAnsi="Times New Roman" w:eastAsia="宋体" w:cs="Times New Roman"/>
          <w:snapToGrid/>
          <w:color w:val="auto"/>
          <w:kern w:val="2"/>
          <w:szCs w:val="21"/>
          <w:highlight w:val="none"/>
        </w:rPr>
        <w:t>造成损失的，</w:t>
      </w:r>
      <w:r>
        <w:rPr>
          <w:rFonts w:hint="eastAsia"/>
          <w:color w:val="auto"/>
          <w:szCs w:val="21"/>
          <w:highlight w:val="none"/>
        </w:rPr>
        <w:t>监理人</w:t>
      </w:r>
      <w:r>
        <w:rPr>
          <w:rFonts w:hint="eastAsia" w:ascii="Times New Roman" w:hAnsi="Times New Roman" w:eastAsia="宋体" w:cs="Times New Roman"/>
          <w:snapToGrid/>
          <w:color w:val="auto"/>
          <w:kern w:val="2"/>
          <w:szCs w:val="21"/>
          <w:highlight w:val="none"/>
        </w:rPr>
        <w:t>应当赔偿</w:t>
      </w:r>
      <w:r>
        <w:rPr>
          <w:rFonts w:hint="eastAsia" w:ascii="Times New Roman" w:eastAsia="宋体"/>
          <w:color w:val="auto"/>
          <w:szCs w:val="21"/>
          <w:highlight w:val="none"/>
        </w:rPr>
        <w:t>委托人</w:t>
      </w:r>
      <w:r>
        <w:rPr>
          <w:rFonts w:hint="eastAsia" w:ascii="Times New Roman" w:hAnsi="Times New Roman" w:eastAsia="宋体" w:cs="Times New Roman"/>
          <w:snapToGrid/>
          <w:color w:val="auto"/>
          <w:kern w:val="2"/>
          <w:szCs w:val="21"/>
          <w:highlight w:val="none"/>
        </w:rPr>
        <w:t>损失。</w:t>
      </w:r>
      <w:r>
        <w:rPr>
          <w:rFonts w:hint="eastAsia"/>
          <w:color w:val="auto"/>
          <w:szCs w:val="21"/>
          <w:highlight w:val="none"/>
        </w:rPr>
        <w:t>监理人</w:t>
      </w:r>
      <w:r>
        <w:rPr>
          <w:rFonts w:hint="eastAsia" w:ascii="Times New Roman" w:hAnsi="Times New Roman" w:eastAsia="宋体" w:cs="Times New Roman"/>
          <w:snapToGrid/>
          <w:color w:val="auto"/>
          <w:kern w:val="2"/>
          <w:szCs w:val="21"/>
          <w:highlight w:val="none"/>
        </w:rPr>
        <w:t>承担部分赔偿责任的，其承担赔偿金额由双方协商确定。</w:t>
      </w:r>
    </w:p>
    <w:p>
      <w:pPr>
        <w:tabs>
          <w:tab w:val="left" w:pos="426"/>
        </w:tabs>
        <w:spacing w:line="360" w:lineRule="exact"/>
        <w:ind w:firstLine="420" w:firstLineChars="200"/>
        <w:jc w:val="left"/>
        <w:rPr>
          <w:rFonts w:hint="eastAsia"/>
          <w:color w:val="auto"/>
          <w:szCs w:val="21"/>
          <w:highlight w:val="none"/>
        </w:rPr>
      </w:pPr>
      <w:r>
        <w:rPr>
          <w:rFonts w:hint="eastAsia"/>
          <w:color w:val="auto"/>
          <w:szCs w:val="21"/>
          <w:highlight w:val="none"/>
        </w:rPr>
        <w:t>监理人</w:t>
      </w:r>
      <w:r>
        <w:rPr>
          <w:rFonts w:hint="eastAsia" w:ascii="Times New Roman" w:hAnsi="Times New Roman" w:eastAsia="宋体" w:cs="Times New Roman"/>
          <w:snapToGrid/>
          <w:color w:val="auto"/>
          <w:kern w:val="2"/>
          <w:szCs w:val="21"/>
          <w:highlight w:val="none"/>
        </w:rPr>
        <w:t>向</w:t>
      </w:r>
      <w:r>
        <w:rPr>
          <w:rFonts w:hint="eastAsia" w:ascii="Times New Roman" w:eastAsia="宋体"/>
          <w:color w:val="auto"/>
          <w:szCs w:val="21"/>
          <w:highlight w:val="none"/>
        </w:rPr>
        <w:t>委托人</w:t>
      </w:r>
      <w:r>
        <w:rPr>
          <w:rFonts w:hint="eastAsia" w:ascii="Times New Roman" w:hAnsi="Times New Roman" w:eastAsia="宋体" w:cs="Times New Roman"/>
          <w:snapToGrid/>
          <w:color w:val="auto"/>
          <w:kern w:val="2"/>
          <w:szCs w:val="21"/>
          <w:highlight w:val="none"/>
        </w:rPr>
        <w:t>的索赔不成立时，</w:t>
      </w:r>
      <w:r>
        <w:rPr>
          <w:rFonts w:hint="eastAsia"/>
          <w:color w:val="auto"/>
          <w:szCs w:val="21"/>
          <w:highlight w:val="none"/>
        </w:rPr>
        <w:t>监理人</w:t>
      </w:r>
      <w:r>
        <w:rPr>
          <w:rFonts w:hint="eastAsia" w:ascii="Times New Roman" w:hAnsi="Times New Roman" w:eastAsia="宋体" w:cs="Times New Roman"/>
          <w:snapToGrid/>
          <w:color w:val="auto"/>
          <w:kern w:val="2"/>
          <w:szCs w:val="21"/>
          <w:highlight w:val="none"/>
        </w:rPr>
        <w:t>应赔偿</w:t>
      </w:r>
      <w:r>
        <w:rPr>
          <w:rFonts w:hint="eastAsia" w:ascii="Times New Roman" w:eastAsia="宋体"/>
          <w:color w:val="auto"/>
          <w:szCs w:val="21"/>
          <w:highlight w:val="none"/>
        </w:rPr>
        <w:t>委托人</w:t>
      </w:r>
      <w:r>
        <w:rPr>
          <w:rFonts w:hint="eastAsia" w:ascii="Times New Roman" w:hAnsi="Times New Roman" w:eastAsia="宋体" w:cs="Times New Roman"/>
          <w:snapToGrid/>
          <w:color w:val="auto"/>
          <w:kern w:val="2"/>
          <w:szCs w:val="21"/>
          <w:highlight w:val="none"/>
        </w:rPr>
        <w:t>由此发生的费用。</w:t>
      </w:r>
    </w:p>
    <w:p>
      <w:pPr>
        <w:tabs>
          <w:tab w:val="left" w:pos="426"/>
        </w:tabs>
        <w:spacing w:line="360" w:lineRule="exact"/>
        <w:ind w:firstLine="420" w:firstLineChars="200"/>
        <w:rPr>
          <w:color w:val="auto"/>
          <w:szCs w:val="21"/>
          <w:highlight w:val="none"/>
        </w:rPr>
      </w:pPr>
      <w:r>
        <w:rPr>
          <w:rFonts w:hint="eastAsia"/>
          <w:color w:val="auto"/>
          <w:szCs w:val="21"/>
          <w:highlight w:val="none"/>
        </w:rPr>
        <w:t>监理人赔偿金额按下列方法确定：</w:t>
      </w:r>
    </w:p>
    <w:p>
      <w:pPr>
        <w:tabs>
          <w:tab w:val="left" w:pos="426"/>
        </w:tabs>
        <w:spacing w:line="360" w:lineRule="exact"/>
        <w:ind w:firstLine="420" w:firstLineChars="200"/>
        <w:rPr>
          <w:rFonts w:ascii="楷体_GB2312" w:eastAsia="楷体_GB2312"/>
          <w:color w:val="auto"/>
          <w:kern w:val="18"/>
          <w:szCs w:val="21"/>
          <w:highlight w:val="none"/>
          <w:u w:val="single"/>
        </w:rPr>
      </w:pPr>
      <w:r>
        <w:rPr>
          <w:rFonts w:hint="eastAsia" w:ascii="楷体_GB2312" w:eastAsia="楷体_GB2312"/>
          <w:color w:val="auto"/>
          <w:kern w:val="18"/>
          <w:szCs w:val="21"/>
          <w:highlight w:val="none"/>
          <w:u w:val="single"/>
        </w:rPr>
        <w:t>赔偿金＝直接经济损失×正常工作酬金÷工程概算建筑工程安装费</w:t>
      </w:r>
    </w:p>
    <w:p>
      <w:pPr>
        <w:tabs>
          <w:tab w:val="left" w:pos="426"/>
        </w:tabs>
        <w:spacing w:before="20" w:after="20" w:line="36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1</w:t>
      </w:r>
      <w:r>
        <w:rPr>
          <w:rFonts w:hint="eastAsia" w:ascii="黑体" w:eastAsia="黑体"/>
          <w:color w:val="auto"/>
          <w:kern w:val="18"/>
          <w:sz w:val="22"/>
          <w:szCs w:val="22"/>
          <w:highlight w:val="none"/>
        </w:rPr>
        <w:t>0条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委托人的违约责任</w:t>
      </w:r>
    </w:p>
    <w:p>
      <w:pPr>
        <w:tabs>
          <w:tab w:val="left" w:pos="426"/>
        </w:tabs>
        <w:adjustRightInd/>
        <w:snapToGrid/>
        <w:spacing w:line="360" w:lineRule="exact"/>
        <w:ind w:firstLine="420" w:firstLineChars="200"/>
        <w:jc w:val="left"/>
        <w:rPr>
          <w:rFonts w:hint="eastAsia" w:ascii="Times New Roman" w:hAnsi="Times New Roman" w:eastAsia="宋体" w:cs="Times New Roman"/>
          <w:snapToGrid/>
          <w:color w:val="auto"/>
          <w:kern w:val="2"/>
          <w:szCs w:val="21"/>
          <w:highlight w:val="none"/>
        </w:rPr>
      </w:pPr>
      <w:r>
        <w:rPr>
          <w:rFonts w:hint="eastAsia" w:ascii="Times New Roman" w:eastAsia="宋体"/>
          <w:color w:val="auto"/>
          <w:szCs w:val="21"/>
          <w:highlight w:val="none"/>
        </w:rPr>
        <w:t>委托人</w:t>
      </w:r>
      <w:r>
        <w:rPr>
          <w:rFonts w:hint="eastAsia" w:ascii="Times New Roman" w:hAnsi="Times New Roman" w:eastAsia="宋体" w:cs="Times New Roman"/>
          <w:snapToGrid/>
          <w:color w:val="auto"/>
          <w:kern w:val="2"/>
          <w:szCs w:val="21"/>
          <w:highlight w:val="none"/>
        </w:rPr>
        <w:t>违反合同约定造成</w:t>
      </w:r>
      <w:r>
        <w:rPr>
          <w:rFonts w:hint="eastAsia"/>
          <w:color w:val="auto"/>
          <w:szCs w:val="21"/>
          <w:highlight w:val="none"/>
        </w:rPr>
        <w:t>监理人</w:t>
      </w:r>
      <w:r>
        <w:rPr>
          <w:rFonts w:hint="eastAsia" w:ascii="Times New Roman" w:hAnsi="Times New Roman" w:eastAsia="宋体" w:cs="Times New Roman"/>
          <w:snapToGrid/>
          <w:color w:val="auto"/>
          <w:kern w:val="2"/>
          <w:szCs w:val="21"/>
          <w:highlight w:val="none"/>
        </w:rPr>
        <w:t>损失的，</w:t>
      </w:r>
      <w:r>
        <w:rPr>
          <w:rFonts w:hint="eastAsia" w:ascii="Times New Roman" w:eastAsia="宋体"/>
          <w:color w:val="auto"/>
          <w:szCs w:val="21"/>
          <w:highlight w:val="none"/>
        </w:rPr>
        <w:t>委托人</w:t>
      </w:r>
      <w:r>
        <w:rPr>
          <w:rFonts w:hint="eastAsia" w:ascii="Times New Roman" w:hAnsi="Times New Roman" w:eastAsia="宋体" w:cs="Times New Roman"/>
          <w:snapToGrid/>
          <w:color w:val="auto"/>
          <w:kern w:val="2"/>
          <w:szCs w:val="21"/>
          <w:highlight w:val="none"/>
        </w:rPr>
        <w:t>应予以赔偿。</w:t>
      </w:r>
    </w:p>
    <w:p>
      <w:pPr>
        <w:tabs>
          <w:tab w:val="left" w:pos="426"/>
        </w:tabs>
        <w:adjustRightInd/>
        <w:snapToGrid/>
        <w:spacing w:line="360" w:lineRule="exact"/>
        <w:ind w:firstLine="420" w:firstLineChars="200"/>
        <w:jc w:val="left"/>
        <w:rPr>
          <w:rFonts w:hint="eastAsia" w:ascii="Times New Roman" w:hAnsi="Times New Roman" w:eastAsia="宋体" w:cs="Times New Roman"/>
          <w:snapToGrid/>
          <w:color w:val="auto"/>
          <w:kern w:val="2"/>
          <w:szCs w:val="21"/>
          <w:highlight w:val="none"/>
        </w:rPr>
      </w:pPr>
      <w:r>
        <w:rPr>
          <w:rFonts w:hint="eastAsia" w:ascii="Times New Roman" w:eastAsia="宋体"/>
          <w:color w:val="auto"/>
          <w:szCs w:val="21"/>
          <w:highlight w:val="none"/>
        </w:rPr>
        <w:t>委托人</w:t>
      </w:r>
      <w:r>
        <w:rPr>
          <w:rFonts w:hint="eastAsia" w:ascii="Times New Roman" w:hAnsi="Times New Roman" w:eastAsia="宋体" w:cs="Times New Roman"/>
          <w:snapToGrid/>
          <w:color w:val="auto"/>
          <w:kern w:val="2"/>
          <w:szCs w:val="21"/>
          <w:highlight w:val="none"/>
        </w:rPr>
        <w:t>向</w:t>
      </w:r>
      <w:r>
        <w:rPr>
          <w:rFonts w:hint="eastAsia"/>
          <w:color w:val="auto"/>
          <w:szCs w:val="21"/>
          <w:highlight w:val="none"/>
        </w:rPr>
        <w:t>监理人</w:t>
      </w:r>
      <w:r>
        <w:rPr>
          <w:rFonts w:hint="eastAsia" w:ascii="Times New Roman" w:hAnsi="Times New Roman" w:eastAsia="宋体" w:cs="Times New Roman"/>
          <w:snapToGrid/>
          <w:color w:val="auto"/>
          <w:kern w:val="2"/>
          <w:szCs w:val="21"/>
          <w:highlight w:val="none"/>
        </w:rPr>
        <w:t>的索赔不成立时，应赔偿</w:t>
      </w:r>
      <w:r>
        <w:rPr>
          <w:rFonts w:hint="eastAsia"/>
          <w:color w:val="auto"/>
          <w:szCs w:val="21"/>
          <w:highlight w:val="none"/>
        </w:rPr>
        <w:t>监理人</w:t>
      </w:r>
      <w:r>
        <w:rPr>
          <w:rFonts w:hint="eastAsia" w:ascii="Times New Roman" w:hAnsi="Times New Roman" w:eastAsia="宋体" w:cs="Times New Roman"/>
          <w:snapToGrid/>
          <w:color w:val="auto"/>
          <w:kern w:val="2"/>
          <w:szCs w:val="21"/>
          <w:highlight w:val="none"/>
        </w:rPr>
        <w:t>由此引起的费用。</w:t>
      </w:r>
    </w:p>
    <w:p>
      <w:pPr>
        <w:spacing w:line="360" w:lineRule="exact"/>
        <w:ind w:firstLine="420" w:firstLineChars="200"/>
        <w:jc w:val="left"/>
        <w:rPr>
          <w:rFonts w:hint="eastAsia" w:ascii="Times New Roman" w:eastAsia="宋体"/>
          <w:color w:val="auto"/>
          <w:szCs w:val="21"/>
          <w:highlight w:val="none"/>
        </w:rPr>
      </w:pPr>
      <w:r>
        <w:rPr>
          <w:rFonts w:hint="eastAsia" w:ascii="Times New Roman" w:eastAsia="宋体"/>
          <w:color w:val="auto"/>
          <w:szCs w:val="21"/>
          <w:highlight w:val="none"/>
        </w:rPr>
        <w:t>委托人按照合同规定的期限办理监理服务费的审批手续，若因委托人支付程序影响酬金的实际支付，监理人应予谅解。</w:t>
      </w:r>
      <w:bookmarkStart w:id="214" w:name="_Toc391916916"/>
      <w:bookmarkStart w:id="215" w:name="_Toc397084589"/>
    </w:p>
    <w:p>
      <w:pPr>
        <w:pStyle w:val="4"/>
        <w:keepNext w:val="0"/>
        <w:tabs>
          <w:tab w:val="left" w:pos="426"/>
        </w:tabs>
        <w:spacing w:before="360" w:after="240" w:line="380" w:lineRule="exact"/>
        <w:jc w:val="center"/>
        <w:rPr>
          <w:rFonts w:ascii="黑体" w:eastAsia="黑体"/>
          <w:b w:val="0"/>
          <w:color w:val="auto"/>
          <w:highlight w:val="none"/>
        </w:rPr>
      </w:pPr>
      <w:bookmarkStart w:id="216" w:name="_Toc23098"/>
      <w:bookmarkStart w:id="217" w:name="_Toc28391"/>
      <w:bookmarkStart w:id="218" w:name="_Toc23195"/>
      <w:bookmarkStart w:id="219" w:name="_Toc27267"/>
      <w:r>
        <w:rPr>
          <w:rFonts w:hint="eastAsia" w:ascii="黑体" w:eastAsia="黑体"/>
          <w:b w:val="0"/>
          <w:color w:val="auto"/>
          <w:highlight w:val="none"/>
        </w:rPr>
        <w:t>五、监理服务酬金的计取与支付</w:t>
      </w:r>
      <w:bookmarkEnd w:id="214"/>
      <w:bookmarkEnd w:id="215"/>
      <w:bookmarkEnd w:id="216"/>
      <w:bookmarkEnd w:id="217"/>
      <w:bookmarkEnd w:id="218"/>
      <w:bookmarkEnd w:id="219"/>
    </w:p>
    <w:p>
      <w:pPr>
        <w:tabs>
          <w:tab w:val="left" w:pos="426"/>
        </w:tabs>
        <w:spacing w:before="20" w:after="20" w:line="36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第11条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酬金计取</w:t>
      </w:r>
    </w:p>
    <w:p>
      <w:pPr>
        <w:pStyle w:val="25"/>
        <w:widowControl w:val="0"/>
        <w:numPr>
          <w:ilvl w:val="2"/>
          <w:numId w:val="3"/>
        </w:numPr>
        <w:shd w:val="clear" w:color="auto" w:fill="auto"/>
        <w:adjustRightInd/>
        <w:snapToGrid/>
        <w:spacing w:line="360" w:lineRule="exact"/>
        <w:ind w:firstLineChars="0"/>
        <w:jc w:val="both"/>
        <w:rPr>
          <w:rFonts w:ascii="宋体"/>
          <w:b/>
          <w:color w:val="auto"/>
          <w:szCs w:val="21"/>
          <w:highlight w:val="none"/>
        </w:rPr>
      </w:pPr>
      <w:r>
        <w:rPr>
          <w:rFonts w:ascii="宋体"/>
          <w:b/>
          <w:color w:val="auto"/>
          <w:szCs w:val="21"/>
          <w:highlight w:val="none"/>
        </w:rPr>
        <w:t>.</w:t>
      </w:r>
      <w:r>
        <w:rPr>
          <w:rFonts w:hint="eastAsia" w:ascii="宋体" w:hAnsi="宋体"/>
          <w:b/>
          <w:color w:val="auto"/>
          <w:szCs w:val="21"/>
          <w:highlight w:val="none"/>
        </w:rPr>
        <w:t>工程概算投资额</w:t>
      </w:r>
    </w:p>
    <w:p>
      <w:pPr>
        <w:tabs>
          <w:tab w:val="left" w:pos="426"/>
        </w:tabs>
        <w:spacing w:line="360" w:lineRule="exact"/>
        <w:ind w:firstLine="420" w:firstLineChars="200"/>
        <w:rPr>
          <w:color w:val="auto"/>
          <w:szCs w:val="21"/>
          <w:highlight w:val="none"/>
        </w:rPr>
      </w:pPr>
      <w:r>
        <w:rPr>
          <w:rFonts w:hint="eastAsia"/>
          <w:color w:val="auto"/>
          <w:kern w:val="18"/>
          <w:szCs w:val="21"/>
          <w:highlight w:val="none"/>
        </w:rPr>
        <w:t>本工程概算投资额为</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rPr>
        <w:t>万元，其中：建筑安装工程费</w:t>
      </w:r>
      <w:r>
        <w:rPr>
          <w:rFonts w:hint="eastAsia"/>
          <w:color w:val="auto"/>
          <w:szCs w:val="21"/>
          <w:highlight w:val="none"/>
          <w:lang w:val="en-US" w:eastAsia="zh-CN"/>
        </w:rPr>
        <w:t>暂定</w:t>
      </w:r>
      <w:r>
        <w:rPr>
          <w:color w:val="auto"/>
          <w:szCs w:val="21"/>
          <w:highlight w:val="none"/>
          <w:u w:val="single"/>
        </w:rPr>
        <w:t xml:space="preserve"> </w:t>
      </w:r>
      <w:r>
        <w:rPr>
          <w:rFonts w:hint="eastAsia"/>
          <w:color w:val="auto"/>
          <w:szCs w:val="21"/>
          <w:highlight w:val="none"/>
          <w:u w:val="single"/>
          <w:lang w:val="en-US" w:eastAsia="zh-CN"/>
        </w:rPr>
        <w:t>903.99</w:t>
      </w:r>
      <w:r>
        <w:rPr>
          <w:color w:val="auto"/>
          <w:szCs w:val="21"/>
          <w:highlight w:val="none"/>
          <w:u w:val="single"/>
        </w:rPr>
        <w:t xml:space="preserve">   </w:t>
      </w:r>
      <w:r>
        <w:rPr>
          <w:rFonts w:hint="eastAsia"/>
          <w:color w:val="auto"/>
          <w:szCs w:val="21"/>
          <w:highlight w:val="none"/>
        </w:rPr>
        <w:t>万元。</w:t>
      </w:r>
    </w:p>
    <w:p>
      <w:pPr>
        <w:pStyle w:val="25"/>
        <w:widowControl w:val="0"/>
        <w:numPr>
          <w:ilvl w:val="2"/>
          <w:numId w:val="3"/>
        </w:numPr>
        <w:shd w:val="clear" w:color="auto" w:fill="auto"/>
        <w:adjustRightInd/>
        <w:snapToGrid/>
        <w:spacing w:line="360" w:lineRule="exact"/>
        <w:ind w:firstLineChars="0"/>
        <w:jc w:val="both"/>
        <w:rPr>
          <w:rFonts w:hint="eastAsia"/>
          <w:color w:val="auto"/>
          <w:szCs w:val="21"/>
          <w:highlight w:val="none"/>
        </w:rPr>
      </w:pPr>
      <w:r>
        <w:rPr>
          <w:rFonts w:hint="eastAsia" w:ascii="宋体" w:hAnsi="宋体"/>
          <w:b/>
          <w:color w:val="auto"/>
          <w:szCs w:val="21"/>
          <w:highlight w:val="none"/>
        </w:rPr>
        <w:t>.监理服务酬金基价</w:t>
      </w:r>
    </w:p>
    <w:p>
      <w:pPr>
        <w:tabs>
          <w:tab w:val="left" w:pos="426"/>
        </w:tabs>
        <w:spacing w:line="360" w:lineRule="exact"/>
        <w:ind w:firstLine="420" w:firstLineChars="200"/>
        <w:rPr>
          <w:rFonts w:hint="eastAsia"/>
          <w:color w:val="auto"/>
          <w:kern w:val="18"/>
          <w:szCs w:val="21"/>
          <w:highlight w:val="none"/>
          <w:u w:val="single"/>
          <w:lang w:val="en-US" w:eastAsia="zh-CN"/>
        </w:rPr>
      </w:pPr>
      <w:r>
        <w:rPr>
          <w:rFonts w:hint="eastAsia"/>
          <w:color w:val="auto"/>
          <w:kern w:val="18"/>
          <w:szCs w:val="21"/>
          <w:highlight w:val="none"/>
        </w:rPr>
        <w:t>经</w:t>
      </w:r>
      <w:r>
        <w:rPr>
          <w:rFonts w:hint="eastAsia"/>
          <w:color w:val="auto"/>
          <w:kern w:val="18"/>
          <w:szCs w:val="21"/>
          <w:highlight w:val="none"/>
          <w:lang w:eastAsia="zh-CN"/>
        </w:rPr>
        <w:t>监理人</w:t>
      </w:r>
      <w:r>
        <w:rPr>
          <w:rFonts w:hint="eastAsia"/>
          <w:color w:val="auto"/>
          <w:kern w:val="18"/>
          <w:szCs w:val="21"/>
          <w:highlight w:val="none"/>
        </w:rPr>
        <w:t>确认，本工程监理服务酬金</w:t>
      </w:r>
      <w:r>
        <w:rPr>
          <w:rFonts w:hint="eastAsia"/>
          <w:color w:val="auto"/>
          <w:kern w:val="18"/>
          <w:szCs w:val="21"/>
          <w:highlight w:val="none"/>
          <w:lang w:val="en-US" w:eastAsia="zh-CN"/>
        </w:rPr>
        <w:t>的投标监理费费率为</w:t>
      </w:r>
      <w:r>
        <w:rPr>
          <w:rFonts w:hint="eastAsia"/>
          <w:color w:val="auto"/>
          <w:kern w:val="18"/>
          <w:szCs w:val="21"/>
          <w:highlight w:val="none"/>
          <w:u w:val="single"/>
        </w:rPr>
        <w:t xml:space="preserve"> </w:t>
      </w:r>
      <w:r>
        <w:rPr>
          <w:rFonts w:hint="eastAsia"/>
          <w:color w:val="auto"/>
          <w:kern w:val="18"/>
          <w:szCs w:val="21"/>
          <w:highlight w:val="none"/>
          <w:u w:val="single"/>
          <w:lang w:val="en-US" w:eastAsia="zh-CN"/>
        </w:rPr>
        <w:t xml:space="preserve"> </w:t>
      </w:r>
      <w:r>
        <w:rPr>
          <w:rFonts w:hint="eastAsia"/>
          <w:color w:val="auto"/>
          <w:kern w:val="18"/>
          <w:szCs w:val="21"/>
          <w:highlight w:val="none"/>
          <w:u w:val="single"/>
        </w:rPr>
        <w:t xml:space="preserve"> </w:t>
      </w:r>
      <w:r>
        <w:rPr>
          <w:rFonts w:hint="eastAsia"/>
          <w:color w:val="auto"/>
          <w:kern w:val="18"/>
          <w:szCs w:val="21"/>
          <w:highlight w:val="none"/>
          <w:u w:val="single"/>
          <w:lang w:val="en-US" w:eastAsia="zh-CN"/>
        </w:rPr>
        <w:t xml:space="preserve"> %</w:t>
      </w:r>
    </w:p>
    <w:p>
      <w:pPr>
        <w:tabs>
          <w:tab w:val="left" w:pos="426"/>
        </w:tabs>
        <w:spacing w:line="360" w:lineRule="exact"/>
        <w:ind w:firstLine="420" w:firstLineChars="200"/>
        <w:rPr>
          <w:rFonts w:hint="eastAsia"/>
          <w:color w:val="auto"/>
          <w:kern w:val="18"/>
          <w:szCs w:val="21"/>
          <w:highlight w:val="none"/>
          <w:u w:val="single"/>
          <w:lang w:val="en-US" w:eastAsia="zh-CN"/>
        </w:rPr>
      </w:pPr>
      <w:r>
        <w:rPr>
          <w:rFonts w:hint="eastAsia"/>
          <w:color w:val="auto"/>
          <w:kern w:val="18"/>
          <w:szCs w:val="21"/>
          <w:highlight w:val="none"/>
        </w:rPr>
        <w:t>本工程监理服务酬金</w:t>
      </w:r>
      <w:r>
        <w:rPr>
          <w:rFonts w:hint="eastAsia"/>
          <w:color w:val="auto"/>
          <w:kern w:val="18"/>
          <w:szCs w:val="21"/>
          <w:highlight w:val="none"/>
          <w:lang w:val="en-US" w:eastAsia="zh-CN"/>
        </w:rPr>
        <w:t>基价=</w:t>
      </w:r>
      <w:r>
        <w:rPr>
          <w:rFonts w:hint="eastAsia"/>
          <w:color w:val="auto"/>
          <w:kern w:val="18"/>
          <w:szCs w:val="21"/>
          <w:highlight w:val="none"/>
        </w:rPr>
        <w:t>建筑安装工程费×</w:t>
      </w:r>
      <w:r>
        <w:rPr>
          <w:rFonts w:hint="eastAsia"/>
          <w:color w:val="auto"/>
          <w:kern w:val="18"/>
          <w:szCs w:val="21"/>
          <w:highlight w:val="none"/>
          <w:lang w:val="en-US" w:eastAsia="zh-CN"/>
        </w:rPr>
        <w:t>投标监理费费率为</w:t>
      </w:r>
      <w:r>
        <w:rPr>
          <w:rFonts w:hint="eastAsia"/>
          <w:color w:val="auto"/>
          <w:kern w:val="18"/>
          <w:szCs w:val="21"/>
          <w:highlight w:val="none"/>
          <w:u w:val="single"/>
        </w:rPr>
        <w:t xml:space="preserve"> </w:t>
      </w:r>
      <w:r>
        <w:rPr>
          <w:rFonts w:hint="eastAsia"/>
          <w:color w:val="auto"/>
          <w:kern w:val="18"/>
          <w:szCs w:val="21"/>
          <w:highlight w:val="none"/>
          <w:u w:val="single"/>
          <w:lang w:val="en-US" w:eastAsia="zh-CN"/>
        </w:rPr>
        <w:t xml:space="preserve">  </w:t>
      </w:r>
      <w:r>
        <w:rPr>
          <w:rFonts w:hint="eastAsia"/>
          <w:color w:val="auto"/>
          <w:kern w:val="18"/>
          <w:szCs w:val="21"/>
          <w:highlight w:val="none"/>
          <w:u w:val="single"/>
        </w:rPr>
        <w:t xml:space="preserve"> </w:t>
      </w:r>
      <w:r>
        <w:rPr>
          <w:rFonts w:hint="eastAsia"/>
          <w:color w:val="auto"/>
          <w:kern w:val="18"/>
          <w:szCs w:val="21"/>
          <w:highlight w:val="none"/>
          <w:u w:val="single"/>
          <w:lang w:val="en-US" w:eastAsia="zh-CN"/>
        </w:rPr>
        <w:t>%</w:t>
      </w:r>
    </w:p>
    <w:p>
      <w:pPr>
        <w:tabs>
          <w:tab w:val="left" w:pos="426"/>
        </w:tabs>
        <w:spacing w:line="360" w:lineRule="exact"/>
        <w:ind w:firstLine="420" w:firstLineChars="200"/>
        <w:rPr>
          <w:rFonts w:hint="eastAsia"/>
          <w:color w:val="auto"/>
          <w:kern w:val="18"/>
          <w:szCs w:val="21"/>
          <w:highlight w:val="none"/>
          <w:lang w:val="en-US" w:eastAsia="zh-CN"/>
        </w:rPr>
      </w:pPr>
      <w:r>
        <w:rPr>
          <w:rFonts w:hint="eastAsia"/>
          <w:color w:val="auto"/>
          <w:kern w:val="18"/>
          <w:szCs w:val="21"/>
          <w:highlight w:val="none"/>
        </w:rPr>
        <w:t>本工程监理服务酬金基价为</w:t>
      </w:r>
      <w:r>
        <w:rPr>
          <w:rFonts w:hint="eastAsia"/>
          <w:color w:val="auto"/>
          <w:kern w:val="18"/>
          <w:szCs w:val="21"/>
          <w:highlight w:val="none"/>
          <w:u w:val="single"/>
        </w:rPr>
        <w:t xml:space="preserve">  </w:t>
      </w:r>
      <w:r>
        <w:rPr>
          <w:rFonts w:hint="eastAsia"/>
          <w:color w:val="auto"/>
          <w:kern w:val="18"/>
          <w:szCs w:val="21"/>
          <w:highlight w:val="none"/>
          <w:u w:val="single"/>
          <w:lang w:val="en-US" w:eastAsia="zh-CN"/>
        </w:rPr>
        <w:t xml:space="preserve"> </w:t>
      </w:r>
      <w:r>
        <w:rPr>
          <w:rFonts w:hint="eastAsia"/>
          <w:color w:val="auto"/>
          <w:kern w:val="18"/>
          <w:szCs w:val="21"/>
          <w:highlight w:val="none"/>
          <w:u w:val="single"/>
        </w:rPr>
        <w:t xml:space="preserve">   </w:t>
      </w:r>
      <w:r>
        <w:rPr>
          <w:rFonts w:hint="eastAsia"/>
          <w:color w:val="auto"/>
          <w:kern w:val="18"/>
          <w:szCs w:val="21"/>
          <w:highlight w:val="none"/>
        </w:rPr>
        <w:t>万元。</w:t>
      </w:r>
    </w:p>
    <w:p>
      <w:pPr>
        <w:pStyle w:val="25"/>
        <w:widowControl w:val="0"/>
        <w:numPr>
          <w:ilvl w:val="2"/>
          <w:numId w:val="3"/>
        </w:numPr>
        <w:shd w:val="clear" w:color="auto" w:fill="auto"/>
        <w:adjustRightInd/>
        <w:snapToGrid/>
        <w:spacing w:line="360" w:lineRule="exact"/>
        <w:ind w:firstLineChars="0"/>
        <w:jc w:val="both"/>
        <w:rPr>
          <w:rFonts w:ascii="宋体"/>
          <w:b/>
          <w:color w:val="auto"/>
          <w:szCs w:val="21"/>
          <w:highlight w:val="none"/>
        </w:rPr>
      </w:pPr>
      <w:r>
        <w:rPr>
          <w:rFonts w:ascii="宋体"/>
          <w:b/>
          <w:color w:val="auto"/>
          <w:szCs w:val="21"/>
          <w:highlight w:val="none"/>
        </w:rPr>
        <w:t>.</w:t>
      </w:r>
      <w:r>
        <w:rPr>
          <w:rFonts w:hint="eastAsia" w:ascii="宋体"/>
          <w:b/>
          <w:color w:val="auto"/>
          <w:szCs w:val="21"/>
          <w:highlight w:val="none"/>
        </w:rPr>
        <w:t>监理服务酬金</w:t>
      </w:r>
      <w:r>
        <w:rPr>
          <w:rFonts w:hint="eastAsia" w:ascii="宋体"/>
          <w:b/>
          <w:color w:val="auto"/>
          <w:szCs w:val="21"/>
          <w:highlight w:val="none"/>
          <w:lang w:val="en-US" w:eastAsia="zh-CN"/>
        </w:rPr>
        <w:t>总额</w:t>
      </w:r>
    </w:p>
    <w:p>
      <w:pPr>
        <w:pStyle w:val="25"/>
        <w:widowControl w:val="0"/>
        <w:numPr>
          <w:ilvl w:val="0"/>
          <w:numId w:val="0"/>
        </w:numPr>
        <w:shd w:val="clear" w:color="auto" w:fill="auto"/>
        <w:adjustRightInd/>
        <w:snapToGrid/>
        <w:spacing w:line="360" w:lineRule="exact"/>
        <w:jc w:val="both"/>
        <w:rPr>
          <w:rFonts w:hint="default" w:ascii="宋体"/>
          <w:b/>
          <w:color w:val="auto"/>
          <w:szCs w:val="21"/>
          <w:highlight w:val="none"/>
          <w:lang w:val="en-US" w:eastAsia="zh-CN"/>
        </w:rPr>
      </w:pPr>
      <w:r>
        <w:rPr>
          <w:rFonts w:hint="eastAsia" w:ascii="宋体"/>
          <w:b/>
          <w:color w:val="auto"/>
          <w:szCs w:val="21"/>
          <w:highlight w:val="none"/>
          <w:lang w:val="en-US" w:eastAsia="zh-CN"/>
        </w:rPr>
        <w:t xml:space="preserve">    在监理服务酬金基价基础上计算监理服务酬金总额。</w:t>
      </w:r>
    </w:p>
    <w:p>
      <w:pPr>
        <w:pStyle w:val="25"/>
        <w:widowControl w:val="0"/>
        <w:numPr>
          <w:ilvl w:val="0"/>
          <w:numId w:val="0"/>
        </w:numPr>
        <w:shd w:val="clear" w:color="auto" w:fill="auto"/>
        <w:adjustRightInd/>
        <w:snapToGrid/>
        <w:spacing w:line="360" w:lineRule="exact"/>
        <w:ind w:firstLine="422"/>
        <w:jc w:val="both"/>
        <w:rPr>
          <w:rFonts w:hint="default" w:ascii="宋体" w:eastAsia="宋体"/>
          <w:b/>
          <w:color w:val="auto"/>
          <w:szCs w:val="21"/>
          <w:highlight w:val="none"/>
          <w:lang w:val="en-US" w:eastAsia="zh-CN"/>
        </w:rPr>
      </w:pPr>
      <w:r>
        <w:rPr>
          <w:rFonts w:hint="eastAsia" w:ascii="宋体"/>
          <w:b/>
          <w:color w:val="auto"/>
          <w:szCs w:val="21"/>
          <w:highlight w:val="none"/>
          <w:lang w:val="en-US" w:eastAsia="zh-CN"/>
        </w:rPr>
        <w:t>计算方法：</w:t>
      </w:r>
    </w:p>
    <w:p>
      <w:pPr>
        <w:tabs>
          <w:tab w:val="left" w:pos="426"/>
        </w:tabs>
        <w:spacing w:line="360" w:lineRule="exact"/>
        <w:ind w:firstLine="420" w:firstLineChars="200"/>
        <w:rPr>
          <w:color w:val="auto"/>
          <w:szCs w:val="21"/>
          <w:highlight w:val="none"/>
        </w:rPr>
      </w:pPr>
      <w:r>
        <w:rPr>
          <w:rFonts w:hint="eastAsia"/>
          <w:color w:val="auto"/>
          <w:szCs w:val="21"/>
          <w:highlight w:val="none"/>
        </w:rPr>
        <w:t>本工程的专业调整系数为</w:t>
      </w:r>
      <w:r>
        <w:rPr>
          <w:color w:val="auto"/>
          <w:szCs w:val="21"/>
          <w:highlight w:val="none"/>
          <w:u w:val="single"/>
        </w:rPr>
        <w:t xml:space="preserve"> </w:t>
      </w:r>
      <w:r>
        <w:rPr>
          <w:rFonts w:hint="eastAsia"/>
          <w:color w:val="auto"/>
          <w:szCs w:val="21"/>
          <w:highlight w:val="none"/>
          <w:u w:val="single"/>
        </w:rPr>
        <w:t>1.0</w:t>
      </w:r>
      <w:r>
        <w:rPr>
          <w:color w:val="auto"/>
          <w:szCs w:val="21"/>
          <w:highlight w:val="none"/>
          <w:u w:val="single"/>
        </w:rPr>
        <w:t xml:space="preserve"> </w:t>
      </w:r>
      <w:r>
        <w:rPr>
          <w:rFonts w:hint="eastAsia"/>
          <w:color w:val="auto"/>
          <w:szCs w:val="21"/>
          <w:highlight w:val="none"/>
        </w:rPr>
        <w:t>，工程复杂程度调整系数为</w:t>
      </w:r>
      <w:r>
        <w:rPr>
          <w:color w:val="auto"/>
          <w:szCs w:val="21"/>
          <w:highlight w:val="none"/>
          <w:u w:val="single"/>
        </w:rPr>
        <w:t xml:space="preserve"> </w:t>
      </w:r>
      <w:r>
        <w:rPr>
          <w:rFonts w:hint="eastAsia"/>
          <w:color w:val="auto"/>
          <w:szCs w:val="21"/>
          <w:highlight w:val="none"/>
          <w:u w:val="single"/>
        </w:rPr>
        <w:t>1.0</w:t>
      </w:r>
      <w:r>
        <w:rPr>
          <w:color w:val="auto"/>
          <w:szCs w:val="21"/>
          <w:highlight w:val="none"/>
          <w:u w:val="single"/>
        </w:rPr>
        <w:t xml:space="preserve"> </w:t>
      </w:r>
      <w:r>
        <w:rPr>
          <w:rFonts w:hint="eastAsia"/>
          <w:color w:val="auto"/>
          <w:szCs w:val="21"/>
          <w:highlight w:val="none"/>
        </w:rPr>
        <w:t>，高程调整系数为</w:t>
      </w:r>
      <w:r>
        <w:rPr>
          <w:color w:val="auto"/>
          <w:szCs w:val="21"/>
          <w:highlight w:val="none"/>
          <w:u w:val="single"/>
        </w:rPr>
        <w:t xml:space="preserve"> </w:t>
      </w:r>
      <w:r>
        <w:rPr>
          <w:rFonts w:hint="eastAsia"/>
          <w:color w:val="auto"/>
          <w:szCs w:val="21"/>
          <w:highlight w:val="none"/>
          <w:u w:val="single"/>
        </w:rPr>
        <w:t>1.0</w:t>
      </w:r>
      <w:r>
        <w:rPr>
          <w:color w:val="auto"/>
          <w:szCs w:val="21"/>
          <w:highlight w:val="none"/>
          <w:u w:val="single"/>
        </w:rPr>
        <w:t xml:space="preserve"> </w:t>
      </w:r>
      <w:r>
        <w:rPr>
          <w:rFonts w:hint="eastAsia"/>
          <w:color w:val="auto"/>
          <w:szCs w:val="21"/>
          <w:highlight w:val="none"/>
        </w:rPr>
        <w:t>。</w:t>
      </w:r>
    </w:p>
    <w:p>
      <w:pPr>
        <w:tabs>
          <w:tab w:val="left" w:pos="426"/>
        </w:tabs>
        <w:spacing w:line="360" w:lineRule="exact"/>
        <w:ind w:firstLine="420" w:firstLineChars="200"/>
        <w:rPr>
          <w:rFonts w:hint="default" w:eastAsia="宋体"/>
          <w:color w:val="auto"/>
          <w:szCs w:val="21"/>
          <w:highlight w:val="none"/>
          <w:lang w:val="en-US" w:eastAsia="zh-CN"/>
        </w:rPr>
      </w:pPr>
      <w:r>
        <w:rPr>
          <w:rFonts w:hint="eastAsia"/>
          <w:color w:val="auto"/>
          <w:szCs w:val="21"/>
          <w:highlight w:val="none"/>
          <w:lang w:val="en-US" w:eastAsia="zh-CN"/>
        </w:rPr>
        <w:t>本工程</w:t>
      </w:r>
      <w:r>
        <w:rPr>
          <w:rFonts w:hint="eastAsia"/>
          <w:color w:val="auto"/>
          <w:szCs w:val="21"/>
          <w:highlight w:val="none"/>
        </w:rPr>
        <w:t>监理服务酬金</w:t>
      </w:r>
      <w:r>
        <w:rPr>
          <w:rFonts w:hint="eastAsia"/>
          <w:color w:val="auto"/>
          <w:szCs w:val="21"/>
          <w:highlight w:val="none"/>
          <w:lang w:val="en-US" w:eastAsia="zh-CN"/>
        </w:rPr>
        <w:t>总额</w:t>
      </w:r>
      <w:r>
        <w:rPr>
          <w:rFonts w:hint="eastAsia"/>
          <w:color w:val="auto"/>
          <w:szCs w:val="21"/>
          <w:highlight w:val="none"/>
        </w:rPr>
        <w:t>＝</w:t>
      </w:r>
      <w:r>
        <w:rPr>
          <w:rFonts w:hint="eastAsia"/>
          <w:color w:val="auto"/>
          <w:szCs w:val="21"/>
          <w:highlight w:val="none"/>
          <w:lang w:val="en-US" w:eastAsia="zh-CN"/>
        </w:rPr>
        <w:t>本工程</w:t>
      </w:r>
      <w:r>
        <w:rPr>
          <w:rFonts w:hint="eastAsia"/>
          <w:color w:val="auto"/>
          <w:szCs w:val="21"/>
          <w:highlight w:val="none"/>
        </w:rPr>
        <w:t>监理服务酬金基价×专业调整系数×工程复杂程度调整系数×高程调整系数</w:t>
      </w:r>
    </w:p>
    <w:p>
      <w:pPr>
        <w:tabs>
          <w:tab w:val="left" w:pos="426"/>
        </w:tabs>
        <w:spacing w:line="360" w:lineRule="exact"/>
        <w:ind w:firstLine="2373" w:firstLineChars="1130"/>
        <w:rPr>
          <w:rFonts w:hint="default" w:eastAsia="宋体"/>
          <w:color w:val="auto"/>
          <w:szCs w:val="21"/>
          <w:highlight w:val="none"/>
          <w:u w:val="single"/>
          <w:lang w:val="en-US" w:eastAsia="zh-CN"/>
        </w:rPr>
      </w:pP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（万元）×</w:t>
      </w:r>
      <w:r>
        <w:rPr>
          <w:color w:val="auto"/>
          <w:szCs w:val="21"/>
          <w:highlight w:val="none"/>
          <w:u w:val="single"/>
        </w:rPr>
        <w:t xml:space="preserve"> </w:t>
      </w:r>
      <w:r>
        <w:rPr>
          <w:rFonts w:hint="eastAsia"/>
          <w:color w:val="auto"/>
          <w:szCs w:val="21"/>
          <w:highlight w:val="none"/>
          <w:u w:val="single"/>
        </w:rPr>
        <w:t>1.0</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u w:val="single"/>
        </w:rPr>
        <w:t>1.0</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u w:val="single"/>
        </w:rPr>
        <w:t>1.0</w:t>
      </w:r>
      <w:r>
        <w:rPr>
          <w:color w:val="auto"/>
          <w:szCs w:val="21"/>
          <w:highlight w:val="none"/>
          <w:u w:val="single"/>
        </w:rPr>
        <w:t xml:space="preserve"> </w:t>
      </w:r>
    </w:p>
    <w:p>
      <w:pPr>
        <w:tabs>
          <w:tab w:val="left" w:pos="426"/>
        </w:tabs>
        <w:spacing w:line="360" w:lineRule="exact"/>
        <w:ind w:firstLine="2373" w:firstLineChars="1130"/>
        <w:rPr>
          <w:color w:val="auto"/>
          <w:szCs w:val="21"/>
          <w:highlight w:val="none"/>
        </w:rPr>
      </w:pP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万元。</w:t>
      </w:r>
    </w:p>
    <w:p>
      <w:pPr>
        <w:tabs>
          <w:tab w:val="left" w:pos="426"/>
        </w:tabs>
        <w:spacing w:line="360" w:lineRule="exact"/>
        <w:ind w:firstLine="2520" w:firstLineChars="1200"/>
        <w:rPr>
          <w:rFonts w:hint="eastAsia"/>
          <w:color w:val="auto"/>
          <w:szCs w:val="21"/>
          <w:highlight w:val="none"/>
        </w:rPr>
      </w:pPr>
      <w:r>
        <w:rPr>
          <w:rFonts w:hint="eastAsia"/>
          <w:color w:val="auto"/>
          <w:szCs w:val="21"/>
          <w:highlight w:val="none"/>
        </w:rPr>
        <w:t xml:space="preserve">       </w:t>
      </w:r>
    </w:p>
    <w:p>
      <w:pPr>
        <w:pStyle w:val="2"/>
        <w:ind w:firstLine="422" w:firstLineChars="200"/>
      </w:pPr>
      <w:r>
        <w:rPr>
          <w:rFonts w:hint="eastAsia"/>
          <w:b/>
          <w:color w:val="auto"/>
          <w:kern w:val="18"/>
          <w:szCs w:val="21"/>
          <w:highlight w:val="none"/>
        </w:rPr>
        <w:t>本工程监理服务酬金总额包括施工阶段监理服务酬金和保修阶段监理服务酬金两部分</w:t>
      </w:r>
      <w:r>
        <w:rPr>
          <w:rFonts w:hint="eastAsia"/>
          <w:b/>
          <w:color w:val="auto"/>
          <w:kern w:val="18"/>
          <w:szCs w:val="21"/>
          <w:highlight w:val="none"/>
          <w:lang w:eastAsia="zh-CN"/>
        </w:rPr>
        <w:t>，</w:t>
      </w:r>
      <w:r>
        <w:rPr>
          <w:rFonts w:hint="eastAsia"/>
          <w:b/>
          <w:color w:val="auto"/>
          <w:kern w:val="18"/>
          <w:szCs w:val="21"/>
          <w:highlight w:val="none"/>
          <w:lang w:val="en-US" w:eastAsia="zh-CN"/>
        </w:rPr>
        <w:t>其中</w:t>
      </w:r>
      <w:r>
        <w:rPr>
          <w:rFonts w:hint="eastAsia"/>
          <w:b/>
          <w:color w:val="auto"/>
          <w:kern w:val="18"/>
          <w:szCs w:val="21"/>
          <w:highlight w:val="none"/>
        </w:rPr>
        <w:t>施工阶段监理服务酬金</w:t>
      </w:r>
      <w:r>
        <w:rPr>
          <w:rFonts w:hint="eastAsia"/>
          <w:b/>
          <w:color w:val="auto"/>
          <w:kern w:val="18"/>
          <w:szCs w:val="21"/>
          <w:highlight w:val="none"/>
          <w:lang w:val="en-US" w:eastAsia="zh-CN"/>
        </w:rPr>
        <w:t>占监理服务酬金总额的97%，</w:t>
      </w:r>
      <w:r>
        <w:rPr>
          <w:rFonts w:hint="eastAsia"/>
          <w:b/>
          <w:color w:val="auto"/>
          <w:kern w:val="18"/>
          <w:szCs w:val="21"/>
          <w:highlight w:val="none"/>
        </w:rPr>
        <w:t>保修阶段监理服务酬金</w:t>
      </w:r>
      <w:r>
        <w:rPr>
          <w:rFonts w:hint="eastAsia"/>
          <w:b/>
          <w:color w:val="auto"/>
          <w:kern w:val="18"/>
          <w:szCs w:val="21"/>
          <w:highlight w:val="none"/>
          <w:lang w:val="en-US" w:eastAsia="zh-CN"/>
        </w:rPr>
        <w:t>占监理服务酬金总额的3%。</w:t>
      </w:r>
    </w:p>
    <w:p>
      <w:pPr>
        <w:tabs>
          <w:tab w:val="left" w:pos="426"/>
        </w:tabs>
        <w:spacing w:line="360" w:lineRule="exact"/>
        <w:ind w:firstLine="420" w:firstLineChars="200"/>
        <w:rPr>
          <w:color w:val="auto"/>
          <w:szCs w:val="21"/>
          <w:highlight w:val="none"/>
        </w:rPr>
      </w:pPr>
      <w:r>
        <w:rPr>
          <w:rFonts w:hint="eastAsia"/>
          <w:color w:val="auto"/>
          <w:szCs w:val="21"/>
          <w:highlight w:val="none"/>
        </w:rPr>
        <w:t>该监理服务酬金总额为监理人在招标文件及合同约定的监理服务期限内完成约定的施工阶段</w:t>
      </w:r>
      <w:r>
        <w:rPr>
          <w:rFonts w:hint="eastAsia"/>
          <w:color w:val="auto"/>
          <w:szCs w:val="21"/>
          <w:highlight w:val="none"/>
          <w:lang w:val="en-US" w:eastAsia="zh-CN"/>
        </w:rPr>
        <w:t>及保修阶段</w:t>
      </w:r>
      <w:r>
        <w:rPr>
          <w:rFonts w:hint="eastAsia"/>
          <w:color w:val="auto"/>
          <w:szCs w:val="21"/>
          <w:highlight w:val="none"/>
        </w:rPr>
        <w:t>全部监理服务内容的总费用，但不包含附加工作和额外工作的监理服务费用，以及以下费用：</w:t>
      </w:r>
    </w:p>
    <w:p>
      <w:pPr>
        <w:tabs>
          <w:tab w:val="left" w:pos="426"/>
        </w:tabs>
        <w:spacing w:line="360" w:lineRule="exact"/>
        <w:ind w:firstLine="420" w:firstLineChars="200"/>
        <w:rPr>
          <w:color w:val="auto"/>
          <w:szCs w:val="21"/>
          <w:highlight w:val="none"/>
        </w:rPr>
      </w:pPr>
      <w:r>
        <w:rPr>
          <w:rFonts w:hint="eastAsia"/>
          <w:color w:val="auto"/>
          <w:szCs w:val="21"/>
          <w:highlight w:val="none"/>
        </w:rPr>
        <w:t>①</w:t>
      </w:r>
      <w:r>
        <w:rPr>
          <w:color w:val="auto"/>
          <w:szCs w:val="21"/>
          <w:highlight w:val="none"/>
        </w:rPr>
        <w:t xml:space="preserve"> </w:t>
      </w:r>
      <w:r>
        <w:rPr>
          <w:rFonts w:hint="eastAsia"/>
          <w:color w:val="auto"/>
          <w:szCs w:val="21"/>
          <w:highlight w:val="none"/>
        </w:rPr>
        <w:t>非监理人原因造成的工期拖延而要求监理人继续从事本工程监理服务工作的费用，如征地拆迁、重大工程变更等；</w:t>
      </w:r>
    </w:p>
    <w:p>
      <w:pPr>
        <w:tabs>
          <w:tab w:val="left" w:pos="426"/>
        </w:tabs>
        <w:spacing w:line="360" w:lineRule="exact"/>
        <w:ind w:firstLine="420" w:firstLineChars="200"/>
        <w:rPr>
          <w:color w:val="auto"/>
          <w:szCs w:val="21"/>
          <w:highlight w:val="none"/>
        </w:rPr>
      </w:pPr>
      <w:r>
        <w:rPr>
          <w:rFonts w:hint="eastAsia"/>
          <w:color w:val="auto"/>
          <w:szCs w:val="21"/>
          <w:highlight w:val="none"/>
        </w:rPr>
        <w:t>②</w:t>
      </w:r>
      <w:r>
        <w:rPr>
          <w:color w:val="auto"/>
          <w:szCs w:val="21"/>
          <w:highlight w:val="none"/>
        </w:rPr>
        <w:t xml:space="preserve"> </w:t>
      </w:r>
      <w:r>
        <w:rPr>
          <w:rFonts w:hint="eastAsia"/>
          <w:color w:val="auto"/>
          <w:szCs w:val="21"/>
          <w:highlight w:val="none"/>
        </w:rPr>
        <w:t>委托人要求监理人从事需要具有工程造价咨询资质、工程招标代理资质、工程质量检测资质或施工图审查资质才能执业的各项工作内容的费用，或委托人要求监理人委托工程造价咨询机构、工程招标代理机构、工程质量检测机构或施工图审查机构开展各项工作内容的费用；</w:t>
      </w:r>
    </w:p>
    <w:p>
      <w:pPr>
        <w:tabs>
          <w:tab w:val="left" w:pos="426"/>
        </w:tabs>
        <w:spacing w:line="360" w:lineRule="exact"/>
        <w:ind w:firstLine="420" w:firstLineChars="200"/>
        <w:rPr>
          <w:color w:val="auto"/>
          <w:szCs w:val="21"/>
          <w:highlight w:val="none"/>
        </w:rPr>
      </w:pPr>
      <w:r>
        <w:rPr>
          <w:rFonts w:hint="eastAsia"/>
          <w:color w:val="auto"/>
          <w:szCs w:val="21"/>
          <w:highlight w:val="none"/>
        </w:rPr>
        <w:t>③</w:t>
      </w:r>
      <w:r>
        <w:rPr>
          <w:color w:val="auto"/>
          <w:szCs w:val="21"/>
          <w:highlight w:val="none"/>
        </w:rPr>
        <w:t xml:space="preserve"> </w:t>
      </w:r>
      <w:r>
        <w:rPr>
          <w:rFonts w:hint="eastAsia"/>
          <w:color w:val="auto"/>
          <w:szCs w:val="21"/>
          <w:highlight w:val="none"/>
        </w:rPr>
        <w:t>向委托人提供任何专用人员、车辆以及其它任何设施的费用；</w:t>
      </w:r>
    </w:p>
    <w:p>
      <w:pPr>
        <w:tabs>
          <w:tab w:val="left" w:pos="426"/>
        </w:tabs>
        <w:spacing w:line="360" w:lineRule="exact"/>
        <w:ind w:firstLine="420" w:firstLineChars="200"/>
        <w:rPr>
          <w:color w:val="auto"/>
          <w:szCs w:val="21"/>
          <w:highlight w:val="none"/>
        </w:rPr>
      </w:pPr>
      <w:r>
        <w:rPr>
          <w:rFonts w:hint="eastAsia"/>
          <w:color w:val="auto"/>
          <w:szCs w:val="21"/>
          <w:highlight w:val="none"/>
        </w:rPr>
        <w:t>④工程所需的而非监理人监理工作范围内必须提供的专业顾问服务导致的聘用各类专家顾问的各项费用。</w:t>
      </w:r>
    </w:p>
    <w:p>
      <w:pPr>
        <w:tabs>
          <w:tab w:val="left" w:pos="426"/>
        </w:tabs>
        <w:ind w:firstLine="422" w:firstLineChars="200"/>
        <w:rPr>
          <w:b/>
          <w:color w:val="auto"/>
          <w:kern w:val="18"/>
          <w:szCs w:val="21"/>
          <w:highlight w:val="none"/>
        </w:rPr>
      </w:pPr>
      <w:r>
        <w:rPr>
          <w:rFonts w:hint="eastAsia"/>
          <w:b/>
          <w:color w:val="auto"/>
          <w:kern w:val="18"/>
          <w:szCs w:val="21"/>
          <w:highlight w:val="none"/>
        </w:rPr>
        <w:t>特别</w:t>
      </w:r>
      <w:r>
        <w:rPr>
          <w:b/>
          <w:color w:val="auto"/>
          <w:kern w:val="18"/>
          <w:szCs w:val="21"/>
          <w:highlight w:val="none"/>
        </w:rPr>
        <w:t xml:space="preserve">说明： </w:t>
      </w:r>
    </w:p>
    <w:p>
      <w:pPr>
        <w:tabs>
          <w:tab w:val="left" w:pos="426"/>
        </w:tabs>
        <w:ind w:firstLine="422" w:firstLineChars="200"/>
        <w:rPr>
          <w:b/>
          <w:color w:val="auto"/>
          <w:szCs w:val="21"/>
          <w:highlight w:val="none"/>
        </w:rPr>
      </w:pPr>
      <w:r>
        <w:rPr>
          <w:rFonts w:hint="eastAsia"/>
          <w:b/>
          <w:color w:val="auto"/>
          <w:kern w:val="18"/>
          <w:szCs w:val="21"/>
          <w:highlight w:val="none"/>
        </w:rPr>
        <w:t>本工程监理服务酬金总额结算时，监理服务酬金总额</w:t>
      </w:r>
      <w:r>
        <w:rPr>
          <w:b/>
          <w:color w:val="auto"/>
          <w:kern w:val="18"/>
          <w:szCs w:val="21"/>
          <w:highlight w:val="none"/>
        </w:rPr>
        <w:t>根据实际</w:t>
      </w:r>
      <w:r>
        <w:rPr>
          <w:rFonts w:hint="eastAsia"/>
          <w:b/>
          <w:color w:val="auto"/>
          <w:kern w:val="18"/>
          <w:szCs w:val="21"/>
          <w:highlight w:val="none"/>
        </w:rPr>
        <w:t>最终结算</w:t>
      </w:r>
      <w:r>
        <w:rPr>
          <w:rFonts w:hint="eastAsia"/>
          <w:b/>
          <w:color w:val="auto"/>
          <w:kern w:val="18"/>
          <w:szCs w:val="21"/>
          <w:highlight w:val="none"/>
          <w:lang w:val="en-US" w:eastAsia="zh-CN"/>
        </w:rPr>
        <w:t>工程建设费用</w:t>
      </w:r>
      <w:r>
        <w:rPr>
          <w:b/>
          <w:color w:val="auto"/>
          <w:kern w:val="18"/>
          <w:szCs w:val="21"/>
          <w:highlight w:val="none"/>
        </w:rPr>
        <w:t>及投标</w:t>
      </w:r>
      <w:r>
        <w:rPr>
          <w:rFonts w:hint="eastAsia"/>
          <w:b/>
          <w:color w:val="auto"/>
          <w:kern w:val="18"/>
          <w:szCs w:val="21"/>
          <w:highlight w:val="none"/>
          <w:lang w:val="en-US" w:eastAsia="zh-CN"/>
        </w:rPr>
        <w:t>费</w:t>
      </w:r>
      <w:r>
        <w:rPr>
          <w:b/>
          <w:color w:val="auto"/>
          <w:kern w:val="18"/>
          <w:szCs w:val="21"/>
          <w:highlight w:val="none"/>
        </w:rPr>
        <w:t>率重新核算。</w:t>
      </w:r>
      <w:r>
        <w:rPr>
          <w:rFonts w:hint="eastAsia"/>
          <w:b/>
          <w:color w:val="auto"/>
          <w:kern w:val="18"/>
          <w:szCs w:val="21"/>
          <w:highlight w:val="none"/>
        </w:rPr>
        <w:t>以最终结算的</w:t>
      </w:r>
      <w:r>
        <w:rPr>
          <w:rFonts w:hint="eastAsia"/>
          <w:b/>
          <w:color w:val="auto"/>
          <w:kern w:val="18"/>
          <w:szCs w:val="21"/>
          <w:highlight w:val="none"/>
          <w:lang w:val="en-US" w:eastAsia="zh-CN"/>
        </w:rPr>
        <w:t>工程建设费用</w:t>
      </w:r>
      <w:r>
        <w:rPr>
          <w:rFonts w:hint="eastAsia"/>
          <w:b/>
          <w:color w:val="auto"/>
          <w:kern w:val="18"/>
          <w:szCs w:val="21"/>
          <w:highlight w:val="none"/>
        </w:rPr>
        <w:t>作为监理酬金计费额</w:t>
      </w:r>
      <w:r>
        <w:rPr>
          <w:rFonts w:hint="eastAsia"/>
          <w:b/>
          <w:color w:val="auto"/>
          <w:kern w:val="18"/>
          <w:szCs w:val="21"/>
          <w:highlight w:val="none"/>
          <w:lang w:val="en-US" w:eastAsia="zh-CN"/>
        </w:rPr>
        <w:t>依据</w:t>
      </w:r>
      <w:r>
        <w:rPr>
          <w:rFonts w:hint="eastAsia"/>
          <w:b/>
          <w:color w:val="auto"/>
          <w:kern w:val="18"/>
          <w:szCs w:val="21"/>
          <w:highlight w:val="none"/>
        </w:rPr>
        <w:t>，但监理服务酬金结算价</w:t>
      </w:r>
      <w:r>
        <w:rPr>
          <w:rFonts w:hint="eastAsia"/>
          <w:b/>
          <w:color w:val="auto"/>
          <w:kern w:val="18"/>
          <w:szCs w:val="21"/>
          <w:highlight w:val="none"/>
          <w:lang w:val="en-US" w:eastAsia="zh-CN"/>
        </w:rPr>
        <w:t>总金额</w:t>
      </w:r>
      <w:r>
        <w:rPr>
          <w:rFonts w:hint="eastAsia"/>
          <w:b/>
          <w:color w:val="auto"/>
          <w:kern w:val="18"/>
          <w:szCs w:val="21"/>
          <w:highlight w:val="none"/>
        </w:rPr>
        <w:t>最高为</w:t>
      </w:r>
      <w:r>
        <w:rPr>
          <w:rFonts w:hint="eastAsia"/>
          <w:b/>
          <w:color w:val="FF0000"/>
          <w:kern w:val="18"/>
          <w:szCs w:val="21"/>
          <w:highlight w:val="none"/>
          <w:lang w:val="en-US" w:eastAsia="zh-CN"/>
        </w:rPr>
        <w:t>23.37</w:t>
      </w:r>
      <w:r>
        <w:rPr>
          <w:rFonts w:hint="eastAsia"/>
          <w:b/>
          <w:color w:val="auto"/>
          <w:kern w:val="18"/>
          <w:szCs w:val="21"/>
          <w:highlight w:val="none"/>
        </w:rPr>
        <w:t>万元。若监理服务酬金结算价</w:t>
      </w:r>
      <w:r>
        <w:rPr>
          <w:rFonts w:hint="eastAsia"/>
          <w:b/>
          <w:color w:val="auto"/>
          <w:kern w:val="18"/>
          <w:szCs w:val="21"/>
          <w:highlight w:val="none"/>
          <w:lang w:val="en-US" w:eastAsia="zh-CN"/>
        </w:rPr>
        <w:t>总金额</w:t>
      </w:r>
      <w:r>
        <w:rPr>
          <w:rFonts w:hint="eastAsia"/>
          <w:b/>
          <w:color w:val="auto"/>
          <w:kern w:val="18"/>
          <w:szCs w:val="21"/>
          <w:highlight w:val="none"/>
        </w:rPr>
        <w:t>超过</w:t>
      </w:r>
      <w:r>
        <w:rPr>
          <w:rFonts w:hint="eastAsia"/>
          <w:b/>
          <w:color w:val="FF0000"/>
          <w:kern w:val="18"/>
          <w:szCs w:val="21"/>
          <w:highlight w:val="none"/>
          <w:lang w:val="en-US" w:eastAsia="zh-CN"/>
        </w:rPr>
        <w:t>23.37</w:t>
      </w:r>
      <w:r>
        <w:rPr>
          <w:rFonts w:hint="eastAsia"/>
          <w:b/>
          <w:color w:val="auto"/>
          <w:kern w:val="18"/>
          <w:szCs w:val="21"/>
          <w:highlight w:val="none"/>
        </w:rPr>
        <w:t>万元，则最终监理服务酬金结算价</w:t>
      </w:r>
      <w:r>
        <w:rPr>
          <w:rFonts w:hint="eastAsia"/>
          <w:b/>
          <w:color w:val="auto"/>
          <w:kern w:val="18"/>
          <w:szCs w:val="21"/>
          <w:highlight w:val="none"/>
          <w:lang w:val="en-US" w:eastAsia="zh-CN"/>
        </w:rPr>
        <w:t>总金额</w:t>
      </w:r>
      <w:r>
        <w:rPr>
          <w:rFonts w:hint="eastAsia"/>
          <w:b/>
          <w:color w:val="auto"/>
          <w:kern w:val="18"/>
          <w:szCs w:val="21"/>
          <w:highlight w:val="none"/>
        </w:rPr>
        <w:t>为</w:t>
      </w:r>
      <w:r>
        <w:rPr>
          <w:rFonts w:hint="eastAsia"/>
          <w:b/>
          <w:color w:val="FF0000"/>
          <w:kern w:val="18"/>
          <w:szCs w:val="21"/>
          <w:highlight w:val="none"/>
          <w:lang w:val="en-US" w:eastAsia="zh-CN"/>
        </w:rPr>
        <w:t>23.37</w:t>
      </w:r>
      <w:r>
        <w:rPr>
          <w:rFonts w:hint="eastAsia"/>
          <w:b/>
          <w:color w:val="auto"/>
          <w:kern w:val="18"/>
          <w:szCs w:val="21"/>
          <w:highlight w:val="none"/>
        </w:rPr>
        <w:t>万元。</w:t>
      </w:r>
    </w:p>
    <w:p>
      <w:pPr>
        <w:tabs>
          <w:tab w:val="left" w:pos="426"/>
        </w:tabs>
        <w:spacing w:line="360" w:lineRule="exact"/>
        <w:ind w:firstLine="420" w:firstLineChars="200"/>
        <w:rPr>
          <w:color w:val="auto"/>
          <w:szCs w:val="21"/>
          <w:highlight w:val="none"/>
        </w:rPr>
      </w:pPr>
    </w:p>
    <w:p>
      <w:pPr>
        <w:tabs>
          <w:tab w:val="left" w:pos="426"/>
        </w:tabs>
        <w:spacing w:before="20" w:after="20" w:line="36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w:t>
      </w:r>
      <w:r>
        <w:rPr>
          <w:rFonts w:ascii="黑体" w:eastAsia="黑体"/>
          <w:color w:val="auto"/>
          <w:kern w:val="18"/>
          <w:sz w:val="22"/>
          <w:szCs w:val="22"/>
          <w:highlight w:val="none"/>
        </w:rPr>
        <w:t>1</w:t>
      </w:r>
      <w:r>
        <w:rPr>
          <w:rFonts w:hint="eastAsia" w:ascii="黑体" w:eastAsia="黑体"/>
          <w:color w:val="auto"/>
          <w:kern w:val="18"/>
          <w:sz w:val="22"/>
          <w:szCs w:val="22"/>
          <w:highlight w:val="none"/>
        </w:rPr>
        <w:t>2条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酬金支付</w:t>
      </w:r>
    </w:p>
    <w:p>
      <w:pPr>
        <w:tabs>
          <w:tab w:val="left" w:pos="426"/>
        </w:tabs>
        <w:spacing w:line="360" w:lineRule="exact"/>
        <w:ind w:firstLine="422" w:firstLineChars="200"/>
        <w:rPr>
          <w:b/>
          <w:color w:val="auto"/>
          <w:szCs w:val="21"/>
          <w:highlight w:val="none"/>
        </w:rPr>
      </w:pPr>
      <w:r>
        <w:rPr>
          <w:b/>
          <w:color w:val="auto"/>
          <w:szCs w:val="21"/>
          <w:highlight w:val="none"/>
        </w:rPr>
        <w:t>1</w:t>
      </w:r>
      <w:r>
        <w:rPr>
          <w:rFonts w:hint="eastAsia"/>
          <w:b/>
          <w:color w:val="auto"/>
          <w:szCs w:val="21"/>
          <w:highlight w:val="none"/>
        </w:rPr>
        <w:t>2</w:t>
      </w:r>
      <w:r>
        <w:rPr>
          <w:b/>
          <w:color w:val="auto"/>
          <w:szCs w:val="21"/>
          <w:highlight w:val="none"/>
        </w:rPr>
        <w:t xml:space="preserve">.1 </w:t>
      </w:r>
      <w:r>
        <w:rPr>
          <w:rFonts w:hint="eastAsia"/>
          <w:b/>
          <w:color w:val="auto"/>
          <w:szCs w:val="21"/>
          <w:highlight w:val="none"/>
        </w:rPr>
        <w:t>施工阶段监理服务酬金支付</w:t>
      </w:r>
    </w:p>
    <w:p>
      <w:pPr>
        <w:tabs>
          <w:tab w:val="left" w:pos="426"/>
        </w:tabs>
        <w:spacing w:line="360" w:lineRule="exact"/>
        <w:ind w:firstLine="422" w:firstLineChars="200"/>
        <w:rPr>
          <w:b/>
          <w:color w:val="auto"/>
          <w:szCs w:val="21"/>
          <w:highlight w:val="none"/>
        </w:rPr>
      </w:pPr>
      <w:r>
        <w:rPr>
          <w:rFonts w:hint="eastAsia"/>
          <w:b/>
          <w:color w:val="auto"/>
          <w:szCs w:val="21"/>
          <w:highlight w:val="none"/>
        </w:rPr>
        <w:t>⑴</w:t>
      </w:r>
      <w:r>
        <w:rPr>
          <w:b/>
          <w:color w:val="auto"/>
          <w:szCs w:val="21"/>
          <w:highlight w:val="none"/>
        </w:rPr>
        <w:t>.</w:t>
      </w:r>
      <w:r>
        <w:rPr>
          <w:rFonts w:hint="eastAsia"/>
          <w:b/>
          <w:color w:val="auto"/>
          <w:szCs w:val="21"/>
          <w:highlight w:val="none"/>
        </w:rPr>
        <w:t>预付款支付</w:t>
      </w:r>
    </w:p>
    <w:p>
      <w:pPr>
        <w:tabs>
          <w:tab w:val="left" w:pos="426"/>
        </w:tabs>
        <w:spacing w:line="360" w:lineRule="exact"/>
        <w:ind w:firstLine="420" w:firstLineChars="200"/>
        <w:rPr>
          <w:color w:val="auto"/>
          <w:szCs w:val="21"/>
          <w:highlight w:val="none"/>
        </w:rPr>
      </w:pPr>
      <w:r>
        <w:rPr>
          <w:rFonts w:hint="eastAsia"/>
          <w:color w:val="auto"/>
          <w:szCs w:val="21"/>
          <w:highlight w:val="none"/>
        </w:rPr>
        <w:t>本监理工程预付款为合同</w:t>
      </w:r>
      <w:r>
        <w:rPr>
          <w:rFonts w:hint="eastAsia"/>
          <w:color w:val="auto"/>
          <w:szCs w:val="21"/>
          <w:highlight w:val="none"/>
          <w:lang w:val="en-US" w:eastAsia="zh-CN"/>
        </w:rPr>
        <w:t>暂定价款总</w:t>
      </w:r>
      <w:r>
        <w:rPr>
          <w:rFonts w:hint="eastAsia"/>
          <w:color w:val="auto"/>
          <w:szCs w:val="21"/>
          <w:highlight w:val="none"/>
        </w:rPr>
        <w:t>额的30%。</w:t>
      </w:r>
    </w:p>
    <w:p>
      <w:pPr>
        <w:tabs>
          <w:tab w:val="left" w:pos="426"/>
        </w:tabs>
        <w:spacing w:line="360" w:lineRule="exact"/>
        <w:ind w:firstLine="420" w:firstLineChars="200"/>
        <w:rPr>
          <w:color w:val="auto"/>
          <w:szCs w:val="21"/>
          <w:highlight w:val="none"/>
        </w:rPr>
      </w:pPr>
      <w:r>
        <w:rPr>
          <w:rFonts w:hint="eastAsia"/>
          <w:color w:val="auto"/>
          <w:szCs w:val="21"/>
          <w:highlight w:val="none"/>
        </w:rPr>
        <w:t>自本合同签订之日起15个工作日内，根据</w:t>
      </w:r>
      <w:r>
        <w:rPr>
          <w:rFonts w:hint="eastAsia"/>
          <w:color w:val="auto"/>
          <w:szCs w:val="21"/>
          <w:highlight w:val="none"/>
          <w:lang w:val="en-US" w:eastAsia="zh-CN"/>
        </w:rPr>
        <w:t>监理人</w:t>
      </w:r>
      <w:r>
        <w:rPr>
          <w:rFonts w:hint="eastAsia"/>
          <w:color w:val="auto"/>
          <w:szCs w:val="21"/>
          <w:highlight w:val="none"/>
        </w:rPr>
        <w:t>提出的付款申请，</w:t>
      </w:r>
      <w:r>
        <w:rPr>
          <w:rFonts w:hint="eastAsia"/>
          <w:color w:val="auto"/>
          <w:szCs w:val="21"/>
          <w:highlight w:val="none"/>
          <w:lang w:val="en-US" w:eastAsia="zh-CN"/>
        </w:rPr>
        <w:t>委托人</w:t>
      </w:r>
      <w:r>
        <w:rPr>
          <w:rFonts w:hint="eastAsia"/>
          <w:color w:val="auto"/>
          <w:szCs w:val="21"/>
          <w:highlight w:val="none"/>
        </w:rPr>
        <w:t>向</w:t>
      </w:r>
      <w:r>
        <w:rPr>
          <w:rFonts w:hint="eastAsia"/>
          <w:color w:val="auto"/>
          <w:szCs w:val="21"/>
          <w:highlight w:val="none"/>
          <w:lang w:val="en-US" w:eastAsia="zh-CN"/>
        </w:rPr>
        <w:t>监理人</w:t>
      </w:r>
      <w:r>
        <w:rPr>
          <w:rFonts w:hint="eastAsia"/>
          <w:color w:val="auto"/>
          <w:szCs w:val="21"/>
          <w:highlight w:val="none"/>
        </w:rPr>
        <w:t xml:space="preserve">支付人民币 </w:t>
      </w:r>
    </w:p>
    <w:p>
      <w:pPr>
        <w:tabs>
          <w:tab w:val="left" w:pos="426"/>
        </w:tabs>
        <w:spacing w:line="360" w:lineRule="exact"/>
        <w:ind w:firstLine="420" w:firstLineChars="200"/>
        <w:rPr>
          <w:color w:val="auto"/>
          <w:szCs w:val="21"/>
          <w:highlight w:val="none"/>
        </w:rPr>
      </w:pPr>
      <w:r>
        <w:rPr>
          <w:rFonts w:hint="eastAsia"/>
          <w:color w:val="auto"/>
          <w:szCs w:val="21"/>
          <w:highlight w:val="none"/>
          <w:u w:val="single"/>
        </w:rPr>
        <w:t xml:space="preserve">         </w:t>
      </w:r>
      <w:r>
        <w:rPr>
          <w:rFonts w:hint="eastAsia"/>
          <w:color w:val="auto"/>
          <w:szCs w:val="21"/>
          <w:highlight w:val="none"/>
        </w:rPr>
        <w:t>元整，小写￥</w:t>
      </w:r>
      <w:r>
        <w:rPr>
          <w:rFonts w:hint="eastAsia"/>
          <w:color w:val="auto"/>
          <w:szCs w:val="21"/>
          <w:highlight w:val="none"/>
          <w:u w:val="single"/>
        </w:rPr>
        <w:t xml:space="preserve">        </w:t>
      </w:r>
      <w:r>
        <w:rPr>
          <w:rFonts w:hint="eastAsia"/>
          <w:color w:val="auto"/>
          <w:szCs w:val="21"/>
          <w:highlight w:val="none"/>
        </w:rPr>
        <w:t>元。</w:t>
      </w:r>
    </w:p>
    <w:p>
      <w:pPr>
        <w:tabs>
          <w:tab w:val="left" w:pos="426"/>
        </w:tabs>
        <w:spacing w:line="360" w:lineRule="exact"/>
        <w:ind w:firstLine="422" w:firstLineChars="200"/>
        <w:rPr>
          <w:b/>
          <w:color w:val="auto"/>
          <w:szCs w:val="21"/>
          <w:highlight w:val="none"/>
        </w:rPr>
      </w:pPr>
      <w:r>
        <w:rPr>
          <w:rFonts w:hint="eastAsia"/>
          <w:b/>
          <w:color w:val="auto"/>
          <w:szCs w:val="21"/>
          <w:highlight w:val="none"/>
        </w:rPr>
        <w:t>(2)</w:t>
      </w:r>
      <w:r>
        <w:rPr>
          <w:b/>
          <w:color w:val="auto"/>
          <w:szCs w:val="21"/>
          <w:highlight w:val="none"/>
        </w:rPr>
        <w:t>.</w:t>
      </w:r>
      <w:r>
        <w:rPr>
          <w:rFonts w:hint="eastAsia"/>
          <w:b/>
          <w:color w:val="auto"/>
          <w:szCs w:val="21"/>
          <w:highlight w:val="none"/>
        </w:rPr>
        <w:t>工程竣工验收款支付</w:t>
      </w:r>
    </w:p>
    <w:p>
      <w:pPr>
        <w:tabs>
          <w:tab w:val="left" w:pos="426"/>
        </w:tabs>
        <w:spacing w:line="360" w:lineRule="exact"/>
        <w:ind w:firstLine="420" w:firstLineChars="200"/>
        <w:rPr>
          <w:color w:val="auto"/>
          <w:szCs w:val="21"/>
          <w:highlight w:val="none"/>
        </w:rPr>
      </w:pPr>
      <w:r>
        <w:rPr>
          <w:rFonts w:hint="eastAsia"/>
          <w:color w:val="auto"/>
          <w:szCs w:val="21"/>
          <w:highlight w:val="none"/>
        </w:rPr>
        <w:t>本监理工程工程竣工验收款付款至</w:t>
      </w:r>
      <w:r>
        <w:rPr>
          <w:rFonts w:hint="eastAsia"/>
          <w:color w:val="auto"/>
          <w:szCs w:val="21"/>
          <w:highlight w:val="none"/>
          <w:lang w:val="en-US" w:eastAsia="zh-CN"/>
        </w:rPr>
        <w:t>监理服务酬金总额</w:t>
      </w:r>
      <w:r>
        <w:rPr>
          <w:rFonts w:hint="eastAsia"/>
          <w:color w:val="auto"/>
          <w:szCs w:val="21"/>
          <w:highlight w:val="none"/>
        </w:rPr>
        <w:t>的</w:t>
      </w:r>
      <w:r>
        <w:rPr>
          <w:rFonts w:hint="eastAsia"/>
          <w:color w:val="auto"/>
          <w:szCs w:val="21"/>
          <w:highlight w:val="none"/>
          <w:lang w:val="en-US" w:eastAsia="zh-CN"/>
        </w:rPr>
        <w:t>97</w:t>
      </w:r>
      <w:r>
        <w:rPr>
          <w:rFonts w:hint="eastAsia"/>
          <w:color w:val="auto"/>
          <w:szCs w:val="21"/>
          <w:highlight w:val="none"/>
        </w:rPr>
        <w:t>%。</w:t>
      </w:r>
    </w:p>
    <w:p>
      <w:pPr>
        <w:tabs>
          <w:tab w:val="left" w:pos="426"/>
        </w:tabs>
        <w:spacing w:line="360" w:lineRule="exact"/>
        <w:ind w:firstLine="420" w:firstLineChars="200"/>
        <w:rPr>
          <w:color w:val="auto"/>
          <w:szCs w:val="21"/>
          <w:highlight w:val="none"/>
        </w:rPr>
      </w:pPr>
      <w:r>
        <w:rPr>
          <w:rFonts w:hint="eastAsia"/>
          <w:color w:val="auto"/>
          <w:kern w:val="18"/>
          <w:szCs w:val="21"/>
          <w:highlight w:val="none"/>
        </w:rPr>
        <w:t>结算时，</w:t>
      </w:r>
      <w:r>
        <w:rPr>
          <w:rFonts w:hint="eastAsia"/>
          <w:color w:val="auto"/>
          <w:szCs w:val="21"/>
          <w:highlight w:val="none"/>
          <w:lang w:val="en-US" w:eastAsia="zh-CN"/>
        </w:rPr>
        <w:t>监理服务酬金总</w:t>
      </w:r>
      <w:r>
        <w:rPr>
          <w:rFonts w:hint="eastAsia"/>
          <w:color w:val="auto"/>
          <w:kern w:val="18"/>
          <w:szCs w:val="21"/>
          <w:highlight w:val="none"/>
          <w:lang w:eastAsia="zh-CN"/>
        </w:rPr>
        <w:t>额</w:t>
      </w:r>
      <w:r>
        <w:rPr>
          <w:rFonts w:hint="eastAsia"/>
          <w:color w:val="auto"/>
          <w:kern w:val="18"/>
          <w:szCs w:val="21"/>
          <w:highlight w:val="none"/>
        </w:rPr>
        <w:t>以</w:t>
      </w:r>
      <w:r>
        <w:rPr>
          <w:rFonts w:hint="eastAsia"/>
          <w:color w:val="auto"/>
          <w:kern w:val="18"/>
          <w:szCs w:val="21"/>
          <w:highlight w:val="none"/>
          <w:lang w:val="en-US" w:eastAsia="zh-CN"/>
        </w:rPr>
        <w:t>经政府审计机构审计的</w:t>
      </w:r>
      <w:r>
        <w:rPr>
          <w:rFonts w:hint="eastAsia"/>
          <w:color w:val="auto"/>
          <w:kern w:val="18"/>
          <w:szCs w:val="21"/>
          <w:highlight w:val="none"/>
        </w:rPr>
        <w:t>工程</w:t>
      </w:r>
      <w:r>
        <w:rPr>
          <w:rFonts w:hint="eastAsia"/>
          <w:color w:val="auto"/>
          <w:kern w:val="18"/>
          <w:szCs w:val="21"/>
          <w:highlight w:val="none"/>
          <w:lang w:val="en-US" w:eastAsia="zh-CN"/>
        </w:rPr>
        <w:t>建设费用</w:t>
      </w:r>
      <w:r>
        <w:rPr>
          <w:rFonts w:hint="eastAsia"/>
          <w:color w:val="auto"/>
          <w:kern w:val="18"/>
          <w:szCs w:val="21"/>
          <w:highlight w:val="none"/>
        </w:rPr>
        <w:t>结算价为取费基数计算。</w:t>
      </w:r>
    </w:p>
    <w:p>
      <w:pPr>
        <w:tabs>
          <w:tab w:val="left" w:pos="426"/>
        </w:tabs>
        <w:spacing w:line="360" w:lineRule="exact"/>
        <w:ind w:firstLine="422" w:firstLineChars="200"/>
        <w:rPr>
          <w:b/>
          <w:color w:val="auto"/>
          <w:szCs w:val="21"/>
          <w:highlight w:val="none"/>
        </w:rPr>
      </w:pPr>
      <w:r>
        <w:rPr>
          <w:b/>
          <w:color w:val="auto"/>
          <w:szCs w:val="21"/>
          <w:highlight w:val="none"/>
        </w:rPr>
        <w:t xml:space="preserve">12.2 </w:t>
      </w:r>
      <w:r>
        <w:rPr>
          <w:rFonts w:hint="eastAsia"/>
          <w:b/>
          <w:color w:val="auto"/>
          <w:szCs w:val="21"/>
          <w:highlight w:val="none"/>
        </w:rPr>
        <w:t>保修阶段服务酬金支付</w:t>
      </w:r>
    </w:p>
    <w:p>
      <w:pPr>
        <w:tabs>
          <w:tab w:val="left" w:pos="426"/>
        </w:tabs>
        <w:spacing w:line="360" w:lineRule="exact"/>
        <w:ind w:firstLine="420" w:firstLineChars="200"/>
        <w:rPr>
          <w:color w:val="auto"/>
          <w:szCs w:val="21"/>
          <w:highlight w:val="none"/>
        </w:rPr>
      </w:pPr>
      <w:r>
        <w:rPr>
          <w:rFonts w:hint="eastAsia"/>
          <w:color w:val="auto"/>
          <w:szCs w:val="21"/>
          <w:highlight w:val="none"/>
        </w:rPr>
        <w:t>保修阶段服务</w:t>
      </w:r>
      <w:r>
        <w:rPr>
          <w:rFonts w:hint="eastAsia"/>
          <w:color w:val="auto"/>
          <w:kern w:val="18"/>
          <w:szCs w:val="21"/>
          <w:highlight w:val="none"/>
        </w:rPr>
        <w:t>酬金</w:t>
      </w:r>
      <w:r>
        <w:rPr>
          <w:rFonts w:hint="eastAsia"/>
          <w:color w:val="auto"/>
          <w:szCs w:val="21"/>
          <w:highlight w:val="none"/>
        </w:rPr>
        <w:t>的支付采取下列方式：</w:t>
      </w:r>
    </w:p>
    <w:p>
      <w:pPr>
        <w:tabs>
          <w:tab w:val="left" w:pos="426"/>
        </w:tabs>
        <w:spacing w:line="360" w:lineRule="exact"/>
        <w:ind w:firstLine="420" w:firstLineChars="200"/>
        <w:rPr>
          <w:color w:val="auto"/>
          <w:kern w:val="18"/>
          <w:szCs w:val="21"/>
          <w:highlight w:val="none"/>
        </w:rPr>
      </w:pPr>
      <w:r>
        <w:rPr>
          <w:rFonts w:hint="eastAsia"/>
          <w:color w:val="auto"/>
          <w:kern w:val="18"/>
          <w:szCs w:val="21"/>
          <w:highlight w:val="none"/>
          <w:lang w:val="en-US" w:eastAsia="zh-CN"/>
        </w:rPr>
        <w:t>保修期结束后</w:t>
      </w:r>
      <w:r>
        <w:rPr>
          <w:rFonts w:hint="eastAsia"/>
          <w:color w:val="auto"/>
          <w:kern w:val="18"/>
          <w:szCs w:val="21"/>
          <w:highlight w:val="none"/>
        </w:rPr>
        <w:t>一次性支付</w:t>
      </w:r>
      <w:r>
        <w:rPr>
          <w:color w:val="auto"/>
          <w:kern w:val="18"/>
          <w:szCs w:val="21"/>
          <w:highlight w:val="none"/>
        </w:rPr>
        <w:t>,</w:t>
      </w:r>
      <w:r>
        <w:rPr>
          <w:rFonts w:hint="eastAsia"/>
          <w:color w:val="auto"/>
          <w:kern w:val="18"/>
          <w:szCs w:val="21"/>
          <w:highlight w:val="none"/>
          <w:lang w:val="en-US" w:eastAsia="zh-CN"/>
        </w:rPr>
        <w:t>保修阶段监理服务酬金为结算监理服务酬金总额的3%。</w:t>
      </w:r>
    </w:p>
    <w:p>
      <w:pPr>
        <w:tabs>
          <w:tab w:val="left" w:pos="426"/>
        </w:tabs>
        <w:spacing w:before="20" w:after="20" w:line="36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第13条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支付货币</w:t>
      </w:r>
    </w:p>
    <w:p>
      <w:pPr>
        <w:tabs>
          <w:tab w:val="left" w:pos="426"/>
        </w:tabs>
        <w:spacing w:line="360" w:lineRule="exact"/>
        <w:ind w:firstLine="420" w:firstLineChars="200"/>
        <w:rPr>
          <w:color w:val="auto"/>
          <w:kern w:val="18"/>
          <w:szCs w:val="21"/>
          <w:highlight w:val="none"/>
        </w:rPr>
      </w:pPr>
      <w:r>
        <w:rPr>
          <w:rFonts w:hint="eastAsia"/>
          <w:color w:val="auto"/>
          <w:kern w:val="18"/>
          <w:szCs w:val="21"/>
          <w:highlight w:val="none"/>
        </w:rPr>
        <w:t>支付货币为人民币。</w:t>
      </w:r>
      <w:r>
        <w:rPr>
          <w:rFonts w:hint="eastAsia"/>
          <w:color w:val="auto"/>
          <w:szCs w:val="21"/>
          <w:highlight w:val="none"/>
        </w:rPr>
        <w:t>上述每期款项均在</w:t>
      </w:r>
      <w:r>
        <w:rPr>
          <w:rFonts w:hint="eastAsia"/>
          <w:color w:val="auto"/>
          <w:szCs w:val="21"/>
          <w:highlight w:val="none"/>
          <w:lang w:eastAsia="zh-CN"/>
        </w:rPr>
        <w:t>委托人</w:t>
      </w:r>
      <w:r>
        <w:rPr>
          <w:rFonts w:hint="eastAsia"/>
          <w:color w:val="auto"/>
          <w:szCs w:val="21"/>
          <w:highlight w:val="none"/>
        </w:rPr>
        <w:t>收到</w:t>
      </w:r>
      <w:r>
        <w:rPr>
          <w:rFonts w:hint="eastAsia"/>
          <w:color w:val="auto"/>
          <w:szCs w:val="21"/>
          <w:highlight w:val="none"/>
          <w:lang w:eastAsia="zh-CN"/>
        </w:rPr>
        <w:t>监理人</w:t>
      </w:r>
      <w:r>
        <w:rPr>
          <w:rFonts w:hint="eastAsia"/>
          <w:color w:val="auto"/>
          <w:szCs w:val="21"/>
          <w:highlight w:val="none"/>
        </w:rPr>
        <w:t>开具的载明相应金额的正式发票后15个工作日内支付。如未及时收到发票，则</w:t>
      </w:r>
      <w:r>
        <w:rPr>
          <w:rFonts w:hint="eastAsia"/>
          <w:color w:val="auto"/>
          <w:szCs w:val="21"/>
          <w:highlight w:val="none"/>
          <w:lang w:eastAsia="zh-CN"/>
        </w:rPr>
        <w:t>委托人</w:t>
      </w:r>
      <w:r>
        <w:rPr>
          <w:rFonts w:hint="eastAsia"/>
          <w:color w:val="auto"/>
          <w:szCs w:val="21"/>
          <w:highlight w:val="none"/>
        </w:rPr>
        <w:t>付款时间相应顺延。若因</w:t>
      </w:r>
      <w:r>
        <w:rPr>
          <w:rFonts w:hint="eastAsia"/>
          <w:color w:val="auto"/>
          <w:szCs w:val="21"/>
          <w:highlight w:val="none"/>
          <w:lang w:eastAsia="zh-CN"/>
        </w:rPr>
        <w:t>委托人</w:t>
      </w:r>
      <w:r>
        <w:rPr>
          <w:rFonts w:hint="eastAsia"/>
          <w:color w:val="auto"/>
          <w:szCs w:val="21"/>
          <w:highlight w:val="none"/>
        </w:rPr>
        <w:t>付款审批影响支付进度，请</w:t>
      </w:r>
      <w:r>
        <w:rPr>
          <w:rFonts w:hint="eastAsia"/>
          <w:color w:val="auto"/>
          <w:szCs w:val="21"/>
          <w:highlight w:val="none"/>
          <w:lang w:eastAsia="zh-CN"/>
        </w:rPr>
        <w:t>监理人</w:t>
      </w:r>
      <w:r>
        <w:rPr>
          <w:rFonts w:hint="eastAsia"/>
          <w:color w:val="auto"/>
          <w:szCs w:val="21"/>
          <w:highlight w:val="none"/>
        </w:rPr>
        <w:t>予以谅解，并不得就此向</w:t>
      </w:r>
      <w:r>
        <w:rPr>
          <w:rFonts w:hint="eastAsia"/>
          <w:color w:val="auto"/>
          <w:szCs w:val="21"/>
          <w:highlight w:val="none"/>
          <w:lang w:eastAsia="zh-CN"/>
        </w:rPr>
        <w:t>委托人</w:t>
      </w:r>
      <w:r>
        <w:rPr>
          <w:rFonts w:hint="eastAsia"/>
          <w:color w:val="auto"/>
          <w:szCs w:val="21"/>
          <w:highlight w:val="none"/>
        </w:rPr>
        <w:t>索赔。</w:t>
      </w:r>
    </w:p>
    <w:p>
      <w:pPr>
        <w:pStyle w:val="4"/>
        <w:keepNext w:val="0"/>
        <w:tabs>
          <w:tab w:val="left" w:pos="426"/>
        </w:tabs>
        <w:spacing w:before="360" w:after="240" w:line="380" w:lineRule="exact"/>
        <w:jc w:val="center"/>
        <w:rPr>
          <w:rFonts w:ascii="黑体" w:eastAsia="黑体"/>
          <w:b w:val="0"/>
          <w:color w:val="auto"/>
          <w:highlight w:val="none"/>
        </w:rPr>
      </w:pPr>
      <w:bookmarkStart w:id="220" w:name="_Toc6793"/>
      <w:bookmarkStart w:id="221" w:name="_Toc23621"/>
      <w:bookmarkStart w:id="222" w:name="_Toc11070"/>
      <w:bookmarkStart w:id="223" w:name="_Toc15865"/>
      <w:bookmarkStart w:id="224" w:name="_Toc391916917"/>
      <w:bookmarkStart w:id="225" w:name="_Toc397084590"/>
      <w:r>
        <w:rPr>
          <w:rFonts w:hint="eastAsia" w:ascii="黑体" w:eastAsia="黑体"/>
          <w:b w:val="0"/>
          <w:color w:val="auto"/>
          <w:highlight w:val="none"/>
        </w:rPr>
        <w:t>六、监理合同生效、变更与终止</w:t>
      </w:r>
      <w:bookmarkEnd w:id="220"/>
      <w:bookmarkEnd w:id="221"/>
      <w:bookmarkEnd w:id="222"/>
      <w:bookmarkEnd w:id="223"/>
      <w:bookmarkEnd w:id="224"/>
      <w:bookmarkEnd w:id="225"/>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第14条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生效</w:t>
      </w:r>
    </w:p>
    <w:p>
      <w:pPr>
        <w:tabs>
          <w:tab w:val="left" w:pos="426"/>
        </w:tabs>
        <w:spacing w:line="360" w:lineRule="exact"/>
        <w:ind w:firstLine="420" w:firstLineChars="200"/>
        <w:rPr>
          <w:color w:val="auto"/>
          <w:kern w:val="18"/>
          <w:szCs w:val="21"/>
          <w:highlight w:val="none"/>
        </w:rPr>
      </w:pPr>
      <w:r>
        <w:rPr>
          <w:rFonts w:hint="eastAsia"/>
          <w:color w:val="auto"/>
          <w:kern w:val="18"/>
          <w:szCs w:val="21"/>
          <w:highlight w:val="none"/>
        </w:rPr>
        <w:t>按合同约定日期生效。</w:t>
      </w:r>
    </w:p>
    <w:p>
      <w:pPr>
        <w:tabs>
          <w:tab w:val="left" w:pos="426"/>
        </w:tabs>
        <w:spacing w:before="20" w:after="20" w:line="40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第15条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变更</w:t>
      </w:r>
    </w:p>
    <w:p>
      <w:pPr>
        <w:tabs>
          <w:tab w:val="left" w:pos="426"/>
        </w:tabs>
        <w:spacing w:line="360" w:lineRule="exact"/>
        <w:ind w:firstLine="420" w:firstLineChars="200"/>
        <w:rPr>
          <w:rFonts w:ascii="楷体_GB2312" w:eastAsia="楷体_GB2312"/>
          <w:color w:val="auto"/>
          <w:kern w:val="18"/>
          <w:szCs w:val="21"/>
          <w:highlight w:val="none"/>
        </w:rPr>
      </w:pPr>
      <w:r>
        <w:rPr>
          <w:rFonts w:hint="eastAsia" w:ascii="楷体_GB2312" w:eastAsia="楷体_GB2312"/>
          <w:color w:val="auto"/>
          <w:kern w:val="18"/>
          <w:szCs w:val="21"/>
          <w:highlight w:val="none"/>
        </w:rPr>
        <w:t xml:space="preserve">15.1 </w:t>
      </w:r>
      <w:r>
        <w:rPr>
          <w:rFonts w:hint="eastAsia"/>
          <w:color w:val="auto"/>
          <w:kern w:val="18"/>
          <w:szCs w:val="21"/>
          <w:highlight w:val="none"/>
        </w:rPr>
        <w:t>非因监理人原因导致监理合同期限延长，监理人应当将此情况与可能产生的影响及时书面通知委托人。由此导致的监理合同期限延长视为正常服务，在政策允许且经主管部门批复同意后，委托人可酌情考虑是否调整监理服务费（详见补充条款）。</w:t>
      </w:r>
    </w:p>
    <w:p>
      <w:pPr>
        <w:tabs>
          <w:tab w:val="left" w:pos="426"/>
        </w:tabs>
        <w:spacing w:line="360" w:lineRule="exact"/>
        <w:ind w:firstLine="420" w:firstLineChars="200"/>
        <w:rPr>
          <w:rFonts w:ascii="楷体_GB2312" w:eastAsia="楷体_GB2312"/>
          <w:color w:val="auto"/>
          <w:kern w:val="18"/>
          <w:szCs w:val="21"/>
          <w:highlight w:val="none"/>
        </w:rPr>
      </w:pPr>
      <w:r>
        <w:rPr>
          <w:rFonts w:hint="eastAsia" w:ascii="楷体_GB2312" w:eastAsia="楷体_GB2312"/>
          <w:color w:val="auto"/>
          <w:kern w:val="18"/>
          <w:szCs w:val="21"/>
          <w:highlight w:val="none"/>
        </w:rPr>
        <w:t xml:space="preserve">15.2 </w:t>
      </w:r>
      <w:r>
        <w:rPr>
          <w:rFonts w:hint="eastAsia"/>
          <w:color w:val="auto"/>
          <w:kern w:val="18"/>
          <w:szCs w:val="21"/>
          <w:highlight w:val="none"/>
        </w:rPr>
        <w:t>实际情况发生变化导致履行中的监理合同全部或部分中止，监理人完成善后工作以及恢复服务前准备工作的附加工作视为正常服务。</w:t>
      </w:r>
    </w:p>
    <w:p>
      <w:pPr>
        <w:tabs>
          <w:tab w:val="left" w:pos="426"/>
        </w:tabs>
        <w:spacing w:line="360" w:lineRule="exact"/>
        <w:ind w:firstLine="420" w:firstLineChars="200"/>
        <w:rPr>
          <w:color w:val="auto"/>
          <w:kern w:val="18"/>
          <w:szCs w:val="21"/>
          <w:highlight w:val="none"/>
        </w:rPr>
      </w:pPr>
      <w:r>
        <w:rPr>
          <w:rFonts w:hint="eastAsia" w:ascii="楷体_GB2312" w:eastAsia="楷体_GB2312"/>
          <w:color w:val="auto"/>
          <w:kern w:val="18"/>
          <w:szCs w:val="21"/>
          <w:highlight w:val="none"/>
        </w:rPr>
        <w:t xml:space="preserve">15.3 </w:t>
      </w:r>
      <w:r>
        <w:rPr>
          <w:rFonts w:hint="eastAsia"/>
          <w:color w:val="auto"/>
          <w:kern w:val="18"/>
          <w:szCs w:val="21"/>
          <w:highlight w:val="none"/>
        </w:rPr>
        <w:t>本合同监理服务酬金结算时，以最终结算的</w:t>
      </w:r>
      <w:r>
        <w:rPr>
          <w:rFonts w:hint="eastAsia"/>
          <w:color w:val="auto"/>
          <w:kern w:val="18"/>
          <w:szCs w:val="21"/>
          <w:highlight w:val="none"/>
          <w:lang w:val="en-US" w:eastAsia="zh-CN"/>
        </w:rPr>
        <w:t>工程建设费用</w:t>
      </w:r>
      <w:r>
        <w:rPr>
          <w:rFonts w:hint="eastAsia"/>
          <w:color w:val="auto"/>
          <w:kern w:val="18"/>
          <w:szCs w:val="21"/>
          <w:highlight w:val="none"/>
        </w:rPr>
        <w:t>作为监理酬金计费额，但监理服务酬金结算价</w:t>
      </w:r>
      <w:r>
        <w:rPr>
          <w:rFonts w:hint="eastAsia"/>
          <w:color w:val="auto"/>
          <w:kern w:val="18"/>
          <w:szCs w:val="21"/>
          <w:highlight w:val="none"/>
          <w:lang w:val="en-US" w:eastAsia="zh-CN"/>
        </w:rPr>
        <w:t>总金额</w:t>
      </w:r>
      <w:r>
        <w:rPr>
          <w:rFonts w:hint="eastAsia"/>
          <w:color w:val="auto"/>
          <w:kern w:val="18"/>
          <w:szCs w:val="21"/>
          <w:highlight w:val="none"/>
        </w:rPr>
        <w:t>最高为</w:t>
      </w:r>
      <w:r>
        <w:rPr>
          <w:rFonts w:hint="eastAsia"/>
          <w:color w:val="auto"/>
          <w:kern w:val="18"/>
          <w:szCs w:val="21"/>
          <w:highlight w:val="none"/>
          <w:lang w:val="en-US" w:eastAsia="zh-CN"/>
        </w:rPr>
        <w:t>23.37</w:t>
      </w:r>
      <w:r>
        <w:rPr>
          <w:rFonts w:hint="eastAsia"/>
          <w:color w:val="auto"/>
          <w:kern w:val="18"/>
          <w:szCs w:val="21"/>
          <w:highlight w:val="none"/>
        </w:rPr>
        <w:t>万元。若监理服务酬金结算价</w:t>
      </w:r>
      <w:r>
        <w:rPr>
          <w:rFonts w:hint="eastAsia"/>
          <w:color w:val="auto"/>
          <w:kern w:val="18"/>
          <w:szCs w:val="21"/>
          <w:highlight w:val="none"/>
          <w:lang w:val="en-US" w:eastAsia="zh-CN"/>
        </w:rPr>
        <w:t>总金额</w:t>
      </w:r>
      <w:r>
        <w:rPr>
          <w:rFonts w:hint="eastAsia"/>
          <w:color w:val="auto"/>
          <w:kern w:val="18"/>
          <w:szCs w:val="21"/>
          <w:highlight w:val="none"/>
        </w:rPr>
        <w:t>超过</w:t>
      </w:r>
      <w:r>
        <w:rPr>
          <w:rFonts w:hint="eastAsia"/>
          <w:color w:val="auto"/>
          <w:kern w:val="18"/>
          <w:szCs w:val="21"/>
          <w:highlight w:val="none"/>
          <w:lang w:val="en-US" w:eastAsia="zh-CN"/>
        </w:rPr>
        <w:t>23.37</w:t>
      </w:r>
      <w:r>
        <w:rPr>
          <w:rFonts w:hint="eastAsia"/>
          <w:color w:val="auto"/>
          <w:kern w:val="18"/>
          <w:szCs w:val="21"/>
          <w:highlight w:val="none"/>
        </w:rPr>
        <w:t>万元，则最终监理服务酬金结算价</w:t>
      </w:r>
      <w:r>
        <w:rPr>
          <w:rFonts w:hint="eastAsia"/>
          <w:color w:val="auto"/>
          <w:kern w:val="18"/>
          <w:szCs w:val="21"/>
          <w:highlight w:val="none"/>
          <w:lang w:val="en-US" w:eastAsia="zh-CN"/>
        </w:rPr>
        <w:t>总金额</w:t>
      </w:r>
      <w:r>
        <w:rPr>
          <w:rFonts w:hint="eastAsia"/>
          <w:color w:val="auto"/>
          <w:kern w:val="18"/>
          <w:szCs w:val="21"/>
          <w:highlight w:val="none"/>
        </w:rPr>
        <w:t>为</w:t>
      </w:r>
      <w:r>
        <w:rPr>
          <w:rFonts w:hint="eastAsia"/>
          <w:color w:val="auto"/>
          <w:kern w:val="18"/>
          <w:szCs w:val="21"/>
          <w:highlight w:val="none"/>
          <w:lang w:val="en-US" w:eastAsia="zh-CN"/>
        </w:rPr>
        <w:t>23.37</w:t>
      </w:r>
      <w:r>
        <w:rPr>
          <w:rFonts w:hint="eastAsia"/>
          <w:color w:val="auto"/>
          <w:kern w:val="18"/>
          <w:szCs w:val="21"/>
          <w:highlight w:val="none"/>
        </w:rPr>
        <w:t>万元。</w:t>
      </w:r>
    </w:p>
    <w:p>
      <w:pPr>
        <w:pStyle w:val="4"/>
        <w:keepNext w:val="0"/>
        <w:tabs>
          <w:tab w:val="left" w:pos="426"/>
        </w:tabs>
        <w:spacing w:before="360" w:after="240" w:line="380" w:lineRule="exact"/>
        <w:jc w:val="center"/>
        <w:rPr>
          <w:rFonts w:ascii="黑体" w:eastAsia="黑体"/>
          <w:b w:val="0"/>
          <w:color w:val="auto"/>
          <w:highlight w:val="none"/>
        </w:rPr>
      </w:pPr>
      <w:bookmarkStart w:id="226" w:name="_Toc5318"/>
      <w:bookmarkStart w:id="227" w:name="_Toc397084591"/>
      <w:bookmarkStart w:id="228" w:name="_Toc15069"/>
      <w:bookmarkStart w:id="229" w:name="_Toc30270"/>
      <w:bookmarkStart w:id="230" w:name="_Toc391916918"/>
      <w:bookmarkStart w:id="231" w:name="_Toc21155"/>
      <w:r>
        <w:rPr>
          <w:rFonts w:hint="eastAsia" w:ascii="黑体" w:eastAsia="黑体"/>
          <w:b w:val="0"/>
          <w:color w:val="auto"/>
          <w:highlight w:val="none"/>
        </w:rPr>
        <w:t>七、争议解决</w:t>
      </w:r>
      <w:bookmarkEnd w:id="226"/>
      <w:bookmarkEnd w:id="227"/>
      <w:bookmarkEnd w:id="228"/>
      <w:bookmarkEnd w:id="229"/>
      <w:bookmarkEnd w:id="230"/>
      <w:bookmarkEnd w:id="231"/>
    </w:p>
    <w:p>
      <w:pPr>
        <w:tabs>
          <w:tab w:val="left" w:pos="426"/>
        </w:tabs>
        <w:spacing w:before="20" w:after="20" w:line="360" w:lineRule="exact"/>
        <w:ind w:firstLine="440" w:firstLineChars="200"/>
        <w:rPr>
          <w:rFonts w:ascii="黑体" w:eastAsia="黑体"/>
          <w:color w:val="auto"/>
          <w:kern w:val="18"/>
          <w:sz w:val="22"/>
          <w:szCs w:val="22"/>
          <w:highlight w:val="none"/>
        </w:rPr>
      </w:pPr>
      <w:r>
        <w:rPr>
          <w:rFonts w:hint="eastAsia" w:ascii="黑体" w:eastAsia="黑体"/>
          <w:color w:val="auto"/>
          <w:kern w:val="18"/>
          <w:sz w:val="22"/>
          <w:szCs w:val="22"/>
          <w:highlight w:val="none"/>
        </w:rPr>
        <w:t>第16条</w:t>
      </w:r>
      <w:r>
        <w:rPr>
          <w:rFonts w:ascii="黑体" w:eastAsia="黑体"/>
          <w:color w:val="auto"/>
          <w:kern w:val="18"/>
          <w:sz w:val="22"/>
          <w:szCs w:val="22"/>
          <w:highlight w:val="none"/>
        </w:rPr>
        <w:t xml:space="preserve">  </w:t>
      </w:r>
      <w:r>
        <w:rPr>
          <w:rFonts w:hint="eastAsia" w:ascii="黑体" w:eastAsia="黑体"/>
          <w:color w:val="auto"/>
          <w:kern w:val="18"/>
          <w:sz w:val="22"/>
          <w:szCs w:val="22"/>
          <w:highlight w:val="none"/>
        </w:rPr>
        <w:t>仲裁或诉讼</w:t>
      </w:r>
    </w:p>
    <w:p>
      <w:pPr>
        <w:tabs>
          <w:tab w:val="left" w:pos="426"/>
        </w:tabs>
        <w:spacing w:line="360" w:lineRule="exact"/>
        <w:ind w:firstLine="420" w:firstLineChars="200"/>
        <w:rPr>
          <w:color w:val="auto"/>
          <w:kern w:val="18"/>
          <w:szCs w:val="21"/>
          <w:highlight w:val="none"/>
        </w:rPr>
      </w:pPr>
      <w:r>
        <w:rPr>
          <w:rFonts w:hint="eastAsia"/>
          <w:color w:val="auto"/>
          <w:kern w:val="18"/>
          <w:szCs w:val="21"/>
          <w:highlight w:val="none"/>
        </w:rPr>
        <w:t>因本合同的履行或合同本身发生的争议或纠纷，双方应当协商解决，如未能达成一致，双方可向深圳前海合作区人民法院提起诉讼。</w:t>
      </w:r>
    </w:p>
    <w:p>
      <w:pPr>
        <w:pStyle w:val="4"/>
        <w:keepNext w:val="0"/>
        <w:tabs>
          <w:tab w:val="left" w:pos="426"/>
        </w:tabs>
        <w:spacing w:before="360" w:after="240" w:line="380" w:lineRule="exact"/>
        <w:jc w:val="center"/>
        <w:rPr>
          <w:rFonts w:ascii="黑体" w:eastAsia="黑体"/>
          <w:b w:val="0"/>
          <w:color w:val="auto"/>
          <w:highlight w:val="none"/>
        </w:rPr>
      </w:pPr>
      <w:bookmarkStart w:id="232" w:name="_Toc16328"/>
      <w:bookmarkStart w:id="233" w:name="_Toc6053"/>
      <w:bookmarkStart w:id="234" w:name="_Toc391916919"/>
      <w:bookmarkStart w:id="235" w:name="_Toc397084592"/>
      <w:bookmarkStart w:id="236" w:name="_Toc15586"/>
      <w:bookmarkStart w:id="237" w:name="_Toc1796"/>
      <w:r>
        <w:rPr>
          <w:rFonts w:hint="eastAsia" w:ascii="黑体" w:eastAsia="黑体"/>
          <w:b w:val="0"/>
          <w:color w:val="auto"/>
          <w:highlight w:val="none"/>
        </w:rPr>
        <w:t>八、其</w:t>
      </w:r>
      <w:r>
        <w:rPr>
          <w:rFonts w:ascii="黑体" w:eastAsia="黑体"/>
          <w:b w:val="0"/>
          <w:color w:val="auto"/>
          <w:highlight w:val="none"/>
        </w:rPr>
        <w:t xml:space="preserve">    </w:t>
      </w:r>
      <w:r>
        <w:rPr>
          <w:rFonts w:hint="eastAsia" w:ascii="黑体" w:eastAsia="黑体"/>
          <w:b w:val="0"/>
          <w:color w:val="auto"/>
          <w:highlight w:val="none"/>
        </w:rPr>
        <w:t>他</w:t>
      </w:r>
      <w:bookmarkEnd w:id="232"/>
      <w:bookmarkEnd w:id="233"/>
      <w:bookmarkEnd w:id="234"/>
      <w:bookmarkEnd w:id="235"/>
      <w:bookmarkEnd w:id="236"/>
      <w:bookmarkEnd w:id="237"/>
    </w:p>
    <w:p>
      <w:pPr>
        <w:tabs>
          <w:tab w:val="left" w:pos="426"/>
        </w:tabs>
        <w:spacing w:line="380" w:lineRule="exact"/>
        <w:ind w:firstLine="440" w:firstLineChars="200"/>
        <w:rPr>
          <w:rFonts w:ascii="楷体_GB2312" w:eastAsia="楷体_GB2312"/>
          <w:color w:val="auto"/>
          <w:kern w:val="18"/>
          <w:szCs w:val="21"/>
          <w:highlight w:val="none"/>
        </w:rPr>
      </w:pPr>
      <w:r>
        <w:rPr>
          <w:rFonts w:hint="eastAsia" w:ascii="黑体" w:eastAsia="黑体"/>
          <w:color w:val="auto"/>
          <w:kern w:val="18"/>
          <w:sz w:val="22"/>
          <w:szCs w:val="22"/>
          <w:highlight w:val="none"/>
        </w:rPr>
        <w:t xml:space="preserve">第17条 </w:t>
      </w:r>
      <w:r>
        <w:rPr>
          <w:rFonts w:hint="eastAsia"/>
          <w:color w:val="auto"/>
          <w:kern w:val="18"/>
          <w:szCs w:val="21"/>
          <w:highlight w:val="none"/>
        </w:rPr>
        <w:t>因建设工程监理业务的需要，监理人外出考察，其费用由监理人自行承担。</w:t>
      </w:r>
    </w:p>
    <w:p>
      <w:pPr>
        <w:tabs>
          <w:tab w:val="left" w:pos="426"/>
        </w:tabs>
        <w:spacing w:line="380" w:lineRule="exact"/>
        <w:ind w:firstLine="440" w:firstLineChars="200"/>
        <w:rPr>
          <w:color w:val="auto"/>
          <w:kern w:val="18"/>
          <w:szCs w:val="21"/>
          <w:highlight w:val="none"/>
        </w:rPr>
      </w:pPr>
      <w:r>
        <w:rPr>
          <w:rFonts w:hint="eastAsia" w:ascii="黑体" w:eastAsia="黑体"/>
          <w:color w:val="auto"/>
          <w:kern w:val="18"/>
          <w:sz w:val="22"/>
          <w:szCs w:val="22"/>
          <w:highlight w:val="none"/>
        </w:rPr>
        <w:t xml:space="preserve">第18条 </w:t>
      </w:r>
      <w:r>
        <w:rPr>
          <w:rFonts w:hint="eastAsia"/>
          <w:color w:val="auto"/>
          <w:kern w:val="18"/>
          <w:szCs w:val="21"/>
          <w:highlight w:val="none"/>
        </w:rPr>
        <w:t>监理人如需组织相关咨询论证会以及聘请相关专家协助，费用由监理人承担。</w:t>
      </w:r>
    </w:p>
    <w:p>
      <w:pPr>
        <w:tabs>
          <w:tab w:val="left" w:pos="426"/>
        </w:tabs>
        <w:spacing w:before="20" w:after="20" w:line="360" w:lineRule="exact"/>
        <w:ind w:firstLine="440" w:firstLineChars="200"/>
        <w:rPr>
          <w:rFonts w:ascii="黑体" w:eastAsia="黑体"/>
          <w:color w:val="auto"/>
          <w:kern w:val="18"/>
          <w:sz w:val="22"/>
          <w:szCs w:val="22"/>
          <w:highlight w:val="none"/>
        </w:rPr>
      </w:pPr>
    </w:p>
    <w:p>
      <w:pPr>
        <w:tabs>
          <w:tab w:val="left" w:pos="426"/>
        </w:tabs>
        <w:spacing w:line="360" w:lineRule="exact"/>
        <w:ind w:firstLine="420" w:firstLineChars="200"/>
        <w:rPr>
          <w:color w:val="auto"/>
          <w:szCs w:val="21"/>
          <w:highlight w:val="none"/>
        </w:rPr>
      </w:pPr>
      <w:r>
        <w:rPr>
          <w:color w:val="auto"/>
          <w:szCs w:val="21"/>
          <w:highlight w:val="none"/>
        </w:rPr>
        <w:br w:type="page"/>
      </w:r>
    </w:p>
    <w:p>
      <w:pPr>
        <w:tabs>
          <w:tab w:val="left" w:pos="426"/>
        </w:tabs>
        <w:spacing w:line="40" w:lineRule="exact"/>
        <w:rPr>
          <w:color w:val="auto"/>
          <w:kern w:val="18"/>
          <w:sz w:val="22"/>
          <w:szCs w:val="22"/>
          <w:highlight w:val="none"/>
          <w:u w:val="single"/>
        </w:rPr>
      </w:pPr>
    </w:p>
    <w:p>
      <w:pPr>
        <w:pStyle w:val="4"/>
        <w:keepNext w:val="0"/>
        <w:tabs>
          <w:tab w:val="left" w:pos="426"/>
        </w:tabs>
        <w:spacing w:before="360" w:after="240" w:line="380" w:lineRule="exact"/>
        <w:jc w:val="center"/>
        <w:rPr>
          <w:rFonts w:ascii="黑体" w:eastAsia="黑体"/>
          <w:b w:val="0"/>
          <w:color w:val="auto"/>
          <w:highlight w:val="none"/>
        </w:rPr>
      </w:pPr>
      <w:bookmarkStart w:id="238" w:name="_Toc9390"/>
      <w:bookmarkStart w:id="239" w:name="_Toc4374"/>
      <w:bookmarkStart w:id="240" w:name="_Toc397084593"/>
      <w:bookmarkStart w:id="241" w:name="_Toc29524"/>
      <w:bookmarkStart w:id="242" w:name="_Toc17329"/>
      <w:bookmarkStart w:id="243" w:name="_Toc391916920"/>
      <w:r>
        <w:rPr>
          <w:rFonts w:hint="eastAsia" w:ascii="黑体" w:eastAsia="黑体"/>
          <w:b w:val="0"/>
          <w:color w:val="auto"/>
          <w:highlight w:val="none"/>
        </w:rPr>
        <w:t>九、补充条款</w:t>
      </w:r>
      <w:bookmarkEnd w:id="238"/>
      <w:bookmarkEnd w:id="239"/>
      <w:bookmarkEnd w:id="240"/>
      <w:bookmarkEnd w:id="241"/>
      <w:bookmarkEnd w:id="242"/>
      <w:bookmarkEnd w:id="243"/>
    </w:p>
    <w:p>
      <w:pPr>
        <w:tabs>
          <w:tab w:val="left" w:pos="426"/>
        </w:tabs>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一、项目监理机构和人员</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1、本项目现场监理机构设总监1人，全权负责监理工作，直接对</w:t>
      </w:r>
      <w:r>
        <w:rPr>
          <w:rFonts w:hint="eastAsia" w:ascii="楷体_GB2312" w:eastAsia="楷体_GB2312"/>
          <w:color w:val="auto"/>
          <w:kern w:val="18"/>
          <w:sz w:val="22"/>
          <w:szCs w:val="22"/>
          <w:highlight w:val="none"/>
          <w:lang w:eastAsia="zh-CN"/>
        </w:rPr>
        <w:t>委托人</w:t>
      </w:r>
      <w:r>
        <w:rPr>
          <w:rFonts w:hint="eastAsia" w:ascii="楷体_GB2312" w:eastAsia="楷体_GB2312"/>
          <w:color w:val="auto"/>
          <w:kern w:val="18"/>
          <w:sz w:val="22"/>
          <w:szCs w:val="22"/>
          <w:highlight w:val="none"/>
        </w:rPr>
        <w:t>负责。根据工程需要下设若干专业监理工程师和监理助理人员，具体监理班子配备要求如下： 监理人应将本项目的监理机构人员名单报委托人审核（监理人员监理证书、职称证书、毕业证复印件等资料必须附上），经委托人审批同意后的监理机构才能进场进行监理工作。</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2、保修阶段的监理服务期限为</w:t>
      </w:r>
      <w:r>
        <w:rPr>
          <w:rFonts w:hint="eastAsia" w:ascii="楷体_GB2312" w:eastAsia="楷体_GB2312"/>
          <w:color w:val="auto"/>
          <w:kern w:val="18"/>
          <w:sz w:val="22"/>
          <w:szCs w:val="22"/>
          <w:highlight w:val="none"/>
          <w:lang w:val="en-US" w:eastAsia="zh-CN"/>
        </w:rPr>
        <w:t>1</w:t>
      </w:r>
      <w:r>
        <w:rPr>
          <w:rFonts w:hint="eastAsia" w:ascii="楷体_GB2312" w:eastAsia="楷体_GB2312"/>
          <w:color w:val="auto"/>
          <w:kern w:val="18"/>
          <w:sz w:val="22"/>
          <w:szCs w:val="22"/>
          <w:highlight w:val="none"/>
        </w:rPr>
        <w:t>年，在保修期内，监理人须固定1人与委托人联系，保证随叫随到，按委托人要求及时处理问题。</w:t>
      </w:r>
    </w:p>
    <w:p>
      <w:pPr>
        <w:tabs>
          <w:tab w:val="left" w:pos="426"/>
        </w:tabs>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二、监理人的违约责任</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1、禁止监理人将本合同规定的监理服务内容转包或违法分包。监理人将监理服务任务转包或违法分包的，发包人有权终止合同，并计扣监理人合同价10%的违约金。</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2、履约期间，监理人主要监理人员（包括总监、总监代表、各专业监理工程师）未经委托人批准不得擅自撤换（死亡、重伤、大病长期住院、法律和法规规定的不得担任相关工作的情况除外），否则视为监理人严重违约，监理人应向委托人交纳违约金，数额如下：更换总监理工程师的，缴纳违约金2万元/次/人；更换其他主要监理人员（总监代表、各专业监理工程师）的，缴纳违约金1万元/次/人；</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3、因监理人过失产生质量事故，造成委托人经济损失，监理人同意按以下办法承担责任，赔偿损失：</w:t>
      </w:r>
    </w:p>
    <w:p>
      <w:pPr>
        <w:tabs>
          <w:tab w:val="left" w:pos="426"/>
        </w:tabs>
        <w:ind w:firstLine="440" w:firstLineChars="200"/>
        <w:rPr>
          <w:rFonts w:ascii="楷体_GB2312" w:eastAsia="楷体_GB2312"/>
          <w:color w:val="auto"/>
          <w:kern w:val="18"/>
          <w:sz w:val="22"/>
          <w:szCs w:val="22"/>
          <w:highlight w:val="none"/>
        </w:rPr>
      </w:pPr>
      <w:r>
        <w:rPr>
          <w:rFonts w:ascii="楷体_GB2312" w:eastAsia="楷体_GB2312"/>
          <w:color w:val="auto"/>
          <w:kern w:val="18"/>
          <w:sz w:val="22"/>
          <w:szCs w:val="22"/>
          <w:highlight w:val="none"/>
        </w:rPr>
        <w:fldChar w:fldCharType="begin"/>
      </w:r>
      <w:r>
        <w:rPr>
          <w:rFonts w:ascii="楷体_GB2312" w:eastAsia="楷体_GB2312"/>
          <w:color w:val="auto"/>
          <w:kern w:val="18"/>
          <w:sz w:val="22"/>
          <w:szCs w:val="22"/>
          <w:highlight w:val="none"/>
        </w:rPr>
        <w:instrText xml:space="preserve"> </w:instrText>
      </w:r>
      <w:r>
        <w:rPr>
          <w:rFonts w:hint="eastAsia" w:ascii="楷体_GB2312" w:eastAsia="楷体_GB2312"/>
          <w:color w:val="auto"/>
          <w:kern w:val="18"/>
          <w:sz w:val="22"/>
          <w:szCs w:val="22"/>
          <w:highlight w:val="none"/>
        </w:rPr>
        <w:instrText xml:space="preserve">= 1 \* GB2</w:instrText>
      </w:r>
      <w:r>
        <w:rPr>
          <w:rFonts w:ascii="楷体_GB2312" w:eastAsia="楷体_GB2312"/>
          <w:color w:val="auto"/>
          <w:kern w:val="18"/>
          <w:sz w:val="22"/>
          <w:szCs w:val="22"/>
          <w:highlight w:val="none"/>
        </w:rPr>
        <w:instrText xml:space="preserve"> </w:instrText>
      </w:r>
      <w:r>
        <w:rPr>
          <w:rFonts w:ascii="楷体_GB2312" w:eastAsia="楷体_GB2312"/>
          <w:color w:val="auto"/>
          <w:kern w:val="18"/>
          <w:sz w:val="22"/>
          <w:szCs w:val="22"/>
          <w:highlight w:val="none"/>
        </w:rPr>
        <w:fldChar w:fldCharType="separate"/>
      </w:r>
      <w:r>
        <w:rPr>
          <w:rFonts w:hint="eastAsia" w:ascii="楷体_GB2312" w:eastAsia="楷体_GB2312"/>
          <w:color w:val="auto"/>
          <w:kern w:val="18"/>
          <w:sz w:val="22"/>
          <w:szCs w:val="22"/>
          <w:highlight w:val="none"/>
        </w:rPr>
        <w:t>⑴</w:t>
      </w:r>
      <w:r>
        <w:rPr>
          <w:rFonts w:ascii="楷体_GB2312" w:eastAsia="楷体_GB2312"/>
          <w:color w:val="auto"/>
          <w:kern w:val="18"/>
          <w:sz w:val="22"/>
          <w:szCs w:val="22"/>
          <w:highlight w:val="none"/>
        </w:rPr>
        <w:fldChar w:fldCharType="end"/>
      </w:r>
      <w:r>
        <w:rPr>
          <w:rFonts w:hint="eastAsia" w:ascii="楷体_GB2312" w:eastAsia="楷体_GB2312"/>
          <w:color w:val="auto"/>
          <w:kern w:val="18"/>
          <w:sz w:val="22"/>
          <w:szCs w:val="22"/>
          <w:highlight w:val="none"/>
        </w:rPr>
        <w:t>如监理人对委托人的损失负有间接责任时，监理人对委托人的赔偿额为：工程直接损失额×（合同中监理服务费/初步概算批复的</w:t>
      </w:r>
      <w:r>
        <w:rPr>
          <w:rFonts w:hint="eastAsia" w:ascii="楷体_GB2312" w:eastAsia="楷体_GB2312"/>
          <w:color w:val="auto"/>
          <w:kern w:val="18"/>
          <w:sz w:val="22"/>
          <w:szCs w:val="22"/>
          <w:highlight w:val="none"/>
          <w:lang w:val="en-US" w:eastAsia="zh-CN"/>
        </w:rPr>
        <w:t>工程建设费用</w:t>
      </w:r>
      <w:r>
        <w:rPr>
          <w:rFonts w:hint="eastAsia" w:ascii="楷体_GB2312" w:eastAsia="楷体_GB2312"/>
          <w:color w:val="auto"/>
          <w:kern w:val="18"/>
          <w:sz w:val="22"/>
          <w:szCs w:val="22"/>
          <w:highlight w:val="none"/>
        </w:rPr>
        <w:t>）。</w:t>
      </w:r>
    </w:p>
    <w:p>
      <w:pPr>
        <w:tabs>
          <w:tab w:val="left" w:pos="426"/>
        </w:tabs>
        <w:ind w:firstLine="440" w:firstLineChars="200"/>
        <w:rPr>
          <w:rFonts w:ascii="楷体_GB2312" w:eastAsia="楷体_GB2312"/>
          <w:color w:val="auto"/>
          <w:kern w:val="18"/>
          <w:sz w:val="22"/>
          <w:szCs w:val="22"/>
          <w:highlight w:val="none"/>
        </w:rPr>
      </w:pPr>
      <w:r>
        <w:rPr>
          <w:rFonts w:ascii="楷体_GB2312" w:eastAsia="楷体_GB2312"/>
          <w:color w:val="auto"/>
          <w:kern w:val="18"/>
          <w:sz w:val="22"/>
          <w:szCs w:val="22"/>
          <w:highlight w:val="none"/>
        </w:rPr>
        <w:fldChar w:fldCharType="begin"/>
      </w:r>
      <w:r>
        <w:rPr>
          <w:rFonts w:ascii="楷体_GB2312" w:eastAsia="楷体_GB2312"/>
          <w:color w:val="auto"/>
          <w:kern w:val="18"/>
          <w:sz w:val="22"/>
          <w:szCs w:val="22"/>
          <w:highlight w:val="none"/>
        </w:rPr>
        <w:instrText xml:space="preserve"> </w:instrText>
      </w:r>
      <w:r>
        <w:rPr>
          <w:rFonts w:hint="eastAsia" w:ascii="楷体_GB2312" w:eastAsia="楷体_GB2312"/>
          <w:color w:val="auto"/>
          <w:kern w:val="18"/>
          <w:sz w:val="22"/>
          <w:szCs w:val="22"/>
          <w:highlight w:val="none"/>
        </w:rPr>
        <w:instrText xml:space="preserve">= 2 \* GB2</w:instrText>
      </w:r>
      <w:r>
        <w:rPr>
          <w:rFonts w:ascii="楷体_GB2312" w:eastAsia="楷体_GB2312"/>
          <w:color w:val="auto"/>
          <w:kern w:val="18"/>
          <w:sz w:val="22"/>
          <w:szCs w:val="22"/>
          <w:highlight w:val="none"/>
        </w:rPr>
        <w:instrText xml:space="preserve"> </w:instrText>
      </w:r>
      <w:r>
        <w:rPr>
          <w:rFonts w:ascii="楷体_GB2312" w:eastAsia="楷体_GB2312"/>
          <w:color w:val="auto"/>
          <w:kern w:val="18"/>
          <w:sz w:val="22"/>
          <w:szCs w:val="22"/>
          <w:highlight w:val="none"/>
        </w:rPr>
        <w:fldChar w:fldCharType="separate"/>
      </w:r>
      <w:r>
        <w:rPr>
          <w:rFonts w:hint="eastAsia" w:ascii="楷体_GB2312" w:eastAsia="楷体_GB2312"/>
          <w:color w:val="auto"/>
          <w:kern w:val="18"/>
          <w:sz w:val="22"/>
          <w:szCs w:val="22"/>
          <w:highlight w:val="none"/>
        </w:rPr>
        <w:t>⑵</w:t>
      </w:r>
      <w:r>
        <w:rPr>
          <w:rFonts w:ascii="楷体_GB2312" w:eastAsia="楷体_GB2312"/>
          <w:color w:val="auto"/>
          <w:kern w:val="18"/>
          <w:sz w:val="22"/>
          <w:szCs w:val="22"/>
          <w:highlight w:val="none"/>
        </w:rPr>
        <w:fldChar w:fldCharType="end"/>
      </w:r>
      <w:r>
        <w:rPr>
          <w:rFonts w:hint="eastAsia" w:ascii="楷体_GB2312" w:eastAsia="楷体_GB2312"/>
          <w:color w:val="auto"/>
          <w:kern w:val="18"/>
          <w:sz w:val="22"/>
          <w:szCs w:val="22"/>
          <w:highlight w:val="none"/>
        </w:rPr>
        <w:t>如监理人对委托人的损失负有直接责任时，监理人对委托人的赔偿额为工程直接损失额；</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⑶如监理人的原因使工期延误，造成委托人经济损失，监理人同意按以下办法承担责任，赔偿损失：每延长一个月的赔偿金=监理服务费÷监理期（按月计）。</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4、监理人应加强施工现场巡查工作，及时发现质量和安全隐患，如委托人在施工现场巡查中或根据社会投诉、举报，先于项目管理人员发现质量或安全隐患，则每发生一次，扣除项目监理服务费1万元。</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5、监理人应严格审核</w:t>
      </w:r>
      <w:r>
        <w:rPr>
          <w:rFonts w:hint="eastAsia" w:ascii="楷体_GB2312" w:eastAsia="楷体_GB2312"/>
          <w:color w:val="auto"/>
          <w:kern w:val="18"/>
          <w:sz w:val="22"/>
          <w:szCs w:val="22"/>
          <w:highlight w:val="none"/>
          <w:lang w:eastAsia="zh-CN"/>
        </w:rPr>
        <w:t>承包人</w:t>
      </w:r>
      <w:r>
        <w:rPr>
          <w:rFonts w:hint="eastAsia" w:ascii="楷体_GB2312" w:eastAsia="楷体_GB2312"/>
          <w:color w:val="auto"/>
          <w:kern w:val="18"/>
          <w:sz w:val="22"/>
          <w:szCs w:val="22"/>
          <w:highlight w:val="none"/>
        </w:rPr>
        <w:t>提出的施工安全保证体系，督促、检查</w:t>
      </w:r>
      <w:r>
        <w:rPr>
          <w:rFonts w:hint="eastAsia" w:ascii="楷体_GB2312" w:eastAsia="楷体_GB2312"/>
          <w:color w:val="auto"/>
          <w:kern w:val="18"/>
          <w:sz w:val="22"/>
          <w:szCs w:val="22"/>
          <w:highlight w:val="none"/>
          <w:lang w:eastAsia="zh-CN"/>
        </w:rPr>
        <w:t>承包人</w:t>
      </w:r>
      <w:r>
        <w:rPr>
          <w:rFonts w:hint="eastAsia" w:ascii="楷体_GB2312" w:eastAsia="楷体_GB2312"/>
          <w:color w:val="auto"/>
          <w:kern w:val="18"/>
          <w:sz w:val="22"/>
          <w:szCs w:val="22"/>
          <w:highlight w:val="none"/>
        </w:rPr>
        <w:t>落实施工安全保证措施，如因监理人监管不力，造成安全事故，按照事故级别扣除监理人服务费。发生四级重大质量或安全事故，扣除5万元监理服务费；发生三级重大质量或安全事故，扣除10万元监理服务费，发生二级及以上重大质量或安全事故，扣除20万元监理服务费。扣除项目管理咨询服务费后并不免除监理人的有关行政处罚和经济处罚。</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6、对于现场存在安全隐患及明显工程质量问题，监理人未能及时制止并书面要求整改的，每发现一次支付违约金1000-5000元。如果要求进行书面整改，而</w:t>
      </w:r>
      <w:r>
        <w:rPr>
          <w:rFonts w:hint="eastAsia" w:ascii="楷体_GB2312" w:eastAsia="楷体_GB2312"/>
          <w:color w:val="auto"/>
          <w:kern w:val="18"/>
          <w:sz w:val="22"/>
          <w:szCs w:val="22"/>
          <w:highlight w:val="none"/>
          <w:lang w:eastAsia="zh-CN"/>
        </w:rPr>
        <w:t>承包人</w:t>
      </w:r>
      <w:r>
        <w:rPr>
          <w:rFonts w:hint="eastAsia" w:ascii="楷体_GB2312" w:eastAsia="楷体_GB2312"/>
          <w:color w:val="auto"/>
          <w:kern w:val="18"/>
          <w:sz w:val="22"/>
          <w:szCs w:val="22"/>
          <w:highlight w:val="none"/>
        </w:rPr>
        <w:t>未整改或整改不完全，而监理未采取进一步措施的，每发现一次支付违约金1000-5000元。</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7、监理人所管范围内的工程进度严重滞后，监理应书面要求</w:t>
      </w:r>
      <w:r>
        <w:rPr>
          <w:rFonts w:hint="eastAsia" w:ascii="楷体_GB2312" w:eastAsia="楷体_GB2312"/>
          <w:color w:val="auto"/>
          <w:kern w:val="18"/>
          <w:sz w:val="22"/>
          <w:szCs w:val="22"/>
          <w:highlight w:val="none"/>
          <w:lang w:eastAsia="zh-CN"/>
        </w:rPr>
        <w:t>承包人</w:t>
      </w:r>
      <w:r>
        <w:rPr>
          <w:rFonts w:hint="eastAsia" w:ascii="楷体_GB2312" w:eastAsia="楷体_GB2312"/>
          <w:color w:val="auto"/>
          <w:kern w:val="18"/>
          <w:sz w:val="22"/>
          <w:szCs w:val="22"/>
          <w:highlight w:val="none"/>
        </w:rPr>
        <w:t>采取赶工措施，并及时向委托人书面汇报，报告要详细说明存在的问题、滞后的原因、需要采取的措施等，否则将支付违约金1000-3000元。</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8、如果监理人与委托人或第三方对有关经济损失共负责任时，应按责任比例计算赔偿。</w:t>
      </w:r>
    </w:p>
    <w:p>
      <w:pPr>
        <w:tabs>
          <w:tab w:val="left" w:pos="426"/>
        </w:tabs>
        <w:ind w:firstLine="440" w:firstLineChars="200"/>
        <w:rPr>
          <w:rFonts w:ascii="楷体_GB2312" w:eastAsia="楷体_GB2312"/>
          <w:color w:val="auto"/>
          <w:kern w:val="18"/>
          <w:sz w:val="22"/>
          <w:szCs w:val="22"/>
          <w:highlight w:val="none"/>
        </w:rPr>
      </w:pPr>
    </w:p>
    <w:p>
      <w:pPr>
        <w:tabs>
          <w:tab w:val="left" w:pos="426"/>
        </w:tabs>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三、关于监理工程师的补充要求</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为保证在合同期内完成承担的监理任务，要求项目总监及专职的专业监理工程师应常驻现场，不得擅自离开工地，离开工地现场一天及以上应向委托人项目负责人书面请假批准，每月累计不应超过五天，否则，监理人应按照下列约定承担违约责任：</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1、未经委托人批准，总监理工程师、总监代表擅自离开的处违约金</w:t>
      </w:r>
      <w:r>
        <w:rPr>
          <w:rFonts w:hint="eastAsia" w:ascii="楷体_GB2312" w:eastAsia="楷体_GB2312"/>
          <w:color w:val="auto"/>
          <w:kern w:val="18"/>
          <w:sz w:val="22"/>
          <w:szCs w:val="22"/>
          <w:highlight w:val="none"/>
          <w:u w:val="single"/>
        </w:rPr>
        <w:t>1000元/人·天</w:t>
      </w:r>
      <w:r>
        <w:rPr>
          <w:rFonts w:hint="eastAsia" w:ascii="楷体_GB2312" w:eastAsia="楷体_GB2312"/>
          <w:color w:val="auto"/>
          <w:kern w:val="18"/>
          <w:sz w:val="22"/>
          <w:szCs w:val="22"/>
          <w:highlight w:val="none"/>
        </w:rPr>
        <w:t>；专业监理工程师擅自离开的处违约金</w:t>
      </w:r>
      <w:r>
        <w:rPr>
          <w:rFonts w:hint="eastAsia" w:ascii="楷体_GB2312" w:eastAsia="楷体_GB2312"/>
          <w:color w:val="auto"/>
          <w:kern w:val="18"/>
          <w:sz w:val="22"/>
          <w:szCs w:val="22"/>
          <w:highlight w:val="none"/>
          <w:u w:val="single"/>
        </w:rPr>
        <w:t>500元/人·天</w:t>
      </w:r>
      <w:r>
        <w:rPr>
          <w:rFonts w:hint="eastAsia" w:ascii="楷体_GB2312" w:eastAsia="楷体_GB2312"/>
          <w:color w:val="auto"/>
          <w:kern w:val="18"/>
          <w:sz w:val="22"/>
          <w:szCs w:val="22"/>
          <w:highlight w:val="none"/>
        </w:rPr>
        <w:t>。</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2、总监理工程师、总监代表、专业监理工程需在签订合同7天内到位，否则总监理工程师未到位处违约金</w:t>
      </w:r>
      <w:r>
        <w:rPr>
          <w:rFonts w:hint="eastAsia" w:ascii="楷体_GB2312" w:eastAsia="楷体_GB2312"/>
          <w:color w:val="auto"/>
          <w:kern w:val="18"/>
          <w:sz w:val="22"/>
          <w:szCs w:val="22"/>
          <w:highlight w:val="none"/>
          <w:u w:val="single"/>
        </w:rPr>
        <w:t>2000元/天</w:t>
      </w:r>
      <w:r>
        <w:rPr>
          <w:rFonts w:hint="eastAsia" w:ascii="楷体_GB2312" w:eastAsia="楷体_GB2312"/>
          <w:color w:val="auto"/>
          <w:kern w:val="18"/>
          <w:sz w:val="22"/>
          <w:szCs w:val="22"/>
          <w:highlight w:val="none"/>
        </w:rPr>
        <w:t>，总监代表、专业监理工程师按未到位人数处违约金</w:t>
      </w:r>
      <w:r>
        <w:rPr>
          <w:rFonts w:hint="eastAsia" w:ascii="楷体_GB2312" w:eastAsia="楷体_GB2312"/>
          <w:color w:val="auto"/>
          <w:kern w:val="18"/>
          <w:sz w:val="22"/>
          <w:szCs w:val="22"/>
          <w:highlight w:val="none"/>
          <w:u w:val="single"/>
        </w:rPr>
        <w:t>1000元/人·天</w:t>
      </w:r>
      <w:r>
        <w:rPr>
          <w:rFonts w:hint="eastAsia" w:ascii="楷体_GB2312" w:eastAsia="楷体_GB2312"/>
          <w:color w:val="auto"/>
          <w:kern w:val="18"/>
          <w:sz w:val="22"/>
          <w:szCs w:val="22"/>
          <w:highlight w:val="none"/>
        </w:rPr>
        <w:t>。</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3、除总监理工程师、总监代表、专业监理工程师之外的其他监理人员，监理人应根据工程施工计划和实际需要，事先提出书面的人员到位报告，通过委托人审核批准后7天内到位，否则按未到位人数处违约金</w:t>
      </w:r>
      <w:r>
        <w:rPr>
          <w:rFonts w:hint="eastAsia" w:ascii="楷体_GB2312" w:eastAsia="楷体_GB2312"/>
          <w:color w:val="auto"/>
          <w:kern w:val="18"/>
          <w:sz w:val="22"/>
          <w:szCs w:val="22"/>
          <w:highlight w:val="none"/>
          <w:u w:val="single"/>
        </w:rPr>
        <w:t>500元/人·天</w:t>
      </w:r>
      <w:r>
        <w:rPr>
          <w:rFonts w:hint="eastAsia" w:ascii="楷体_GB2312" w:eastAsia="楷体_GB2312"/>
          <w:color w:val="auto"/>
          <w:kern w:val="18"/>
          <w:sz w:val="22"/>
          <w:szCs w:val="22"/>
          <w:highlight w:val="none"/>
        </w:rPr>
        <w:t>。</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4、委托人有权提出撤换其认为不合格的监理班子成员，监理人须在10天内完成人员的更换工作，并通过委托人的认可。如果总监不能满足委托人要求，委托人可以要求更换总监，监理人必须无条件服从，另还需向委托人支付违约金2万元/人·次。</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5、监理公司应能及时发现图纸中的错误，如果因图纸错误而使委托人造成损失，委托人视情节的严重性，对监理人处以0.5-1万元罚款。</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6、施工期间由于</w:t>
      </w:r>
      <w:r>
        <w:rPr>
          <w:rFonts w:hint="eastAsia" w:ascii="楷体_GB2312" w:eastAsia="楷体_GB2312"/>
          <w:color w:val="auto"/>
          <w:kern w:val="18"/>
          <w:sz w:val="22"/>
          <w:szCs w:val="22"/>
          <w:highlight w:val="none"/>
          <w:lang w:eastAsia="zh-CN"/>
        </w:rPr>
        <w:t>承包人</w:t>
      </w:r>
      <w:r>
        <w:rPr>
          <w:rFonts w:hint="eastAsia" w:ascii="楷体_GB2312" w:eastAsia="楷体_GB2312"/>
          <w:color w:val="auto"/>
          <w:kern w:val="18"/>
          <w:sz w:val="22"/>
          <w:szCs w:val="22"/>
          <w:highlight w:val="none"/>
        </w:rPr>
        <w:t>违反安全操作规范，被政府有关部门处罚（如通报批评、警告、罚款或媒体披露等），委托人将给与监理人2000元/次的罚款。</w:t>
      </w:r>
    </w:p>
    <w:p>
      <w:pPr>
        <w:tabs>
          <w:tab w:val="left" w:pos="426"/>
        </w:tabs>
        <w:ind w:firstLine="440" w:firstLineChars="200"/>
        <w:rPr>
          <w:rFonts w:ascii="楷体_GB2312" w:eastAsia="楷体_GB2312"/>
          <w:color w:val="auto"/>
          <w:kern w:val="18"/>
          <w:sz w:val="22"/>
          <w:szCs w:val="22"/>
          <w:highlight w:val="none"/>
        </w:rPr>
      </w:pPr>
      <w:r>
        <w:rPr>
          <w:rFonts w:ascii="楷体_GB2312" w:eastAsia="楷体_GB2312"/>
          <w:color w:val="auto"/>
          <w:kern w:val="18"/>
          <w:sz w:val="22"/>
          <w:szCs w:val="22"/>
          <w:highlight w:val="none"/>
        </w:rPr>
        <w:fldChar w:fldCharType="begin"/>
      </w:r>
      <w:r>
        <w:rPr>
          <w:rFonts w:ascii="楷体_GB2312" w:eastAsia="楷体_GB2312"/>
          <w:color w:val="auto"/>
          <w:kern w:val="18"/>
          <w:sz w:val="22"/>
          <w:szCs w:val="22"/>
          <w:highlight w:val="none"/>
        </w:rPr>
        <w:instrText xml:space="preserve"> </w:instrText>
      </w:r>
      <w:r>
        <w:rPr>
          <w:rFonts w:hint="eastAsia" w:ascii="楷体_GB2312" w:eastAsia="楷体_GB2312"/>
          <w:color w:val="auto"/>
          <w:kern w:val="18"/>
          <w:sz w:val="22"/>
          <w:szCs w:val="22"/>
          <w:highlight w:val="none"/>
        </w:rPr>
        <w:instrText xml:space="preserve">= 1 \* GB2</w:instrText>
      </w:r>
      <w:r>
        <w:rPr>
          <w:rFonts w:ascii="楷体_GB2312" w:eastAsia="楷体_GB2312"/>
          <w:color w:val="auto"/>
          <w:kern w:val="18"/>
          <w:sz w:val="22"/>
          <w:szCs w:val="22"/>
          <w:highlight w:val="none"/>
        </w:rPr>
        <w:instrText xml:space="preserve"> </w:instrText>
      </w:r>
      <w:r>
        <w:rPr>
          <w:rFonts w:ascii="楷体_GB2312" w:eastAsia="楷体_GB2312"/>
          <w:color w:val="auto"/>
          <w:kern w:val="18"/>
          <w:sz w:val="22"/>
          <w:szCs w:val="22"/>
          <w:highlight w:val="none"/>
        </w:rPr>
        <w:fldChar w:fldCharType="separate"/>
      </w:r>
      <w:r>
        <w:rPr>
          <w:rFonts w:hint="eastAsia" w:ascii="楷体_GB2312" w:eastAsia="楷体_GB2312"/>
          <w:color w:val="auto"/>
          <w:kern w:val="18"/>
          <w:sz w:val="22"/>
          <w:szCs w:val="22"/>
          <w:highlight w:val="none"/>
        </w:rPr>
        <w:t>⑴</w:t>
      </w:r>
      <w:r>
        <w:rPr>
          <w:rFonts w:ascii="楷体_GB2312" w:eastAsia="楷体_GB2312"/>
          <w:color w:val="auto"/>
          <w:kern w:val="18"/>
          <w:sz w:val="22"/>
          <w:szCs w:val="22"/>
          <w:highlight w:val="none"/>
        </w:rPr>
        <w:fldChar w:fldCharType="end"/>
      </w:r>
      <w:r>
        <w:rPr>
          <w:rFonts w:hint="eastAsia" w:ascii="楷体_GB2312" w:eastAsia="楷体_GB2312"/>
          <w:color w:val="auto"/>
          <w:kern w:val="18"/>
          <w:sz w:val="22"/>
          <w:szCs w:val="22"/>
          <w:highlight w:val="none"/>
        </w:rPr>
        <w:t xml:space="preserve"> 在工程施工过程中，由于监理人责任出现安全生产事故，并且受到市建设行政主管部门通报的（在深圳市建设信息网公示），处罚人民币1万元/次。</w:t>
      </w:r>
    </w:p>
    <w:p>
      <w:pPr>
        <w:tabs>
          <w:tab w:val="left" w:pos="426"/>
        </w:tabs>
        <w:ind w:firstLine="440" w:firstLineChars="200"/>
        <w:rPr>
          <w:rFonts w:ascii="楷体_GB2312" w:eastAsia="楷体_GB2312"/>
          <w:color w:val="auto"/>
          <w:kern w:val="18"/>
          <w:sz w:val="22"/>
          <w:szCs w:val="22"/>
          <w:highlight w:val="none"/>
        </w:rPr>
      </w:pPr>
      <w:r>
        <w:rPr>
          <w:rFonts w:ascii="楷体_GB2312" w:eastAsia="楷体_GB2312"/>
          <w:color w:val="auto"/>
          <w:kern w:val="18"/>
          <w:sz w:val="22"/>
          <w:szCs w:val="22"/>
          <w:highlight w:val="none"/>
        </w:rPr>
        <w:fldChar w:fldCharType="begin"/>
      </w:r>
      <w:r>
        <w:rPr>
          <w:rFonts w:ascii="楷体_GB2312" w:eastAsia="楷体_GB2312"/>
          <w:color w:val="auto"/>
          <w:kern w:val="18"/>
          <w:sz w:val="22"/>
          <w:szCs w:val="22"/>
          <w:highlight w:val="none"/>
        </w:rPr>
        <w:instrText xml:space="preserve"> </w:instrText>
      </w:r>
      <w:r>
        <w:rPr>
          <w:rFonts w:hint="eastAsia" w:ascii="楷体_GB2312" w:eastAsia="楷体_GB2312"/>
          <w:color w:val="auto"/>
          <w:kern w:val="18"/>
          <w:sz w:val="22"/>
          <w:szCs w:val="22"/>
          <w:highlight w:val="none"/>
        </w:rPr>
        <w:instrText xml:space="preserve">= 2 \* GB2</w:instrText>
      </w:r>
      <w:r>
        <w:rPr>
          <w:rFonts w:ascii="楷体_GB2312" w:eastAsia="楷体_GB2312"/>
          <w:color w:val="auto"/>
          <w:kern w:val="18"/>
          <w:sz w:val="22"/>
          <w:szCs w:val="22"/>
          <w:highlight w:val="none"/>
        </w:rPr>
        <w:instrText xml:space="preserve"> </w:instrText>
      </w:r>
      <w:r>
        <w:rPr>
          <w:rFonts w:ascii="楷体_GB2312" w:eastAsia="楷体_GB2312"/>
          <w:color w:val="auto"/>
          <w:kern w:val="18"/>
          <w:sz w:val="22"/>
          <w:szCs w:val="22"/>
          <w:highlight w:val="none"/>
        </w:rPr>
        <w:fldChar w:fldCharType="separate"/>
      </w:r>
      <w:r>
        <w:rPr>
          <w:rFonts w:hint="eastAsia" w:ascii="楷体_GB2312" w:eastAsia="楷体_GB2312"/>
          <w:color w:val="auto"/>
          <w:kern w:val="18"/>
          <w:sz w:val="22"/>
          <w:szCs w:val="22"/>
          <w:highlight w:val="none"/>
        </w:rPr>
        <w:t>⑵</w:t>
      </w:r>
      <w:r>
        <w:rPr>
          <w:rFonts w:ascii="楷体_GB2312" w:eastAsia="楷体_GB2312"/>
          <w:color w:val="auto"/>
          <w:kern w:val="18"/>
          <w:sz w:val="22"/>
          <w:szCs w:val="22"/>
          <w:highlight w:val="none"/>
        </w:rPr>
        <w:fldChar w:fldCharType="end"/>
      </w:r>
      <w:r>
        <w:rPr>
          <w:rFonts w:hint="eastAsia" w:ascii="楷体_GB2312" w:eastAsia="楷体_GB2312"/>
          <w:color w:val="auto"/>
          <w:kern w:val="18"/>
          <w:sz w:val="22"/>
          <w:szCs w:val="22"/>
          <w:highlight w:val="none"/>
        </w:rPr>
        <w:t xml:space="preserve"> 受到市安监及相关部门处罚，视情况影响程度，处罚人民币1-100万元/次。</w:t>
      </w:r>
    </w:p>
    <w:p>
      <w:pPr>
        <w:tabs>
          <w:tab w:val="left" w:pos="426"/>
        </w:tabs>
        <w:ind w:firstLine="440" w:firstLineChars="200"/>
        <w:rPr>
          <w:rFonts w:ascii="楷体_GB2312" w:eastAsia="楷体_GB2312"/>
          <w:color w:val="auto"/>
          <w:kern w:val="18"/>
          <w:sz w:val="22"/>
          <w:szCs w:val="22"/>
          <w:highlight w:val="none"/>
        </w:rPr>
      </w:pPr>
      <w:r>
        <w:rPr>
          <w:rFonts w:ascii="楷体_GB2312" w:eastAsia="楷体_GB2312"/>
          <w:color w:val="auto"/>
          <w:kern w:val="18"/>
          <w:sz w:val="22"/>
          <w:szCs w:val="22"/>
          <w:highlight w:val="none"/>
        </w:rPr>
        <w:fldChar w:fldCharType="begin"/>
      </w:r>
      <w:r>
        <w:rPr>
          <w:rFonts w:ascii="楷体_GB2312" w:eastAsia="楷体_GB2312"/>
          <w:color w:val="auto"/>
          <w:kern w:val="18"/>
          <w:sz w:val="22"/>
          <w:szCs w:val="22"/>
          <w:highlight w:val="none"/>
        </w:rPr>
        <w:instrText xml:space="preserve"> </w:instrText>
      </w:r>
      <w:r>
        <w:rPr>
          <w:rFonts w:hint="eastAsia" w:ascii="楷体_GB2312" w:eastAsia="楷体_GB2312"/>
          <w:color w:val="auto"/>
          <w:kern w:val="18"/>
          <w:sz w:val="22"/>
          <w:szCs w:val="22"/>
          <w:highlight w:val="none"/>
        </w:rPr>
        <w:instrText xml:space="preserve">= 3 \* GB2</w:instrText>
      </w:r>
      <w:r>
        <w:rPr>
          <w:rFonts w:ascii="楷体_GB2312" w:eastAsia="楷体_GB2312"/>
          <w:color w:val="auto"/>
          <w:kern w:val="18"/>
          <w:sz w:val="22"/>
          <w:szCs w:val="22"/>
          <w:highlight w:val="none"/>
        </w:rPr>
        <w:instrText xml:space="preserve"> </w:instrText>
      </w:r>
      <w:r>
        <w:rPr>
          <w:rFonts w:ascii="楷体_GB2312" w:eastAsia="楷体_GB2312"/>
          <w:color w:val="auto"/>
          <w:kern w:val="18"/>
          <w:sz w:val="22"/>
          <w:szCs w:val="22"/>
          <w:highlight w:val="none"/>
        </w:rPr>
        <w:fldChar w:fldCharType="separate"/>
      </w:r>
      <w:r>
        <w:rPr>
          <w:rFonts w:hint="eastAsia" w:ascii="楷体_GB2312" w:eastAsia="楷体_GB2312"/>
          <w:color w:val="auto"/>
          <w:kern w:val="18"/>
          <w:sz w:val="22"/>
          <w:szCs w:val="22"/>
          <w:highlight w:val="none"/>
        </w:rPr>
        <w:t>⑶</w:t>
      </w:r>
      <w:r>
        <w:rPr>
          <w:rFonts w:ascii="楷体_GB2312" w:eastAsia="楷体_GB2312"/>
          <w:color w:val="auto"/>
          <w:kern w:val="18"/>
          <w:sz w:val="22"/>
          <w:szCs w:val="22"/>
          <w:highlight w:val="none"/>
        </w:rPr>
        <w:fldChar w:fldCharType="end"/>
      </w:r>
      <w:r>
        <w:rPr>
          <w:rFonts w:hint="eastAsia" w:ascii="楷体_GB2312" w:eastAsia="楷体_GB2312"/>
          <w:color w:val="auto"/>
          <w:kern w:val="18"/>
          <w:sz w:val="22"/>
          <w:szCs w:val="22"/>
          <w:highlight w:val="none"/>
        </w:rPr>
        <w:t xml:space="preserve"> 发生责任死亡事故的支付违约金5万元/人，发生重伤事故，支付违约金1万元/次。</w:t>
      </w:r>
    </w:p>
    <w:p>
      <w:pPr>
        <w:tabs>
          <w:tab w:val="left" w:pos="426"/>
        </w:tabs>
        <w:ind w:firstLine="440" w:firstLineChars="200"/>
        <w:rPr>
          <w:rFonts w:ascii="楷体_GB2312" w:eastAsia="楷体_GB2312"/>
          <w:color w:val="auto"/>
          <w:kern w:val="18"/>
          <w:sz w:val="22"/>
          <w:szCs w:val="22"/>
          <w:highlight w:val="none"/>
        </w:rPr>
      </w:pPr>
      <w:r>
        <w:rPr>
          <w:rFonts w:ascii="楷体_GB2312" w:eastAsia="楷体_GB2312"/>
          <w:color w:val="auto"/>
          <w:kern w:val="18"/>
          <w:sz w:val="22"/>
          <w:szCs w:val="22"/>
          <w:highlight w:val="none"/>
        </w:rPr>
        <w:fldChar w:fldCharType="begin"/>
      </w:r>
      <w:r>
        <w:rPr>
          <w:rFonts w:ascii="楷体_GB2312" w:eastAsia="楷体_GB2312"/>
          <w:color w:val="auto"/>
          <w:kern w:val="18"/>
          <w:sz w:val="22"/>
          <w:szCs w:val="22"/>
          <w:highlight w:val="none"/>
        </w:rPr>
        <w:instrText xml:space="preserve"> </w:instrText>
      </w:r>
      <w:r>
        <w:rPr>
          <w:rFonts w:hint="eastAsia" w:ascii="楷体_GB2312" w:eastAsia="楷体_GB2312"/>
          <w:color w:val="auto"/>
          <w:kern w:val="18"/>
          <w:sz w:val="22"/>
          <w:szCs w:val="22"/>
          <w:highlight w:val="none"/>
        </w:rPr>
        <w:instrText xml:space="preserve">= 4 \* GB2</w:instrText>
      </w:r>
      <w:r>
        <w:rPr>
          <w:rFonts w:ascii="楷体_GB2312" w:eastAsia="楷体_GB2312"/>
          <w:color w:val="auto"/>
          <w:kern w:val="18"/>
          <w:sz w:val="22"/>
          <w:szCs w:val="22"/>
          <w:highlight w:val="none"/>
        </w:rPr>
        <w:instrText xml:space="preserve"> </w:instrText>
      </w:r>
      <w:r>
        <w:rPr>
          <w:rFonts w:ascii="楷体_GB2312" w:eastAsia="楷体_GB2312"/>
          <w:color w:val="auto"/>
          <w:kern w:val="18"/>
          <w:sz w:val="22"/>
          <w:szCs w:val="22"/>
          <w:highlight w:val="none"/>
        </w:rPr>
        <w:fldChar w:fldCharType="separate"/>
      </w:r>
      <w:r>
        <w:rPr>
          <w:rFonts w:hint="eastAsia" w:ascii="楷体_GB2312" w:eastAsia="楷体_GB2312"/>
          <w:color w:val="auto"/>
          <w:kern w:val="18"/>
          <w:sz w:val="22"/>
          <w:szCs w:val="22"/>
          <w:highlight w:val="none"/>
        </w:rPr>
        <w:t>⑷</w:t>
      </w:r>
      <w:r>
        <w:rPr>
          <w:rFonts w:ascii="楷体_GB2312" w:eastAsia="楷体_GB2312"/>
          <w:color w:val="auto"/>
          <w:kern w:val="18"/>
          <w:sz w:val="22"/>
          <w:szCs w:val="22"/>
          <w:highlight w:val="none"/>
        </w:rPr>
        <w:fldChar w:fldCharType="end"/>
      </w:r>
      <w:r>
        <w:rPr>
          <w:rFonts w:hint="eastAsia" w:ascii="楷体_GB2312" w:eastAsia="楷体_GB2312"/>
          <w:color w:val="auto"/>
          <w:kern w:val="18"/>
          <w:sz w:val="22"/>
          <w:szCs w:val="22"/>
          <w:highlight w:val="none"/>
        </w:rPr>
        <w:t xml:space="preserve"> 若针对同一事件合同有多处规定的，以最高处罚规定执行，不重复支付违约金。</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7、监理人应对发生的签证计量的准确性负责，总包合同中已包含的费用，不得再办理签证；工程量审核准确率应达到95%以上，如不能满足要求，每发现一次，罚款1000元。</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8、监理人员若出现“吃、拿、卡、拖”等渎职行为，出现一次罚款5000元，要求监理人更换相关监理人员，出现第二次罚款10000元，要求监理人更换相关监理人员并追究总监理工程师的相应责任。出现三次以上，视为监理人严重违约，委托人可以中止合同，造成损失由监理人负责承担。</w:t>
      </w:r>
    </w:p>
    <w:p>
      <w:pPr>
        <w:tabs>
          <w:tab w:val="left" w:pos="426"/>
        </w:tabs>
        <w:ind w:firstLine="440" w:firstLineChars="200"/>
        <w:rPr>
          <w:rFonts w:ascii="楷体_GB2312" w:eastAsia="楷体_GB2312"/>
          <w:color w:val="auto"/>
          <w:kern w:val="18"/>
          <w:sz w:val="22"/>
          <w:szCs w:val="22"/>
          <w:highlight w:val="none"/>
        </w:rPr>
      </w:pPr>
    </w:p>
    <w:p>
      <w:pPr>
        <w:tabs>
          <w:tab w:val="left" w:pos="426"/>
        </w:tabs>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四、对监理人服务的补充要求</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1、监理人协助委托人开展的具体工作内容还包括（但不限于）以下内容：</w:t>
      </w:r>
    </w:p>
    <w:p>
      <w:pPr>
        <w:tabs>
          <w:tab w:val="left" w:pos="426"/>
        </w:tabs>
        <w:ind w:firstLine="440" w:firstLineChars="200"/>
        <w:rPr>
          <w:rFonts w:ascii="楷体_GB2312" w:eastAsia="楷体_GB2312"/>
          <w:color w:val="auto"/>
          <w:kern w:val="18"/>
          <w:sz w:val="22"/>
          <w:szCs w:val="22"/>
          <w:highlight w:val="none"/>
        </w:rPr>
      </w:pPr>
      <w:r>
        <w:rPr>
          <w:rFonts w:ascii="楷体_GB2312" w:eastAsia="楷体_GB2312"/>
          <w:color w:val="auto"/>
          <w:kern w:val="18"/>
          <w:sz w:val="22"/>
          <w:szCs w:val="22"/>
          <w:highlight w:val="none"/>
        </w:rPr>
        <w:fldChar w:fldCharType="begin"/>
      </w:r>
      <w:r>
        <w:rPr>
          <w:rFonts w:ascii="楷体_GB2312" w:eastAsia="楷体_GB2312"/>
          <w:color w:val="auto"/>
          <w:kern w:val="18"/>
          <w:sz w:val="22"/>
          <w:szCs w:val="22"/>
          <w:highlight w:val="none"/>
        </w:rPr>
        <w:instrText xml:space="preserve"> </w:instrText>
      </w:r>
      <w:r>
        <w:rPr>
          <w:rFonts w:hint="eastAsia" w:ascii="楷体_GB2312" w:eastAsia="楷体_GB2312"/>
          <w:color w:val="auto"/>
          <w:kern w:val="18"/>
          <w:sz w:val="22"/>
          <w:szCs w:val="22"/>
          <w:highlight w:val="none"/>
        </w:rPr>
        <w:instrText xml:space="preserve">= 1 \* GB2</w:instrText>
      </w:r>
      <w:r>
        <w:rPr>
          <w:rFonts w:ascii="楷体_GB2312" w:eastAsia="楷体_GB2312"/>
          <w:color w:val="auto"/>
          <w:kern w:val="18"/>
          <w:sz w:val="22"/>
          <w:szCs w:val="22"/>
          <w:highlight w:val="none"/>
        </w:rPr>
        <w:instrText xml:space="preserve"> </w:instrText>
      </w:r>
      <w:r>
        <w:rPr>
          <w:rFonts w:ascii="楷体_GB2312" w:eastAsia="楷体_GB2312"/>
          <w:color w:val="auto"/>
          <w:kern w:val="18"/>
          <w:sz w:val="22"/>
          <w:szCs w:val="22"/>
          <w:highlight w:val="none"/>
        </w:rPr>
        <w:fldChar w:fldCharType="separate"/>
      </w:r>
      <w:r>
        <w:rPr>
          <w:rFonts w:hint="eastAsia" w:ascii="楷体_GB2312" w:eastAsia="楷体_GB2312"/>
          <w:color w:val="auto"/>
          <w:kern w:val="18"/>
          <w:sz w:val="22"/>
          <w:szCs w:val="22"/>
          <w:highlight w:val="none"/>
        </w:rPr>
        <w:t>⑴</w:t>
      </w:r>
      <w:r>
        <w:rPr>
          <w:rFonts w:ascii="楷体_GB2312" w:eastAsia="楷体_GB2312"/>
          <w:color w:val="auto"/>
          <w:kern w:val="18"/>
          <w:sz w:val="22"/>
          <w:szCs w:val="22"/>
          <w:highlight w:val="none"/>
        </w:rPr>
        <w:fldChar w:fldCharType="end"/>
      </w:r>
      <w:r>
        <w:rPr>
          <w:rFonts w:hint="eastAsia" w:ascii="楷体_GB2312" w:eastAsia="楷体_GB2312"/>
          <w:color w:val="auto"/>
          <w:kern w:val="18"/>
          <w:sz w:val="22"/>
          <w:szCs w:val="22"/>
          <w:highlight w:val="none"/>
        </w:rPr>
        <w:t xml:space="preserve"> 监理人每周一须提供上周的监理周报，每两周须根据</w:t>
      </w:r>
      <w:r>
        <w:rPr>
          <w:rFonts w:hint="eastAsia" w:ascii="楷体_GB2312" w:eastAsia="楷体_GB2312"/>
          <w:color w:val="auto"/>
          <w:kern w:val="18"/>
          <w:sz w:val="22"/>
          <w:szCs w:val="22"/>
          <w:highlight w:val="none"/>
          <w:lang w:eastAsia="zh-CN"/>
        </w:rPr>
        <w:t>委托人</w:t>
      </w:r>
      <w:r>
        <w:rPr>
          <w:rFonts w:hint="eastAsia" w:ascii="楷体_GB2312" w:eastAsia="楷体_GB2312"/>
          <w:color w:val="auto"/>
          <w:kern w:val="18"/>
          <w:sz w:val="22"/>
          <w:szCs w:val="22"/>
          <w:highlight w:val="none"/>
        </w:rPr>
        <w:t>的要求按照规定的格式提供工程进展情况汇报材料，每月须提供上月的监理月报，同时提交本月监理计划。</w:t>
      </w:r>
    </w:p>
    <w:p>
      <w:pPr>
        <w:tabs>
          <w:tab w:val="left" w:pos="426"/>
        </w:tabs>
        <w:ind w:firstLine="440" w:firstLineChars="200"/>
        <w:rPr>
          <w:rFonts w:ascii="楷体_GB2312" w:eastAsia="楷体_GB2312"/>
          <w:color w:val="auto"/>
          <w:kern w:val="18"/>
          <w:sz w:val="22"/>
          <w:szCs w:val="22"/>
          <w:highlight w:val="none"/>
        </w:rPr>
      </w:pPr>
      <w:r>
        <w:rPr>
          <w:rFonts w:ascii="楷体_GB2312" w:eastAsia="楷体_GB2312"/>
          <w:color w:val="auto"/>
          <w:kern w:val="18"/>
          <w:sz w:val="22"/>
          <w:szCs w:val="22"/>
          <w:highlight w:val="none"/>
        </w:rPr>
        <w:fldChar w:fldCharType="begin"/>
      </w:r>
      <w:r>
        <w:rPr>
          <w:rFonts w:ascii="楷体_GB2312" w:eastAsia="楷体_GB2312"/>
          <w:color w:val="auto"/>
          <w:kern w:val="18"/>
          <w:sz w:val="22"/>
          <w:szCs w:val="22"/>
          <w:highlight w:val="none"/>
        </w:rPr>
        <w:instrText xml:space="preserve"> </w:instrText>
      </w:r>
      <w:r>
        <w:rPr>
          <w:rFonts w:hint="eastAsia" w:ascii="楷体_GB2312" w:eastAsia="楷体_GB2312"/>
          <w:color w:val="auto"/>
          <w:kern w:val="18"/>
          <w:sz w:val="22"/>
          <w:szCs w:val="22"/>
          <w:highlight w:val="none"/>
        </w:rPr>
        <w:instrText xml:space="preserve">= 2 \* GB2</w:instrText>
      </w:r>
      <w:r>
        <w:rPr>
          <w:rFonts w:ascii="楷体_GB2312" w:eastAsia="楷体_GB2312"/>
          <w:color w:val="auto"/>
          <w:kern w:val="18"/>
          <w:sz w:val="22"/>
          <w:szCs w:val="22"/>
          <w:highlight w:val="none"/>
        </w:rPr>
        <w:instrText xml:space="preserve"> </w:instrText>
      </w:r>
      <w:r>
        <w:rPr>
          <w:rFonts w:ascii="楷体_GB2312" w:eastAsia="楷体_GB2312"/>
          <w:color w:val="auto"/>
          <w:kern w:val="18"/>
          <w:sz w:val="22"/>
          <w:szCs w:val="22"/>
          <w:highlight w:val="none"/>
        </w:rPr>
        <w:fldChar w:fldCharType="separate"/>
      </w:r>
      <w:r>
        <w:rPr>
          <w:rFonts w:hint="eastAsia" w:ascii="楷体_GB2312" w:eastAsia="楷体_GB2312"/>
          <w:color w:val="auto"/>
          <w:kern w:val="18"/>
          <w:sz w:val="22"/>
          <w:szCs w:val="22"/>
          <w:highlight w:val="none"/>
        </w:rPr>
        <w:t>⑵</w:t>
      </w:r>
      <w:r>
        <w:rPr>
          <w:rFonts w:ascii="楷体_GB2312" w:eastAsia="楷体_GB2312"/>
          <w:color w:val="auto"/>
          <w:kern w:val="18"/>
          <w:sz w:val="22"/>
          <w:szCs w:val="22"/>
          <w:highlight w:val="none"/>
        </w:rPr>
        <w:fldChar w:fldCharType="end"/>
      </w:r>
      <w:r>
        <w:rPr>
          <w:rFonts w:hint="eastAsia" w:ascii="楷体_GB2312" w:eastAsia="楷体_GB2312"/>
          <w:color w:val="auto"/>
          <w:kern w:val="18"/>
          <w:sz w:val="22"/>
          <w:szCs w:val="22"/>
          <w:highlight w:val="none"/>
        </w:rPr>
        <w:t xml:space="preserve"> 监理人须提供计量台账、变更台账和投资控制月报表，计量台账、变更台账和投资控制月报表应及时更新，随时供</w:t>
      </w:r>
      <w:r>
        <w:rPr>
          <w:rFonts w:hint="eastAsia" w:ascii="楷体_GB2312" w:eastAsia="楷体_GB2312"/>
          <w:color w:val="auto"/>
          <w:kern w:val="18"/>
          <w:sz w:val="22"/>
          <w:szCs w:val="22"/>
          <w:highlight w:val="none"/>
          <w:lang w:eastAsia="zh-CN"/>
        </w:rPr>
        <w:t>委托人</w:t>
      </w:r>
      <w:r>
        <w:rPr>
          <w:rFonts w:hint="eastAsia" w:ascii="楷体_GB2312" w:eastAsia="楷体_GB2312"/>
          <w:color w:val="auto"/>
          <w:kern w:val="18"/>
          <w:sz w:val="22"/>
          <w:szCs w:val="22"/>
          <w:highlight w:val="none"/>
        </w:rPr>
        <w:t>查询。</w:t>
      </w:r>
    </w:p>
    <w:p>
      <w:pPr>
        <w:tabs>
          <w:tab w:val="left" w:pos="426"/>
        </w:tabs>
        <w:ind w:firstLine="440" w:firstLineChars="200"/>
        <w:rPr>
          <w:rFonts w:ascii="楷体_GB2312" w:eastAsia="楷体_GB2312"/>
          <w:color w:val="auto"/>
          <w:kern w:val="18"/>
          <w:sz w:val="22"/>
          <w:szCs w:val="22"/>
          <w:highlight w:val="none"/>
        </w:rPr>
      </w:pPr>
      <w:r>
        <w:rPr>
          <w:rFonts w:ascii="楷体_GB2312" w:eastAsia="楷体_GB2312"/>
          <w:color w:val="auto"/>
          <w:kern w:val="18"/>
          <w:sz w:val="22"/>
          <w:szCs w:val="22"/>
          <w:highlight w:val="none"/>
        </w:rPr>
        <w:fldChar w:fldCharType="begin"/>
      </w:r>
      <w:r>
        <w:rPr>
          <w:rFonts w:ascii="楷体_GB2312" w:eastAsia="楷体_GB2312"/>
          <w:color w:val="auto"/>
          <w:kern w:val="18"/>
          <w:sz w:val="22"/>
          <w:szCs w:val="22"/>
          <w:highlight w:val="none"/>
        </w:rPr>
        <w:instrText xml:space="preserve"> </w:instrText>
      </w:r>
      <w:r>
        <w:rPr>
          <w:rFonts w:hint="eastAsia" w:ascii="楷体_GB2312" w:eastAsia="楷体_GB2312"/>
          <w:color w:val="auto"/>
          <w:kern w:val="18"/>
          <w:sz w:val="22"/>
          <w:szCs w:val="22"/>
          <w:highlight w:val="none"/>
        </w:rPr>
        <w:instrText xml:space="preserve">= 3 \* GB2</w:instrText>
      </w:r>
      <w:r>
        <w:rPr>
          <w:rFonts w:ascii="楷体_GB2312" w:eastAsia="楷体_GB2312"/>
          <w:color w:val="auto"/>
          <w:kern w:val="18"/>
          <w:sz w:val="22"/>
          <w:szCs w:val="22"/>
          <w:highlight w:val="none"/>
        </w:rPr>
        <w:instrText xml:space="preserve"> </w:instrText>
      </w:r>
      <w:r>
        <w:rPr>
          <w:rFonts w:ascii="楷体_GB2312" w:eastAsia="楷体_GB2312"/>
          <w:color w:val="auto"/>
          <w:kern w:val="18"/>
          <w:sz w:val="22"/>
          <w:szCs w:val="22"/>
          <w:highlight w:val="none"/>
        </w:rPr>
        <w:fldChar w:fldCharType="separate"/>
      </w:r>
      <w:r>
        <w:rPr>
          <w:rFonts w:hint="eastAsia" w:ascii="楷体_GB2312" w:eastAsia="楷体_GB2312"/>
          <w:color w:val="auto"/>
          <w:kern w:val="18"/>
          <w:sz w:val="22"/>
          <w:szCs w:val="22"/>
          <w:highlight w:val="none"/>
        </w:rPr>
        <w:t>⑶</w:t>
      </w:r>
      <w:r>
        <w:rPr>
          <w:rFonts w:ascii="楷体_GB2312" w:eastAsia="楷体_GB2312"/>
          <w:color w:val="auto"/>
          <w:kern w:val="18"/>
          <w:sz w:val="22"/>
          <w:szCs w:val="22"/>
          <w:highlight w:val="none"/>
        </w:rPr>
        <w:fldChar w:fldCharType="end"/>
      </w:r>
      <w:r>
        <w:rPr>
          <w:rFonts w:hint="eastAsia" w:ascii="楷体_GB2312" w:eastAsia="楷体_GB2312"/>
          <w:color w:val="auto"/>
          <w:kern w:val="18"/>
          <w:sz w:val="22"/>
          <w:szCs w:val="22"/>
          <w:highlight w:val="none"/>
        </w:rPr>
        <w:t xml:space="preserve"> 监理人在每周工程例会前须向</w:t>
      </w:r>
      <w:r>
        <w:rPr>
          <w:rFonts w:hint="eastAsia" w:ascii="楷体_GB2312" w:eastAsia="楷体_GB2312"/>
          <w:color w:val="auto"/>
          <w:kern w:val="18"/>
          <w:sz w:val="22"/>
          <w:szCs w:val="22"/>
          <w:highlight w:val="none"/>
          <w:lang w:eastAsia="zh-CN"/>
        </w:rPr>
        <w:t>委托人</w:t>
      </w:r>
      <w:r>
        <w:rPr>
          <w:rFonts w:hint="eastAsia" w:ascii="楷体_GB2312" w:eastAsia="楷体_GB2312"/>
          <w:color w:val="auto"/>
          <w:kern w:val="18"/>
          <w:sz w:val="22"/>
          <w:szCs w:val="22"/>
          <w:highlight w:val="none"/>
        </w:rPr>
        <w:t>提供本周例会议题，会后整理会议纪要。</w:t>
      </w:r>
    </w:p>
    <w:p>
      <w:pPr>
        <w:tabs>
          <w:tab w:val="left" w:pos="426"/>
        </w:tabs>
        <w:ind w:firstLine="440" w:firstLineChars="200"/>
        <w:rPr>
          <w:rFonts w:ascii="楷体_GB2312" w:eastAsia="楷体_GB2312"/>
          <w:color w:val="auto"/>
          <w:kern w:val="18"/>
          <w:sz w:val="22"/>
          <w:szCs w:val="22"/>
          <w:highlight w:val="none"/>
        </w:rPr>
      </w:pPr>
      <w:r>
        <w:rPr>
          <w:rFonts w:ascii="楷体_GB2312" w:eastAsia="楷体_GB2312"/>
          <w:color w:val="auto"/>
          <w:kern w:val="18"/>
          <w:sz w:val="22"/>
          <w:szCs w:val="22"/>
          <w:highlight w:val="none"/>
        </w:rPr>
        <w:fldChar w:fldCharType="begin"/>
      </w:r>
      <w:r>
        <w:rPr>
          <w:rFonts w:ascii="楷体_GB2312" w:eastAsia="楷体_GB2312"/>
          <w:color w:val="auto"/>
          <w:kern w:val="18"/>
          <w:sz w:val="22"/>
          <w:szCs w:val="22"/>
          <w:highlight w:val="none"/>
        </w:rPr>
        <w:instrText xml:space="preserve"> </w:instrText>
      </w:r>
      <w:r>
        <w:rPr>
          <w:rFonts w:hint="eastAsia" w:ascii="楷体_GB2312" w:eastAsia="楷体_GB2312"/>
          <w:color w:val="auto"/>
          <w:kern w:val="18"/>
          <w:sz w:val="22"/>
          <w:szCs w:val="22"/>
          <w:highlight w:val="none"/>
        </w:rPr>
        <w:instrText xml:space="preserve">= 4 \* GB2</w:instrText>
      </w:r>
      <w:r>
        <w:rPr>
          <w:rFonts w:ascii="楷体_GB2312" w:eastAsia="楷体_GB2312"/>
          <w:color w:val="auto"/>
          <w:kern w:val="18"/>
          <w:sz w:val="22"/>
          <w:szCs w:val="22"/>
          <w:highlight w:val="none"/>
        </w:rPr>
        <w:instrText xml:space="preserve"> </w:instrText>
      </w:r>
      <w:r>
        <w:rPr>
          <w:rFonts w:ascii="楷体_GB2312" w:eastAsia="楷体_GB2312"/>
          <w:color w:val="auto"/>
          <w:kern w:val="18"/>
          <w:sz w:val="22"/>
          <w:szCs w:val="22"/>
          <w:highlight w:val="none"/>
        </w:rPr>
        <w:fldChar w:fldCharType="separate"/>
      </w:r>
      <w:r>
        <w:rPr>
          <w:rFonts w:hint="eastAsia" w:ascii="楷体_GB2312" w:eastAsia="楷体_GB2312"/>
          <w:color w:val="auto"/>
          <w:kern w:val="18"/>
          <w:sz w:val="22"/>
          <w:szCs w:val="22"/>
          <w:highlight w:val="none"/>
        </w:rPr>
        <w:t>⑷</w:t>
      </w:r>
      <w:r>
        <w:rPr>
          <w:rFonts w:ascii="楷体_GB2312" w:eastAsia="楷体_GB2312"/>
          <w:color w:val="auto"/>
          <w:kern w:val="18"/>
          <w:sz w:val="22"/>
          <w:szCs w:val="22"/>
          <w:highlight w:val="none"/>
        </w:rPr>
        <w:fldChar w:fldCharType="end"/>
      </w:r>
      <w:r>
        <w:rPr>
          <w:rFonts w:hint="eastAsia" w:ascii="楷体_GB2312" w:eastAsia="楷体_GB2312"/>
          <w:color w:val="auto"/>
          <w:kern w:val="18"/>
          <w:sz w:val="22"/>
          <w:szCs w:val="22"/>
          <w:highlight w:val="none"/>
        </w:rPr>
        <w:t xml:space="preserve"> 监理人负责监督管理有关设计事宜。负责审查现有图纸的完整性，负责督办设计缺陷整改和审查设计变更。对设计审查意见的贯彻执行情况进行检查，并跟踪设计人或相关单位对问题的处理及执行结果。</w:t>
      </w:r>
    </w:p>
    <w:p>
      <w:pPr>
        <w:tabs>
          <w:tab w:val="left" w:pos="426"/>
        </w:tabs>
        <w:ind w:firstLine="440" w:firstLineChars="200"/>
        <w:rPr>
          <w:rFonts w:ascii="楷体_GB2312" w:eastAsia="楷体_GB2312"/>
          <w:color w:val="auto"/>
          <w:kern w:val="18"/>
          <w:sz w:val="22"/>
          <w:szCs w:val="22"/>
          <w:highlight w:val="none"/>
        </w:rPr>
      </w:pPr>
      <w:r>
        <w:rPr>
          <w:rFonts w:ascii="楷体_GB2312" w:eastAsia="楷体_GB2312"/>
          <w:color w:val="auto"/>
          <w:kern w:val="18"/>
          <w:sz w:val="22"/>
          <w:szCs w:val="22"/>
          <w:highlight w:val="none"/>
        </w:rPr>
        <w:fldChar w:fldCharType="begin"/>
      </w:r>
      <w:r>
        <w:rPr>
          <w:rFonts w:ascii="楷体_GB2312" w:eastAsia="楷体_GB2312"/>
          <w:color w:val="auto"/>
          <w:kern w:val="18"/>
          <w:sz w:val="22"/>
          <w:szCs w:val="22"/>
          <w:highlight w:val="none"/>
        </w:rPr>
        <w:instrText xml:space="preserve"> </w:instrText>
      </w:r>
      <w:r>
        <w:rPr>
          <w:rFonts w:hint="eastAsia" w:ascii="楷体_GB2312" w:eastAsia="楷体_GB2312"/>
          <w:color w:val="auto"/>
          <w:kern w:val="18"/>
          <w:sz w:val="22"/>
          <w:szCs w:val="22"/>
          <w:highlight w:val="none"/>
        </w:rPr>
        <w:instrText xml:space="preserve">= 5 \* GB2</w:instrText>
      </w:r>
      <w:r>
        <w:rPr>
          <w:rFonts w:ascii="楷体_GB2312" w:eastAsia="楷体_GB2312"/>
          <w:color w:val="auto"/>
          <w:kern w:val="18"/>
          <w:sz w:val="22"/>
          <w:szCs w:val="22"/>
          <w:highlight w:val="none"/>
        </w:rPr>
        <w:instrText xml:space="preserve"> </w:instrText>
      </w:r>
      <w:r>
        <w:rPr>
          <w:rFonts w:ascii="楷体_GB2312" w:eastAsia="楷体_GB2312"/>
          <w:color w:val="auto"/>
          <w:kern w:val="18"/>
          <w:sz w:val="22"/>
          <w:szCs w:val="22"/>
          <w:highlight w:val="none"/>
        </w:rPr>
        <w:fldChar w:fldCharType="separate"/>
      </w:r>
      <w:r>
        <w:rPr>
          <w:rFonts w:hint="eastAsia" w:ascii="楷体_GB2312" w:eastAsia="楷体_GB2312"/>
          <w:color w:val="auto"/>
          <w:kern w:val="18"/>
          <w:sz w:val="22"/>
          <w:szCs w:val="22"/>
          <w:highlight w:val="none"/>
        </w:rPr>
        <w:t>⑸</w:t>
      </w:r>
      <w:r>
        <w:rPr>
          <w:rFonts w:ascii="楷体_GB2312" w:eastAsia="楷体_GB2312"/>
          <w:color w:val="auto"/>
          <w:kern w:val="18"/>
          <w:sz w:val="22"/>
          <w:szCs w:val="22"/>
          <w:highlight w:val="none"/>
        </w:rPr>
        <w:fldChar w:fldCharType="end"/>
      </w:r>
      <w:r>
        <w:rPr>
          <w:rFonts w:hint="eastAsia" w:ascii="楷体_GB2312" w:eastAsia="楷体_GB2312"/>
          <w:color w:val="auto"/>
          <w:kern w:val="18"/>
          <w:sz w:val="22"/>
          <w:szCs w:val="22"/>
          <w:highlight w:val="none"/>
        </w:rPr>
        <w:t xml:space="preserve"> 协助</w:t>
      </w:r>
      <w:r>
        <w:rPr>
          <w:rFonts w:hint="eastAsia" w:ascii="楷体_GB2312" w:eastAsia="楷体_GB2312"/>
          <w:color w:val="auto"/>
          <w:kern w:val="18"/>
          <w:sz w:val="22"/>
          <w:szCs w:val="22"/>
          <w:highlight w:val="none"/>
          <w:lang w:eastAsia="zh-CN"/>
        </w:rPr>
        <w:t>委托人</w:t>
      </w:r>
      <w:r>
        <w:rPr>
          <w:rFonts w:hint="eastAsia" w:ascii="楷体_GB2312" w:eastAsia="楷体_GB2312"/>
          <w:color w:val="auto"/>
          <w:kern w:val="18"/>
          <w:sz w:val="22"/>
          <w:szCs w:val="22"/>
          <w:highlight w:val="none"/>
        </w:rPr>
        <w:t>对重大技术问题进行分析、决策或建议。</w:t>
      </w:r>
    </w:p>
    <w:p>
      <w:pPr>
        <w:tabs>
          <w:tab w:val="left" w:pos="426"/>
        </w:tabs>
        <w:ind w:firstLine="440" w:firstLineChars="200"/>
        <w:rPr>
          <w:rFonts w:ascii="楷体_GB2312" w:eastAsia="楷体_GB2312"/>
          <w:color w:val="auto"/>
          <w:kern w:val="18"/>
          <w:sz w:val="22"/>
          <w:szCs w:val="22"/>
          <w:highlight w:val="none"/>
        </w:rPr>
      </w:pPr>
      <w:r>
        <w:rPr>
          <w:rFonts w:ascii="楷体_GB2312" w:eastAsia="楷体_GB2312"/>
          <w:color w:val="auto"/>
          <w:kern w:val="18"/>
          <w:sz w:val="22"/>
          <w:szCs w:val="22"/>
          <w:highlight w:val="none"/>
        </w:rPr>
        <w:fldChar w:fldCharType="begin"/>
      </w:r>
      <w:r>
        <w:rPr>
          <w:rFonts w:ascii="楷体_GB2312" w:eastAsia="楷体_GB2312"/>
          <w:color w:val="auto"/>
          <w:kern w:val="18"/>
          <w:sz w:val="22"/>
          <w:szCs w:val="22"/>
          <w:highlight w:val="none"/>
        </w:rPr>
        <w:instrText xml:space="preserve"> </w:instrText>
      </w:r>
      <w:r>
        <w:rPr>
          <w:rFonts w:hint="eastAsia" w:ascii="楷体_GB2312" w:eastAsia="楷体_GB2312"/>
          <w:color w:val="auto"/>
          <w:kern w:val="18"/>
          <w:sz w:val="22"/>
          <w:szCs w:val="22"/>
          <w:highlight w:val="none"/>
        </w:rPr>
        <w:instrText xml:space="preserve">= 6 \* GB2</w:instrText>
      </w:r>
      <w:r>
        <w:rPr>
          <w:rFonts w:ascii="楷体_GB2312" w:eastAsia="楷体_GB2312"/>
          <w:color w:val="auto"/>
          <w:kern w:val="18"/>
          <w:sz w:val="22"/>
          <w:szCs w:val="22"/>
          <w:highlight w:val="none"/>
        </w:rPr>
        <w:instrText xml:space="preserve"> </w:instrText>
      </w:r>
      <w:r>
        <w:rPr>
          <w:rFonts w:ascii="楷体_GB2312" w:eastAsia="楷体_GB2312"/>
          <w:color w:val="auto"/>
          <w:kern w:val="18"/>
          <w:sz w:val="22"/>
          <w:szCs w:val="22"/>
          <w:highlight w:val="none"/>
        </w:rPr>
        <w:fldChar w:fldCharType="separate"/>
      </w:r>
      <w:r>
        <w:rPr>
          <w:rFonts w:hint="eastAsia" w:ascii="楷体_GB2312" w:eastAsia="楷体_GB2312"/>
          <w:color w:val="auto"/>
          <w:kern w:val="18"/>
          <w:sz w:val="22"/>
          <w:szCs w:val="22"/>
          <w:highlight w:val="none"/>
        </w:rPr>
        <w:t>⑹</w:t>
      </w:r>
      <w:r>
        <w:rPr>
          <w:rFonts w:ascii="楷体_GB2312" w:eastAsia="楷体_GB2312"/>
          <w:color w:val="auto"/>
          <w:kern w:val="18"/>
          <w:sz w:val="22"/>
          <w:szCs w:val="22"/>
          <w:highlight w:val="none"/>
        </w:rPr>
        <w:fldChar w:fldCharType="end"/>
      </w:r>
      <w:r>
        <w:rPr>
          <w:rFonts w:hint="eastAsia" w:ascii="楷体_GB2312" w:eastAsia="楷体_GB2312"/>
          <w:color w:val="auto"/>
          <w:kern w:val="18"/>
          <w:sz w:val="22"/>
          <w:szCs w:val="22"/>
          <w:highlight w:val="none"/>
        </w:rPr>
        <w:t xml:space="preserve"> 协助</w:t>
      </w:r>
      <w:r>
        <w:rPr>
          <w:rFonts w:hint="eastAsia" w:ascii="楷体_GB2312" w:eastAsia="楷体_GB2312"/>
          <w:color w:val="auto"/>
          <w:kern w:val="18"/>
          <w:sz w:val="22"/>
          <w:szCs w:val="22"/>
          <w:highlight w:val="none"/>
          <w:lang w:eastAsia="zh-CN"/>
        </w:rPr>
        <w:t>委托人</w:t>
      </w:r>
      <w:r>
        <w:rPr>
          <w:rFonts w:hint="eastAsia" w:ascii="楷体_GB2312" w:eastAsia="楷体_GB2312"/>
          <w:color w:val="auto"/>
          <w:kern w:val="18"/>
          <w:sz w:val="22"/>
          <w:szCs w:val="22"/>
          <w:highlight w:val="none"/>
        </w:rPr>
        <w:t>处理一般技术问题，及时发现并提交书面处理意见。</w:t>
      </w:r>
    </w:p>
    <w:p>
      <w:pPr>
        <w:tabs>
          <w:tab w:val="left" w:pos="426"/>
        </w:tabs>
        <w:ind w:firstLine="440" w:firstLineChars="200"/>
        <w:rPr>
          <w:rFonts w:ascii="楷体_GB2312" w:eastAsia="楷体_GB2312"/>
          <w:color w:val="auto"/>
          <w:kern w:val="18"/>
          <w:sz w:val="22"/>
          <w:szCs w:val="22"/>
          <w:highlight w:val="none"/>
        </w:rPr>
      </w:pPr>
      <w:r>
        <w:rPr>
          <w:rFonts w:ascii="楷体_GB2312" w:eastAsia="楷体_GB2312"/>
          <w:color w:val="auto"/>
          <w:kern w:val="18"/>
          <w:sz w:val="22"/>
          <w:szCs w:val="22"/>
          <w:highlight w:val="none"/>
        </w:rPr>
        <w:fldChar w:fldCharType="begin"/>
      </w:r>
      <w:r>
        <w:rPr>
          <w:rFonts w:ascii="楷体_GB2312" w:eastAsia="楷体_GB2312"/>
          <w:color w:val="auto"/>
          <w:kern w:val="18"/>
          <w:sz w:val="22"/>
          <w:szCs w:val="22"/>
          <w:highlight w:val="none"/>
        </w:rPr>
        <w:instrText xml:space="preserve"> </w:instrText>
      </w:r>
      <w:r>
        <w:rPr>
          <w:rFonts w:hint="eastAsia" w:ascii="楷体_GB2312" w:eastAsia="楷体_GB2312"/>
          <w:color w:val="auto"/>
          <w:kern w:val="18"/>
          <w:sz w:val="22"/>
          <w:szCs w:val="22"/>
          <w:highlight w:val="none"/>
        </w:rPr>
        <w:instrText xml:space="preserve">= 7 \* GB2</w:instrText>
      </w:r>
      <w:r>
        <w:rPr>
          <w:rFonts w:ascii="楷体_GB2312" w:eastAsia="楷体_GB2312"/>
          <w:color w:val="auto"/>
          <w:kern w:val="18"/>
          <w:sz w:val="22"/>
          <w:szCs w:val="22"/>
          <w:highlight w:val="none"/>
        </w:rPr>
        <w:instrText xml:space="preserve"> </w:instrText>
      </w:r>
      <w:r>
        <w:rPr>
          <w:rFonts w:ascii="楷体_GB2312" w:eastAsia="楷体_GB2312"/>
          <w:color w:val="auto"/>
          <w:kern w:val="18"/>
          <w:sz w:val="22"/>
          <w:szCs w:val="22"/>
          <w:highlight w:val="none"/>
        </w:rPr>
        <w:fldChar w:fldCharType="separate"/>
      </w:r>
      <w:r>
        <w:rPr>
          <w:rFonts w:hint="eastAsia" w:ascii="楷体_GB2312" w:eastAsia="楷体_GB2312"/>
          <w:color w:val="auto"/>
          <w:kern w:val="18"/>
          <w:sz w:val="22"/>
          <w:szCs w:val="22"/>
          <w:highlight w:val="none"/>
        </w:rPr>
        <w:t>⑺</w:t>
      </w:r>
      <w:r>
        <w:rPr>
          <w:rFonts w:ascii="楷体_GB2312" w:eastAsia="楷体_GB2312"/>
          <w:color w:val="auto"/>
          <w:kern w:val="18"/>
          <w:sz w:val="22"/>
          <w:szCs w:val="22"/>
          <w:highlight w:val="none"/>
        </w:rPr>
        <w:fldChar w:fldCharType="end"/>
      </w:r>
      <w:r>
        <w:rPr>
          <w:rFonts w:hint="eastAsia" w:ascii="楷体_GB2312" w:eastAsia="楷体_GB2312"/>
          <w:color w:val="auto"/>
          <w:kern w:val="18"/>
          <w:sz w:val="22"/>
          <w:szCs w:val="22"/>
          <w:highlight w:val="none"/>
        </w:rPr>
        <w:t xml:space="preserve"> 监理人须严格审查变更（含签证），确保估算造价的准确性。</w:t>
      </w:r>
    </w:p>
    <w:p>
      <w:pPr>
        <w:tabs>
          <w:tab w:val="left" w:pos="426"/>
        </w:tabs>
        <w:ind w:firstLine="440" w:firstLineChars="200"/>
        <w:rPr>
          <w:rFonts w:ascii="楷体_GB2312" w:eastAsia="楷体_GB2312"/>
          <w:color w:val="auto"/>
          <w:kern w:val="18"/>
          <w:sz w:val="22"/>
          <w:szCs w:val="22"/>
          <w:highlight w:val="none"/>
        </w:rPr>
      </w:pPr>
      <w:r>
        <w:rPr>
          <w:rFonts w:ascii="楷体_GB2312" w:eastAsia="楷体_GB2312"/>
          <w:color w:val="auto"/>
          <w:kern w:val="18"/>
          <w:sz w:val="22"/>
          <w:szCs w:val="22"/>
          <w:highlight w:val="none"/>
        </w:rPr>
        <w:fldChar w:fldCharType="begin"/>
      </w:r>
      <w:r>
        <w:rPr>
          <w:rFonts w:ascii="楷体_GB2312" w:eastAsia="楷体_GB2312"/>
          <w:color w:val="auto"/>
          <w:kern w:val="18"/>
          <w:sz w:val="22"/>
          <w:szCs w:val="22"/>
          <w:highlight w:val="none"/>
        </w:rPr>
        <w:instrText xml:space="preserve"> </w:instrText>
      </w:r>
      <w:r>
        <w:rPr>
          <w:rFonts w:hint="eastAsia" w:ascii="楷体_GB2312" w:eastAsia="楷体_GB2312"/>
          <w:color w:val="auto"/>
          <w:kern w:val="18"/>
          <w:sz w:val="22"/>
          <w:szCs w:val="22"/>
          <w:highlight w:val="none"/>
        </w:rPr>
        <w:instrText xml:space="preserve">= 8 \* GB2</w:instrText>
      </w:r>
      <w:r>
        <w:rPr>
          <w:rFonts w:ascii="楷体_GB2312" w:eastAsia="楷体_GB2312"/>
          <w:color w:val="auto"/>
          <w:kern w:val="18"/>
          <w:sz w:val="22"/>
          <w:szCs w:val="22"/>
          <w:highlight w:val="none"/>
        </w:rPr>
        <w:instrText xml:space="preserve"> </w:instrText>
      </w:r>
      <w:r>
        <w:rPr>
          <w:rFonts w:ascii="楷体_GB2312" w:eastAsia="楷体_GB2312"/>
          <w:color w:val="auto"/>
          <w:kern w:val="18"/>
          <w:sz w:val="22"/>
          <w:szCs w:val="22"/>
          <w:highlight w:val="none"/>
        </w:rPr>
        <w:fldChar w:fldCharType="separate"/>
      </w:r>
      <w:r>
        <w:rPr>
          <w:rFonts w:hint="eastAsia" w:ascii="楷体_GB2312" w:eastAsia="楷体_GB2312"/>
          <w:color w:val="auto"/>
          <w:kern w:val="18"/>
          <w:sz w:val="22"/>
          <w:szCs w:val="22"/>
          <w:highlight w:val="none"/>
        </w:rPr>
        <w:t>⑻</w:t>
      </w:r>
      <w:r>
        <w:rPr>
          <w:rFonts w:ascii="楷体_GB2312" w:eastAsia="楷体_GB2312"/>
          <w:color w:val="auto"/>
          <w:kern w:val="18"/>
          <w:sz w:val="22"/>
          <w:szCs w:val="22"/>
          <w:highlight w:val="none"/>
        </w:rPr>
        <w:fldChar w:fldCharType="end"/>
      </w:r>
      <w:r>
        <w:rPr>
          <w:rFonts w:hint="eastAsia" w:ascii="楷体_GB2312" w:eastAsia="楷体_GB2312"/>
          <w:color w:val="auto"/>
          <w:kern w:val="18"/>
          <w:sz w:val="22"/>
          <w:szCs w:val="22"/>
          <w:highlight w:val="none"/>
        </w:rPr>
        <w:t xml:space="preserve"> 对造价咨询单位提供的工程量清单进行复核，并提交书面复核意见。</w:t>
      </w:r>
    </w:p>
    <w:p>
      <w:pPr>
        <w:tabs>
          <w:tab w:val="left" w:pos="426"/>
        </w:tabs>
        <w:ind w:firstLine="440" w:firstLineChars="200"/>
        <w:rPr>
          <w:rFonts w:ascii="楷体_GB2312" w:eastAsia="楷体_GB2312"/>
          <w:color w:val="auto"/>
          <w:kern w:val="18"/>
          <w:sz w:val="22"/>
          <w:szCs w:val="22"/>
          <w:highlight w:val="none"/>
        </w:rPr>
      </w:pPr>
      <w:r>
        <w:rPr>
          <w:rFonts w:ascii="楷体_GB2312" w:eastAsia="楷体_GB2312"/>
          <w:color w:val="auto"/>
          <w:kern w:val="18"/>
          <w:sz w:val="22"/>
          <w:szCs w:val="22"/>
          <w:highlight w:val="none"/>
        </w:rPr>
        <w:fldChar w:fldCharType="begin"/>
      </w:r>
      <w:r>
        <w:rPr>
          <w:rFonts w:ascii="楷体_GB2312" w:eastAsia="楷体_GB2312"/>
          <w:color w:val="auto"/>
          <w:kern w:val="18"/>
          <w:sz w:val="22"/>
          <w:szCs w:val="22"/>
          <w:highlight w:val="none"/>
        </w:rPr>
        <w:instrText xml:space="preserve"> </w:instrText>
      </w:r>
      <w:r>
        <w:rPr>
          <w:rFonts w:hint="eastAsia" w:ascii="楷体_GB2312" w:eastAsia="楷体_GB2312"/>
          <w:color w:val="auto"/>
          <w:kern w:val="18"/>
          <w:sz w:val="22"/>
          <w:szCs w:val="22"/>
          <w:highlight w:val="none"/>
        </w:rPr>
        <w:instrText xml:space="preserve">= 9 \* GB2</w:instrText>
      </w:r>
      <w:r>
        <w:rPr>
          <w:rFonts w:ascii="楷体_GB2312" w:eastAsia="楷体_GB2312"/>
          <w:color w:val="auto"/>
          <w:kern w:val="18"/>
          <w:sz w:val="22"/>
          <w:szCs w:val="22"/>
          <w:highlight w:val="none"/>
        </w:rPr>
        <w:instrText xml:space="preserve"> </w:instrText>
      </w:r>
      <w:r>
        <w:rPr>
          <w:rFonts w:ascii="楷体_GB2312" w:eastAsia="楷体_GB2312"/>
          <w:color w:val="auto"/>
          <w:kern w:val="18"/>
          <w:sz w:val="22"/>
          <w:szCs w:val="22"/>
          <w:highlight w:val="none"/>
        </w:rPr>
        <w:fldChar w:fldCharType="separate"/>
      </w:r>
      <w:r>
        <w:rPr>
          <w:rFonts w:hint="eastAsia" w:ascii="楷体_GB2312" w:eastAsia="楷体_GB2312"/>
          <w:color w:val="auto"/>
          <w:kern w:val="18"/>
          <w:sz w:val="22"/>
          <w:szCs w:val="22"/>
          <w:highlight w:val="none"/>
        </w:rPr>
        <w:t>⑼</w:t>
      </w:r>
      <w:r>
        <w:rPr>
          <w:rFonts w:ascii="楷体_GB2312" w:eastAsia="楷体_GB2312"/>
          <w:color w:val="auto"/>
          <w:kern w:val="18"/>
          <w:sz w:val="22"/>
          <w:szCs w:val="22"/>
          <w:highlight w:val="none"/>
        </w:rPr>
        <w:fldChar w:fldCharType="end"/>
      </w:r>
      <w:r>
        <w:rPr>
          <w:rFonts w:hint="eastAsia" w:ascii="楷体_GB2312" w:eastAsia="楷体_GB2312"/>
          <w:color w:val="auto"/>
          <w:kern w:val="18"/>
          <w:sz w:val="22"/>
          <w:szCs w:val="22"/>
          <w:highlight w:val="none"/>
        </w:rPr>
        <w:t xml:space="preserve"> 监理人须在一个月内对</w:t>
      </w:r>
      <w:r>
        <w:rPr>
          <w:rFonts w:hint="eastAsia" w:ascii="楷体_GB2312" w:eastAsia="楷体_GB2312"/>
          <w:color w:val="auto"/>
          <w:kern w:val="18"/>
          <w:sz w:val="22"/>
          <w:szCs w:val="22"/>
          <w:highlight w:val="none"/>
          <w:lang w:eastAsia="zh-CN"/>
        </w:rPr>
        <w:t>承包人</w:t>
      </w:r>
      <w:r>
        <w:rPr>
          <w:rFonts w:hint="eastAsia" w:ascii="楷体_GB2312" w:eastAsia="楷体_GB2312"/>
          <w:color w:val="auto"/>
          <w:kern w:val="18"/>
          <w:sz w:val="22"/>
          <w:szCs w:val="22"/>
          <w:highlight w:val="none"/>
        </w:rPr>
        <w:t>申报的工程施工图预算或结算进行复核，并提交复核意见。</w:t>
      </w:r>
    </w:p>
    <w:p>
      <w:pPr>
        <w:tabs>
          <w:tab w:val="left" w:pos="426"/>
        </w:tabs>
        <w:ind w:firstLine="440" w:firstLineChars="200"/>
        <w:rPr>
          <w:rFonts w:ascii="楷体_GB2312" w:eastAsia="楷体_GB2312"/>
          <w:color w:val="auto"/>
          <w:kern w:val="18"/>
          <w:sz w:val="22"/>
          <w:szCs w:val="22"/>
          <w:highlight w:val="none"/>
        </w:rPr>
      </w:pPr>
      <w:r>
        <w:rPr>
          <w:rFonts w:ascii="楷体_GB2312" w:eastAsia="楷体_GB2312"/>
          <w:color w:val="auto"/>
          <w:kern w:val="18"/>
          <w:sz w:val="22"/>
          <w:szCs w:val="22"/>
          <w:highlight w:val="none"/>
        </w:rPr>
        <w:fldChar w:fldCharType="begin"/>
      </w:r>
      <w:r>
        <w:rPr>
          <w:rFonts w:ascii="楷体_GB2312" w:eastAsia="楷体_GB2312"/>
          <w:color w:val="auto"/>
          <w:kern w:val="18"/>
          <w:sz w:val="22"/>
          <w:szCs w:val="22"/>
          <w:highlight w:val="none"/>
        </w:rPr>
        <w:instrText xml:space="preserve"> </w:instrText>
      </w:r>
      <w:r>
        <w:rPr>
          <w:rFonts w:hint="eastAsia" w:ascii="楷体_GB2312" w:eastAsia="楷体_GB2312"/>
          <w:color w:val="auto"/>
          <w:kern w:val="18"/>
          <w:sz w:val="22"/>
          <w:szCs w:val="22"/>
          <w:highlight w:val="none"/>
        </w:rPr>
        <w:instrText xml:space="preserve">= 10 \* GB2</w:instrText>
      </w:r>
      <w:r>
        <w:rPr>
          <w:rFonts w:ascii="楷体_GB2312" w:eastAsia="楷体_GB2312"/>
          <w:color w:val="auto"/>
          <w:kern w:val="18"/>
          <w:sz w:val="22"/>
          <w:szCs w:val="22"/>
          <w:highlight w:val="none"/>
        </w:rPr>
        <w:instrText xml:space="preserve"> </w:instrText>
      </w:r>
      <w:r>
        <w:rPr>
          <w:rFonts w:ascii="楷体_GB2312" w:eastAsia="楷体_GB2312"/>
          <w:color w:val="auto"/>
          <w:kern w:val="18"/>
          <w:sz w:val="22"/>
          <w:szCs w:val="22"/>
          <w:highlight w:val="none"/>
        </w:rPr>
        <w:fldChar w:fldCharType="separate"/>
      </w:r>
      <w:r>
        <w:rPr>
          <w:rFonts w:hint="eastAsia" w:ascii="楷体_GB2312" w:eastAsia="楷体_GB2312"/>
          <w:color w:val="auto"/>
          <w:kern w:val="18"/>
          <w:sz w:val="22"/>
          <w:szCs w:val="22"/>
          <w:highlight w:val="none"/>
        </w:rPr>
        <w:t>⑽</w:t>
      </w:r>
      <w:r>
        <w:rPr>
          <w:rFonts w:ascii="楷体_GB2312" w:eastAsia="楷体_GB2312"/>
          <w:color w:val="auto"/>
          <w:kern w:val="18"/>
          <w:sz w:val="22"/>
          <w:szCs w:val="22"/>
          <w:highlight w:val="none"/>
        </w:rPr>
        <w:fldChar w:fldCharType="end"/>
      </w:r>
      <w:r>
        <w:rPr>
          <w:rFonts w:hint="eastAsia" w:ascii="楷体_GB2312" w:eastAsia="楷体_GB2312"/>
          <w:color w:val="auto"/>
          <w:kern w:val="18"/>
          <w:sz w:val="22"/>
          <w:szCs w:val="22"/>
          <w:highlight w:val="none"/>
        </w:rPr>
        <w:t xml:space="preserve"> 协助委托人制定本工程各项工作的详细实施计划，包括工程进度计划、资金需求计划及招标计划。协助委托人做好招标的各项工作（标底编制工作除外），协助</w:t>
      </w:r>
      <w:r>
        <w:rPr>
          <w:rFonts w:hint="eastAsia" w:ascii="楷体_GB2312" w:eastAsia="楷体_GB2312"/>
          <w:color w:val="auto"/>
          <w:kern w:val="18"/>
          <w:sz w:val="22"/>
          <w:szCs w:val="22"/>
          <w:highlight w:val="none"/>
          <w:lang w:eastAsia="zh-CN"/>
        </w:rPr>
        <w:t>委托人</w:t>
      </w:r>
      <w:r>
        <w:rPr>
          <w:rFonts w:hint="eastAsia" w:ascii="楷体_GB2312" w:eastAsia="楷体_GB2312"/>
          <w:color w:val="auto"/>
          <w:kern w:val="18"/>
          <w:sz w:val="22"/>
          <w:szCs w:val="22"/>
          <w:highlight w:val="none"/>
        </w:rPr>
        <w:t>签订与工程有关的合同等。</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2、在节假日期间，监理人须确保驻现场的监理人员完成能够满足工程的需要。</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3、及时、保质保量完成委托人交办的其他工作任务。</w:t>
      </w:r>
    </w:p>
    <w:p>
      <w:pPr>
        <w:tabs>
          <w:tab w:val="left" w:pos="426"/>
        </w:tabs>
        <w:ind w:firstLine="440" w:firstLineChars="200"/>
        <w:rPr>
          <w:rFonts w:ascii="楷体_GB2312" w:eastAsia="楷体_GB2312"/>
          <w:color w:val="auto"/>
          <w:kern w:val="18"/>
          <w:sz w:val="22"/>
          <w:szCs w:val="22"/>
          <w:highlight w:val="none"/>
        </w:rPr>
      </w:pPr>
    </w:p>
    <w:p>
      <w:pPr>
        <w:tabs>
          <w:tab w:val="left" w:pos="426"/>
        </w:tabs>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五、监理服务期限的延长或缩短</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监理服务期限为：自工程开工至工程竣工验收合格、保修期完成。</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监理合同履行期间，其它任何情形下，本项目的监理服务费均不因服务期限的延长或缩短予调整。</w:t>
      </w:r>
    </w:p>
    <w:p>
      <w:pPr>
        <w:tabs>
          <w:tab w:val="left" w:pos="426"/>
        </w:tabs>
        <w:ind w:firstLine="440" w:firstLineChars="200"/>
        <w:rPr>
          <w:rFonts w:ascii="楷体_GB2312" w:eastAsia="楷体_GB2312"/>
          <w:color w:val="auto"/>
          <w:kern w:val="18"/>
          <w:sz w:val="22"/>
          <w:szCs w:val="22"/>
          <w:highlight w:val="none"/>
        </w:rPr>
      </w:pPr>
    </w:p>
    <w:p>
      <w:pPr>
        <w:tabs>
          <w:tab w:val="left" w:pos="426"/>
        </w:tabs>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六、其他</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1、监理人为完成合同约定的监理目标所需支出的所有费用均已涵盖在合同价款内，如监理人不愿支付相关费用而可能造成监理目标无法实现，则由委托人代为支付或购买，并在合同价款内扣除。</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2、监理人须自行解决监理班子人员就餐问题，监理人不得到</w:t>
      </w:r>
      <w:r>
        <w:rPr>
          <w:rFonts w:hint="eastAsia" w:ascii="楷体_GB2312" w:eastAsia="楷体_GB2312"/>
          <w:color w:val="auto"/>
          <w:kern w:val="18"/>
          <w:sz w:val="22"/>
          <w:szCs w:val="22"/>
          <w:highlight w:val="none"/>
          <w:lang w:eastAsia="zh-CN"/>
        </w:rPr>
        <w:t>承包人</w:t>
      </w:r>
      <w:r>
        <w:rPr>
          <w:rFonts w:hint="eastAsia" w:ascii="楷体_GB2312" w:eastAsia="楷体_GB2312"/>
          <w:color w:val="auto"/>
          <w:kern w:val="18"/>
          <w:sz w:val="22"/>
          <w:szCs w:val="22"/>
          <w:highlight w:val="none"/>
        </w:rPr>
        <w:t>进行搭伙就餐。</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3、监理人收取监理服务酬金时，应当按照委托人的要求提供相应金额的发票及付款申请。否则，委托人有权暂停付款。</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4、监理人不履行本合同约定义务的，委托人有权催告其履行。经委托人催告后，监理人仍拒绝履行的，或监理人未按期整改完毕的，委托人有权单方面解除本合同。</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5、监理人须对其监理人员的人身、财产安全承担责任，在整个合同履行期间内为本工程的监理人员购买人身保险，保险时间随服务时间的延长而顺延。如果监理人未能办理此项保险，由此造成的损失由其自行负责。</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6、监理人有义务对本项目的设计及施工技术等问题提出合理化建议，经</w:t>
      </w:r>
      <w:r>
        <w:rPr>
          <w:rFonts w:hint="eastAsia" w:ascii="楷体_GB2312" w:eastAsia="楷体_GB2312"/>
          <w:color w:val="auto"/>
          <w:kern w:val="18"/>
          <w:sz w:val="22"/>
          <w:szCs w:val="22"/>
          <w:highlight w:val="none"/>
          <w:lang w:eastAsia="zh-CN"/>
        </w:rPr>
        <w:t>委托人</w:t>
      </w:r>
      <w:r>
        <w:rPr>
          <w:rFonts w:hint="eastAsia" w:ascii="楷体_GB2312" w:eastAsia="楷体_GB2312"/>
          <w:color w:val="auto"/>
          <w:kern w:val="18"/>
          <w:sz w:val="22"/>
          <w:szCs w:val="22"/>
          <w:highlight w:val="none"/>
        </w:rPr>
        <w:t>审核批准后方可使用。</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7、监理人如不按期与委托人签订合同或对招标文件、合同条款等提出异议的，则委托人将有权取消其中标资格，并向主管部门提交不良行为记录。给委托人造成损失的，还应当予以赔偿，同时依法承担相应法律责任。</w:t>
      </w:r>
    </w:p>
    <w:p>
      <w:pPr>
        <w:tabs>
          <w:tab w:val="left" w:pos="426"/>
        </w:tabs>
        <w:ind w:firstLine="440" w:firstLineChars="200"/>
        <w:rPr>
          <w:rFonts w:ascii="楷体_GB2312" w:eastAsia="楷体_GB2312"/>
          <w:color w:val="auto"/>
          <w:kern w:val="18"/>
          <w:sz w:val="22"/>
          <w:szCs w:val="22"/>
          <w:highlight w:val="none"/>
        </w:rPr>
      </w:pPr>
      <w:r>
        <w:rPr>
          <w:rFonts w:hint="eastAsia" w:ascii="楷体_GB2312" w:eastAsia="楷体_GB2312"/>
          <w:color w:val="auto"/>
          <w:kern w:val="18"/>
          <w:sz w:val="22"/>
          <w:szCs w:val="22"/>
          <w:highlight w:val="none"/>
        </w:rPr>
        <w:t>8、本建设工程监理合同约定的监理人向委托人承担罚款或违约金，委托人均有权在监理酬金中扣除。</w:t>
      </w:r>
    </w:p>
    <w:p>
      <w:pPr>
        <w:tabs>
          <w:tab w:val="left" w:pos="426"/>
        </w:tabs>
        <w:ind w:firstLine="440" w:firstLineChars="200"/>
        <w:rPr>
          <w:rFonts w:ascii="楷体_GB2312" w:eastAsia="楷体_GB2312"/>
          <w:color w:val="auto"/>
          <w:kern w:val="18"/>
          <w:sz w:val="22"/>
          <w:szCs w:val="22"/>
          <w:highlight w:val="none"/>
        </w:rPr>
      </w:pPr>
    </w:p>
    <w:p>
      <w:pPr>
        <w:tabs>
          <w:tab w:val="left" w:pos="426"/>
        </w:tabs>
        <w:spacing w:line="360" w:lineRule="exact"/>
        <w:rPr>
          <w:color w:val="auto"/>
          <w:kern w:val="18"/>
          <w:sz w:val="22"/>
          <w:szCs w:val="22"/>
          <w:highlight w:val="none"/>
          <w:u w:val="single"/>
        </w:rPr>
      </w:pPr>
      <w:r>
        <w:rPr>
          <w:rFonts w:hint="eastAsia" w:ascii="楷体_GB2312" w:eastAsia="楷体_GB2312"/>
          <w:b/>
          <w:color w:val="auto"/>
          <w:kern w:val="18"/>
          <w:sz w:val="22"/>
          <w:szCs w:val="22"/>
          <w:highlight w:val="none"/>
        </w:rPr>
        <w:t>若合同通用条件、专用条件与补充条款有不一致之处，以合同补充条款为准。</w:t>
      </w:r>
      <w:r>
        <w:rPr>
          <w:color w:val="auto"/>
          <w:kern w:val="18"/>
          <w:sz w:val="22"/>
          <w:szCs w:val="22"/>
          <w:highlight w:val="none"/>
          <w:u w:val="single"/>
        </w:rPr>
        <w:t xml:space="preserve">                                                                                 </w:t>
      </w:r>
    </w:p>
    <w:p>
      <w:pPr>
        <w:tabs>
          <w:tab w:val="left" w:pos="426"/>
        </w:tabs>
        <w:spacing w:after="240" w:line="240" w:lineRule="exact"/>
        <w:rPr>
          <w:color w:val="auto"/>
          <w:sz w:val="22"/>
          <w:szCs w:val="22"/>
          <w:highlight w:val="none"/>
        </w:rPr>
      </w:pPr>
    </w:p>
    <w:p>
      <w:pPr>
        <w:tabs>
          <w:tab w:val="left" w:pos="426"/>
        </w:tabs>
        <w:spacing w:after="240" w:line="510" w:lineRule="exact"/>
        <w:rPr>
          <w:color w:val="auto"/>
          <w:sz w:val="22"/>
          <w:szCs w:val="22"/>
          <w:highlight w:val="none"/>
        </w:rPr>
      </w:pPr>
      <w:r>
        <w:rPr>
          <w:rFonts w:hint="eastAsia"/>
          <w:color w:val="auto"/>
          <w:sz w:val="22"/>
          <w:szCs w:val="22"/>
          <w:highlight w:val="none"/>
        </w:rPr>
        <w:t>委托人</w:t>
      </w:r>
      <w:r>
        <w:rPr>
          <w:rFonts w:hint="eastAsia"/>
          <w:color w:val="auto"/>
          <w:kern w:val="18"/>
          <w:sz w:val="22"/>
          <w:szCs w:val="22"/>
          <w:highlight w:val="none"/>
        </w:rPr>
        <w:t>：</w:t>
      </w:r>
      <w:r>
        <w:rPr>
          <w:rFonts w:hint="eastAsia"/>
          <w:color w:val="auto"/>
          <w:sz w:val="22"/>
          <w:szCs w:val="22"/>
          <w:highlight w:val="none"/>
        </w:rPr>
        <w:t>（盖章）</w:t>
      </w:r>
      <w:r>
        <w:rPr>
          <w:color w:val="auto"/>
          <w:sz w:val="22"/>
          <w:szCs w:val="22"/>
          <w:highlight w:val="none"/>
          <w:u w:val="single"/>
        </w:rPr>
        <w:t xml:space="preserve">                          </w:t>
      </w:r>
      <w:r>
        <w:rPr>
          <w:color w:val="auto"/>
          <w:sz w:val="22"/>
          <w:szCs w:val="22"/>
          <w:highlight w:val="none"/>
        </w:rPr>
        <w:t xml:space="preserve"> </w:t>
      </w:r>
      <w:r>
        <w:rPr>
          <w:rFonts w:hint="eastAsia"/>
          <w:color w:val="auto"/>
          <w:sz w:val="22"/>
          <w:szCs w:val="22"/>
          <w:highlight w:val="none"/>
        </w:rPr>
        <w:t>监理人</w:t>
      </w:r>
      <w:r>
        <w:rPr>
          <w:rFonts w:hint="eastAsia"/>
          <w:color w:val="auto"/>
          <w:kern w:val="18"/>
          <w:sz w:val="22"/>
          <w:szCs w:val="22"/>
          <w:highlight w:val="none"/>
        </w:rPr>
        <w:t>：</w:t>
      </w:r>
      <w:r>
        <w:rPr>
          <w:rFonts w:hint="eastAsia"/>
          <w:color w:val="auto"/>
          <w:sz w:val="22"/>
          <w:szCs w:val="22"/>
          <w:highlight w:val="none"/>
        </w:rPr>
        <w:t>（盖章）</w:t>
      </w:r>
      <w:r>
        <w:rPr>
          <w:color w:val="auto"/>
          <w:sz w:val="22"/>
          <w:szCs w:val="22"/>
          <w:highlight w:val="none"/>
          <w:u w:val="single"/>
        </w:rPr>
        <w:t xml:space="preserve">                         </w:t>
      </w:r>
    </w:p>
    <w:p>
      <w:pPr>
        <w:tabs>
          <w:tab w:val="left" w:pos="426"/>
        </w:tabs>
        <w:spacing w:after="240" w:line="510" w:lineRule="exact"/>
        <w:rPr>
          <w:color w:val="auto"/>
          <w:sz w:val="22"/>
          <w:szCs w:val="22"/>
          <w:highlight w:val="none"/>
        </w:rPr>
      </w:pPr>
      <w:r>
        <w:rPr>
          <w:rFonts w:hint="eastAsia"/>
          <w:color w:val="auto"/>
          <w:sz w:val="22"/>
          <w:szCs w:val="22"/>
          <w:highlight w:val="none"/>
        </w:rPr>
        <w:t>法定代表人或其委托代理人：</w:t>
      </w:r>
      <w:r>
        <w:rPr>
          <w:color w:val="auto"/>
          <w:sz w:val="22"/>
          <w:szCs w:val="22"/>
          <w:highlight w:val="none"/>
          <w:u w:val="single"/>
        </w:rPr>
        <w:t xml:space="preserve">               </w:t>
      </w:r>
      <w:r>
        <w:rPr>
          <w:color w:val="auto"/>
          <w:sz w:val="22"/>
          <w:szCs w:val="22"/>
          <w:highlight w:val="none"/>
        </w:rPr>
        <w:t xml:space="preserve"> </w:t>
      </w:r>
      <w:r>
        <w:rPr>
          <w:rFonts w:hint="eastAsia"/>
          <w:color w:val="auto"/>
          <w:sz w:val="22"/>
          <w:szCs w:val="22"/>
          <w:highlight w:val="none"/>
        </w:rPr>
        <w:t>法定代表人或其委托代理人：</w:t>
      </w:r>
      <w:r>
        <w:rPr>
          <w:color w:val="auto"/>
          <w:sz w:val="22"/>
          <w:szCs w:val="22"/>
          <w:highlight w:val="none"/>
          <w:u w:val="single"/>
        </w:rPr>
        <w:t xml:space="preserve">              </w:t>
      </w:r>
    </w:p>
    <w:p>
      <w:pPr>
        <w:tabs>
          <w:tab w:val="left" w:pos="426"/>
        </w:tabs>
        <w:spacing w:after="240" w:line="510" w:lineRule="exact"/>
        <w:jc w:val="right"/>
        <w:rPr>
          <w:color w:val="auto"/>
          <w:sz w:val="22"/>
          <w:szCs w:val="22"/>
          <w:highlight w:val="none"/>
        </w:rPr>
      </w:pPr>
      <w:r>
        <w:rPr>
          <w:rFonts w:hint="eastAsia"/>
          <w:color w:val="auto"/>
          <w:sz w:val="22"/>
          <w:szCs w:val="22"/>
          <w:highlight w:val="none"/>
        </w:rPr>
        <w:t>签订时间：</w:t>
      </w:r>
      <w:r>
        <w:rPr>
          <w:color w:val="auto"/>
          <w:sz w:val="22"/>
          <w:szCs w:val="22"/>
          <w:highlight w:val="none"/>
          <w:u w:val="single"/>
        </w:rPr>
        <w:t xml:space="preserve">       </w:t>
      </w:r>
      <w:r>
        <w:rPr>
          <w:rFonts w:hint="eastAsia"/>
          <w:color w:val="auto"/>
          <w:sz w:val="22"/>
          <w:szCs w:val="22"/>
          <w:highlight w:val="none"/>
        </w:rPr>
        <w:t>年</w:t>
      </w:r>
      <w:r>
        <w:rPr>
          <w:color w:val="auto"/>
          <w:sz w:val="22"/>
          <w:szCs w:val="22"/>
          <w:highlight w:val="none"/>
          <w:u w:val="single"/>
        </w:rPr>
        <w:t xml:space="preserve">    </w:t>
      </w:r>
      <w:r>
        <w:rPr>
          <w:rFonts w:hint="eastAsia"/>
          <w:color w:val="auto"/>
          <w:sz w:val="22"/>
          <w:szCs w:val="22"/>
          <w:highlight w:val="none"/>
        </w:rPr>
        <w:t>月</w:t>
      </w:r>
      <w:r>
        <w:rPr>
          <w:color w:val="auto"/>
          <w:sz w:val="22"/>
          <w:szCs w:val="22"/>
          <w:highlight w:val="none"/>
          <w:u w:val="single"/>
        </w:rPr>
        <w:t xml:space="preserve">    </w:t>
      </w:r>
      <w:r>
        <w:rPr>
          <w:rFonts w:hint="eastAsia"/>
          <w:color w:val="auto"/>
          <w:sz w:val="22"/>
          <w:szCs w:val="22"/>
          <w:highlight w:val="none"/>
        </w:rPr>
        <w:t>日</w:t>
      </w:r>
    </w:p>
    <w:p>
      <w:pPr>
        <w:tabs>
          <w:tab w:val="left" w:pos="426"/>
        </w:tabs>
        <w:spacing w:after="240" w:line="510" w:lineRule="exact"/>
        <w:jc w:val="center"/>
        <w:rPr>
          <w:rFonts w:ascii="黑体"/>
          <w:b/>
          <w:color w:val="auto"/>
          <w:highlight w:val="none"/>
        </w:rPr>
      </w:pPr>
      <w:r>
        <w:rPr>
          <w:color w:val="auto"/>
          <w:kern w:val="18"/>
          <w:sz w:val="24"/>
          <w:highlight w:val="none"/>
          <w:u w:val="single"/>
        </w:rPr>
        <w:br w:type="page"/>
      </w:r>
      <w:bookmarkStart w:id="244" w:name="_Toc391916921"/>
      <w:r>
        <w:rPr>
          <w:rFonts w:hint="eastAsia" w:ascii="黑体"/>
          <w:b/>
          <w:color w:val="auto"/>
          <w:highlight w:val="none"/>
        </w:rPr>
        <w:t>附录</w:t>
      </w:r>
      <w:r>
        <w:rPr>
          <w:rFonts w:ascii="黑体"/>
          <w:b/>
          <w:color w:val="auto"/>
          <w:highlight w:val="none"/>
        </w:rPr>
        <w:t xml:space="preserve">A  </w:t>
      </w:r>
      <w:r>
        <w:rPr>
          <w:rFonts w:hint="eastAsia" w:ascii="黑体"/>
          <w:b/>
          <w:color w:val="auto"/>
          <w:highlight w:val="none"/>
        </w:rPr>
        <w:t>相关服务的范围和内容</w:t>
      </w:r>
      <w:bookmarkEnd w:id="244"/>
    </w:p>
    <w:p>
      <w:pPr>
        <w:tabs>
          <w:tab w:val="left" w:pos="426"/>
        </w:tabs>
        <w:spacing w:line="510" w:lineRule="exact"/>
        <w:ind w:firstLine="640" w:firstLineChars="200"/>
        <w:rPr>
          <w:rFonts w:ascii="仿宋_GB2312" w:eastAsia="仿宋_GB2312"/>
          <w:color w:val="auto"/>
          <w:sz w:val="32"/>
          <w:szCs w:val="32"/>
          <w:highlight w:val="none"/>
        </w:rPr>
      </w:pPr>
    </w:p>
    <w:p>
      <w:pPr>
        <w:pStyle w:val="4"/>
        <w:keepNext w:val="0"/>
        <w:tabs>
          <w:tab w:val="left" w:pos="426"/>
        </w:tabs>
        <w:spacing w:before="0" w:after="0" w:line="380" w:lineRule="exact"/>
        <w:ind w:firstLine="440" w:firstLineChars="200"/>
        <w:rPr>
          <w:b w:val="0"/>
          <w:bCs w:val="0"/>
          <w:color w:val="auto"/>
          <w:kern w:val="18"/>
          <w:sz w:val="22"/>
          <w:szCs w:val="22"/>
          <w:highlight w:val="none"/>
          <w:u w:val="single"/>
        </w:rPr>
      </w:pPr>
      <w:bookmarkStart w:id="245" w:name="_Toc397084594"/>
      <w:bookmarkStart w:id="246" w:name="_Toc391916922"/>
      <w:bookmarkStart w:id="247" w:name="_Toc7491"/>
      <w:bookmarkStart w:id="248" w:name="_Toc25565"/>
      <w:bookmarkStart w:id="249" w:name="_Toc27371"/>
      <w:bookmarkStart w:id="250" w:name="_Toc25195"/>
      <w:r>
        <w:rPr>
          <w:rFonts w:ascii="黑体" w:eastAsia="黑体"/>
          <w:b w:val="0"/>
          <w:color w:val="auto"/>
          <w:sz w:val="22"/>
          <w:szCs w:val="22"/>
          <w:highlight w:val="none"/>
        </w:rPr>
        <w:t>A</w:t>
      </w:r>
      <w:r>
        <w:rPr>
          <w:rFonts w:hint="eastAsia" w:ascii="黑体" w:eastAsia="黑体"/>
          <w:b w:val="0"/>
          <w:color w:val="auto"/>
          <w:sz w:val="22"/>
          <w:szCs w:val="22"/>
          <w:highlight w:val="none"/>
        </w:rPr>
        <w:t>－</w:t>
      </w:r>
      <w:r>
        <w:rPr>
          <w:rFonts w:ascii="黑体" w:eastAsia="黑体"/>
          <w:b w:val="0"/>
          <w:color w:val="auto"/>
          <w:sz w:val="22"/>
          <w:szCs w:val="22"/>
          <w:highlight w:val="none"/>
        </w:rPr>
        <w:t xml:space="preserve">1  </w:t>
      </w:r>
      <w:r>
        <w:rPr>
          <w:rFonts w:hint="eastAsia" w:ascii="黑体" w:eastAsia="黑体"/>
          <w:b w:val="0"/>
          <w:color w:val="auto"/>
          <w:sz w:val="22"/>
          <w:szCs w:val="22"/>
          <w:highlight w:val="none"/>
        </w:rPr>
        <w:t>勘察阶段：</w:t>
      </w:r>
      <w:bookmarkEnd w:id="245"/>
      <w:bookmarkEnd w:id="246"/>
      <w:r>
        <w:rPr>
          <w:rFonts w:ascii="黑体" w:eastAsia="黑体"/>
          <w:b w:val="0"/>
          <w:color w:val="auto"/>
          <w:sz w:val="22"/>
          <w:szCs w:val="22"/>
          <w:highlight w:val="none"/>
          <w:u w:val="single"/>
        </w:rPr>
        <w:t xml:space="preserve">    </w:t>
      </w:r>
      <w:r>
        <w:rPr>
          <w:b w:val="0"/>
          <w:bCs w:val="0"/>
          <w:color w:val="auto"/>
          <w:kern w:val="18"/>
          <w:sz w:val="22"/>
          <w:szCs w:val="22"/>
          <w:highlight w:val="none"/>
          <w:u w:val="single"/>
        </w:rPr>
        <w:t xml:space="preserve">      </w:t>
      </w:r>
      <w:r>
        <w:rPr>
          <w:rFonts w:hint="eastAsia"/>
          <w:b w:val="0"/>
          <w:bCs w:val="0"/>
          <w:color w:val="auto"/>
          <w:kern w:val="18"/>
          <w:sz w:val="22"/>
          <w:szCs w:val="22"/>
          <w:highlight w:val="none"/>
          <w:u w:val="single"/>
          <w:lang w:val="en-US" w:eastAsia="zh-CN"/>
        </w:rPr>
        <w:t>无</w:t>
      </w:r>
      <w:bookmarkEnd w:id="247"/>
      <w:bookmarkEnd w:id="248"/>
      <w:bookmarkEnd w:id="249"/>
      <w:bookmarkEnd w:id="250"/>
      <w:r>
        <w:rPr>
          <w:b w:val="0"/>
          <w:bCs w:val="0"/>
          <w:color w:val="auto"/>
          <w:kern w:val="18"/>
          <w:sz w:val="22"/>
          <w:szCs w:val="22"/>
          <w:highlight w:val="none"/>
          <w:u w:val="single"/>
        </w:rPr>
        <w:t xml:space="preserve">                                                    </w:t>
      </w:r>
    </w:p>
    <w:p>
      <w:pPr>
        <w:tabs>
          <w:tab w:val="left" w:pos="426"/>
        </w:tabs>
        <w:spacing w:line="380" w:lineRule="exact"/>
        <w:rPr>
          <w:rFonts w:ascii="仿宋_GB2312" w:eastAsia="仿宋_GB2312"/>
          <w:color w:val="auto"/>
          <w:sz w:val="22"/>
          <w:szCs w:val="22"/>
          <w:highlight w:val="none"/>
          <w:u w:val="single"/>
        </w:rPr>
      </w:pPr>
      <w:r>
        <w:rPr>
          <w:rFonts w:ascii="仿宋_GB2312" w:eastAsia="仿宋_GB2312"/>
          <w:color w:val="auto"/>
          <w:sz w:val="22"/>
          <w:szCs w:val="22"/>
          <w:highlight w:val="none"/>
          <w:u w:val="single"/>
        </w:rPr>
        <w:t xml:space="preserve">                                                                                   </w:t>
      </w:r>
    </w:p>
    <w:p>
      <w:pPr>
        <w:tabs>
          <w:tab w:val="left" w:pos="426"/>
        </w:tabs>
        <w:spacing w:line="380" w:lineRule="exact"/>
        <w:rPr>
          <w:rFonts w:ascii="仿宋_GB2312" w:eastAsia="仿宋_GB2312"/>
          <w:color w:val="auto"/>
          <w:sz w:val="22"/>
          <w:szCs w:val="22"/>
          <w:highlight w:val="none"/>
          <w:u w:val="single"/>
        </w:rPr>
      </w:pPr>
      <w:r>
        <w:rPr>
          <w:rFonts w:ascii="仿宋_GB2312" w:eastAsia="仿宋_GB2312"/>
          <w:color w:val="auto"/>
          <w:sz w:val="22"/>
          <w:szCs w:val="22"/>
          <w:highlight w:val="none"/>
          <w:u w:val="single"/>
        </w:rPr>
        <w:t xml:space="preserve">                                                                                   </w:t>
      </w:r>
    </w:p>
    <w:p>
      <w:pPr>
        <w:tabs>
          <w:tab w:val="left" w:pos="426"/>
        </w:tabs>
        <w:spacing w:line="380" w:lineRule="exact"/>
        <w:rPr>
          <w:rFonts w:ascii="仿宋_GB2312" w:eastAsia="仿宋_GB2312"/>
          <w:color w:val="auto"/>
          <w:sz w:val="22"/>
          <w:szCs w:val="22"/>
          <w:highlight w:val="none"/>
          <w:u w:val="single"/>
        </w:rPr>
      </w:pPr>
      <w:r>
        <w:rPr>
          <w:rFonts w:ascii="仿宋_GB2312" w:eastAsia="仿宋_GB2312"/>
          <w:color w:val="auto"/>
          <w:sz w:val="22"/>
          <w:szCs w:val="22"/>
          <w:highlight w:val="none"/>
          <w:u w:val="single"/>
        </w:rPr>
        <w:t xml:space="preserve">                                                                                   </w:t>
      </w:r>
    </w:p>
    <w:p>
      <w:pPr>
        <w:tabs>
          <w:tab w:val="left" w:pos="426"/>
        </w:tabs>
        <w:spacing w:line="380" w:lineRule="exact"/>
        <w:rPr>
          <w:rFonts w:ascii="仿宋_GB2312" w:eastAsia="仿宋_GB2312"/>
          <w:color w:val="auto"/>
          <w:sz w:val="22"/>
          <w:szCs w:val="22"/>
          <w:highlight w:val="none"/>
          <w:u w:val="single"/>
        </w:rPr>
      </w:pPr>
      <w:r>
        <w:rPr>
          <w:rFonts w:ascii="仿宋_GB2312" w:eastAsia="仿宋_GB2312"/>
          <w:color w:val="auto"/>
          <w:sz w:val="22"/>
          <w:szCs w:val="22"/>
          <w:highlight w:val="none"/>
          <w:u w:val="single"/>
        </w:rPr>
        <w:t xml:space="preserve">                                                                                   </w:t>
      </w:r>
    </w:p>
    <w:p>
      <w:pPr>
        <w:tabs>
          <w:tab w:val="left" w:pos="426"/>
        </w:tabs>
        <w:spacing w:line="380" w:lineRule="exact"/>
        <w:rPr>
          <w:rFonts w:ascii="仿宋_GB2312" w:eastAsia="仿宋_GB2312"/>
          <w:color w:val="auto"/>
          <w:sz w:val="22"/>
          <w:szCs w:val="22"/>
          <w:highlight w:val="none"/>
          <w:u w:val="single"/>
        </w:rPr>
      </w:pPr>
      <w:r>
        <w:rPr>
          <w:rFonts w:ascii="仿宋_GB2312" w:eastAsia="仿宋_GB2312"/>
          <w:color w:val="auto"/>
          <w:sz w:val="22"/>
          <w:szCs w:val="22"/>
          <w:highlight w:val="none"/>
          <w:u w:val="single"/>
        </w:rPr>
        <w:t xml:space="preserve">                                                                                   </w:t>
      </w:r>
    </w:p>
    <w:p>
      <w:pPr>
        <w:tabs>
          <w:tab w:val="left" w:pos="426"/>
        </w:tabs>
        <w:spacing w:line="380" w:lineRule="exact"/>
        <w:rPr>
          <w:rFonts w:ascii="仿宋_GB2312" w:eastAsia="仿宋_GB2312"/>
          <w:color w:val="auto"/>
          <w:sz w:val="22"/>
          <w:szCs w:val="22"/>
          <w:highlight w:val="none"/>
          <w:u w:val="single"/>
        </w:rPr>
      </w:pPr>
      <w:r>
        <w:rPr>
          <w:rFonts w:ascii="仿宋_GB2312" w:eastAsia="仿宋_GB2312"/>
          <w:color w:val="auto"/>
          <w:sz w:val="22"/>
          <w:szCs w:val="22"/>
          <w:highlight w:val="none"/>
          <w:u w:val="single"/>
        </w:rPr>
        <w:t xml:space="preserve">                                                                                   </w:t>
      </w:r>
    </w:p>
    <w:p>
      <w:pPr>
        <w:pStyle w:val="4"/>
        <w:keepNext w:val="0"/>
        <w:tabs>
          <w:tab w:val="left" w:pos="426"/>
        </w:tabs>
        <w:spacing w:before="0" w:after="0" w:line="380" w:lineRule="exact"/>
        <w:ind w:firstLine="440" w:firstLineChars="200"/>
        <w:rPr>
          <w:b w:val="0"/>
          <w:color w:val="auto"/>
          <w:sz w:val="22"/>
          <w:szCs w:val="22"/>
          <w:highlight w:val="none"/>
        </w:rPr>
      </w:pPr>
      <w:bookmarkStart w:id="251" w:name="_Toc391916923"/>
      <w:bookmarkStart w:id="252" w:name="_Toc397084595"/>
      <w:bookmarkStart w:id="253" w:name="_Toc21293"/>
      <w:bookmarkStart w:id="254" w:name="_Toc2968"/>
      <w:bookmarkStart w:id="255" w:name="_Toc5120"/>
      <w:bookmarkStart w:id="256" w:name="_Toc2371"/>
      <w:r>
        <w:rPr>
          <w:rFonts w:ascii="黑体" w:eastAsia="黑体"/>
          <w:b w:val="0"/>
          <w:color w:val="auto"/>
          <w:sz w:val="22"/>
          <w:szCs w:val="22"/>
          <w:highlight w:val="none"/>
        </w:rPr>
        <w:t>A</w:t>
      </w:r>
      <w:r>
        <w:rPr>
          <w:rFonts w:hint="eastAsia" w:ascii="黑体" w:eastAsia="黑体"/>
          <w:b w:val="0"/>
          <w:color w:val="auto"/>
          <w:sz w:val="22"/>
          <w:szCs w:val="22"/>
          <w:highlight w:val="none"/>
        </w:rPr>
        <w:t>－</w:t>
      </w:r>
      <w:r>
        <w:rPr>
          <w:rFonts w:ascii="黑体" w:eastAsia="黑体"/>
          <w:b w:val="0"/>
          <w:color w:val="auto"/>
          <w:sz w:val="22"/>
          <w:szCs w:val="22"/>
          <w:highlight w:val="none"/>
        </w:rPr>
        <w:t xml:space="preserve">2  </w:t>
      </w:r>
      <w:r>
        <w:rPr>
          <w:rFonts w:hint="eastAsia" w:ascii="黑体" w:eastAsia="黑体"/>
          <w:b w:val="0"/>
          <w:color w:val="auto"/>
          <w:sz w:val="22"/>
          <w:szCs w:val="22"/>
          <w:highlight w:val="none"/>
        </w:rPr>
        <w:t>设计阶段</w:t>
      </w:r>
      <w:r>
        <w:rPr>
          <w:rFonts w:hint="eastAsia"/>
          <w:b w:val="0"/>
          <w:color w:val="auto"/>
          <w:sz w:val="22"/>
          <w:szCs w:val="22"/>
          <w:highlight w:val="none"/>
        </w:rPr>
        <w:t>：</w:t>
      </w:r>
      <w:bookmarkEnd w:id="251"/>
      <w:bookmarkEnd w:id="252"/>
      <w:r>
        <w:rPr>
          <w:b w:val="0"/>
          <w:color w:val="auto"/>
          <w:sz w:val="22"/>
          <w:szCs w:val="22"/>
          <w:highlight w:val="none"/>
          <w:u w:val="single"/>
        </w:rPr>
        <w:t xml:space="preserve">         </w:t>
      </w:r>
      <w:r>
        <w:rPr>
          <w:rFonts w:hint="eastAsia"/>
          <w:b w:val="0"/>
          <w:bCs w:val="0"/>
          <w:color w:val="auto"/>
          <w:kern w:val="18"/>
          <w:sz w:val="22"/>
          <w:szCs w:val="22"/>
          <w:highlight w:val="none"/>
          <w:u w:val="single"/>
          <w:lang w:val="en-US" w:eastAsia="zh-CN"/>
        </w:rPr>
        <w:t>无</w:t>
      </w:r>
      <w:bookmarkEnd w:id="253"/>
      <w:bookmarkEnd w:id="254"/>
      <w:bookmarkEnd w:id="255"/>
      <w:bookmarkEnd w:id="256"/>
      <w:r>
        <w:rPr>
          <w:b w:val="0"/>
          <w:bCs w:val="0"/>
          <w:color w:val="auto"/>
          <w:kern w:val="18"/>
          <w:sz w:val="22"/>
          <w:szCs w:val="22"/>
          <w:highlight w:val="none"/>
          <w:u w:val="single"/>
        </w:rPr>
        <w:t xml:space="preserve"> </w:t>
      </w:r>
      <w:r>
        <w:rPr>
          <w:b w:val="0"/>
          <w:color w:val="auto"/>
          <w:sz w:val="22"/>
          <w:szCs w:val="22"/>
          <w:highlight w:val="none"/>
          <w:u w:val="single"/>
        </w:rPr>
        <w:t xml:space="preserve">                                                    </w:t>
      </w:r>
    </w:p>
    <w:p>
      <w:pPr>
        <w:tabs>
          <w:tab w:val="left" w:pos="426"/>
        </w:tabs>
        <w:spacing w:line="380" w:lineRule="exact"/>
        <w:rPr>
          <w:rFonts w:ascii="仿宋_GB2312" w:eastAsia="仿宋_GB2312"/>
          <w:color w:val="auto"/>
          <w:sz w:val="22"/>
          <w:szCs w:val="22"/>
          <w:highlight w:val="none"/>
          <w:u w:val="single"/>
        </w:rPr>
      </w:pPr>
      <w:r>
        <w:rPr>
          <w:rFonts w:ascii="仿宋_GB2312" w:eastAsia="仿宋_GB2312"/>
          <w:color w:val="auto"/>
          <w:sz w:val="22"/>
          <w:szCs w:val="22"/>
          <w:highlight w:val="none"/>
          <w:u w:val="single"/>
        </w:rPr>
        <w:t xml:space="preserve">                                                                                   </w:t>
      </w:r>
    </w:p>
    <w:p>
      <w:pPr>
        <w:tabs>
          <w:tab w:val="left" w:pos="426"/>
        </w:tabs>
        <w:spacing w:line="380" w:lineRule="exact"/>
        <w:rPr>
          <w:rFonts w:ascii="仿宋_GB2312" w:eastAsia="仿宋_GB2312"/>
          <w:color w:val="auto"/>
          <w:sz w:val="22"/>
          <w:szCs w:val="22"/>
          <w:highlight w:val="none"/>
          <w:u w:val="single"/>
        </w:rPr>
      </w:pPr>
      <w:r>
        <w:rPr>
          <w:rFonts w:ascii="仿宋_GB2312" w:eastAsia="仿宋_GB2312"/>
          <w:color w:val="auto"/>
          <w:sz w:val="22"/>
          <w:szCs w:val="22"/>
          <w:highlight w:val="none"/>
          <w:u w:val="single"/>
        </w:rPr>
        <w:t xml:space="preserve">                                                                                   </w:t>
      </w:r>
    </w:p>
    <w:p>
      <w:pPr>
        <w:tabs>
          <w:tab w:val="left" w:pos="426"/>
        </w:tabs>
        <w:spacing w:line="380" w:lineRule="exact"/>
        <w:rPr>
          <w:rFonts w:ascii="仿宋_GB2312" w:eastAsia="仿宋_GB2312"/>
          <w:color w:val="auto"/>
          <w:sz w:val="22"/>
          <w:szCs w:val="22"/>
          <w:highlight w:val="none"/>
          <w:u w:val="single"/>
        </w:rPr>
      </w:pPr>
      <w:r>
        <w:rPr>
          <w:rFonts w:ascii="仿宋_GB2312" w:eastAsia="仿宋_GB2312"/>
          <w:color w:val="auto"/>
          <w:sz w:val="22"/>
          <w:szCs w:val="22"/>
          <w:highlight w:val="none"/>
          <w:u w:val="single"/>
        </w:rPr>
        <w:t xml:space="preserve">                                                                                   </w:t>
      </w:r>
    </w:p>
    <w:p>
      <w:pPr>
        <w:tabs>
          <w:tab w:val="left" w:pos="426"/>
        </w:tabs>
        <w:spacing w:line="380" w:lineRule="exact"/>
        <w:rPr>
          <w:rFonts w:ascii="仿宋_GB2312" w:eastAsia="仿宋_GB2312"/>
          <w:color w:val="auto"/>
          <w:sz w:val="22"/>
          <w:szCs w:val="22"/>
          <w:highlight w:val="none"/>
          <w:u w:val="single"/>
        </w:rPr>
      </w:pPr>
      <w:r>
        <w:rPr>
          <w:rFonts w:ascii="仿宋_GB2312" w:eastAsia="仿宋_GB2312"/>
          <w:color w:val="auto"/>
          <w:sz w:val="22"/>
          <w:szCs w:val="22"/>
          <w:highlight w:val="none"/>
          <w:u w:val="single"/>
        </w:rPr>
        <w:t xml:space="preserve">                                                                                   </w:t>
      </w:r>
    </w:p>
    <w:p>
      <w:pPr>
        <w:tabs>
          <w:tab w:val="left" w:pos="426"/>
        </w:tabs>
        <w:spacing w:line="380" w:lineRule="exact"/>
        <w:rPr>
          <w:rFonts w:ascii="仿宋_GB2312" w:eastAsia="仿宋_GB2312"/>
          <w:color w:val="auto"/>
          <w:sz w:val="22"/>
          <w:szCs w:val="22"/>
          <w:highlight w:val="none"/>
          <w:u w:val="single"/>
        </w:rPr>
      </w:pPr>
      <w:r>
        <w:rPr>
          <w:rFonts w:ascii="仿宋_GB2312" w:eastAsia="仿宋_GB2312"/>
          <w:color w:val="auto"/>
          <w:sz w:val="22"/>
          <w:szCs w:val="22"/>
          <w:highlight w:val="none"/>
          <w:u w:val="single"/>
        </w:rPr>
        <w:t xml:space="preserve">                                                                                   </w:t>
      </w:r>
    </w:p>
    <w:p>
      <w:pPr>
        <w:tabs>
          <w:tab w:val="left" w:pos="426"/>
        </w:tabs>
        <w:spacing w:line="380" w:lineRule="exact"/>
        <w:rPr>
          <w:rFonts w:ascii="仿宋_GB2312" w:eastAsia="仿宋_GB2312"/>
          <w:color w:val="auto"/>
          <w:sz w:val="22"/>
          <w:szCs w:val="22"/>
          <w:highlight w:val="none"/>
          <w:u w:val="single"/>
        </w:rPr>
      </w:pPr>
      <w:r>
        <w:rPr>
          <w:rFonts w:ascii="仿宋_GB2312" w:eastAsia="仿宋_GB2312"/>
          <w:color w:val="auto"/>
          <w:sz w:val="22"/>
          <w:szCs w:val="22"/>
          <w:highlight w:val="none"/>
          <w:u w:val="single"/>
        </w:rPr>
        <w:t xml:space="preserve">                                                                                   </w:t>
      </w:r>
    </w:p>
    <w:p>
      <w:pPr>
        <w:pStyle w:val="4"/>
        <w:keepNext w:val="0"/>
        <w:tabs>
          <w:tab w:val="left" w:pos="426"/>
        </w:tabs>
        <w:spacing w:before="0" w:after="0" w:line="380" w:lineRule="exact"/>
        <w:ind w:firstLine="440" w:firstLineChars="200"/>
        <w:rPr>
          <w:b w:val="0"/>
          <w:color w:val="auto"/>
          <w:sz w:val="22"/>
          <w:szCs w:val="22"/>
          <w:highlight w:val="none"/>
        </w:rPr>
      </w:pPr>
      <w:bookmarkStart w:id="257" w:name="_Toc391916924"/>
      <w:bookmarkStart w:id="258" w:name="_Toc397084596"/>
      <w:bookmarkStart w:id="259" w:name="_Toc5712"/>
      <w:bookmarkStart w:id="260" w:name="_Toc1621"/>
      <w:bookmarkStart w:id="261" w:name="_Toc6358"/>
      <w:bookmarkStart w:id="262" w:name="_Toc18386"/>
      <w:r>
        <w:rPr>
          <w:rFonts w:ascii="黑体" w:eastAsia="黑体"/>
          <w:b w:val="0"/>
          <w:color w:val="auto"/>
          <w:sz w:val="22"/>
          <w:szCs w:val="22"/>
          <w:highlight w:val="none"/>
        </w:rPr>
        <w:t>A</w:t>
      </w:r>
      <w:r>
        <w:rPr>
          <w:rFonts w:hint="eastAsia" w:ascii="黑体" w:eastAsia="黑体"/>
          <w:b w:val="0"/>
          <w:color w:val="auto"/>
          <w:sz w:val="22"/>
          <w:szCs w:val="22"/>
          <w:highlight w:val="none"/>
        </w:rPr>
        <w:t>－</w:t>
      </w:r>
      <w:r>
        <w:rPr>
          <w:rFonts w:ascii="黑体" w:eastAsia="黑体"/>
          <w:b w:val="0"/>
          <w:color w:val="auto"/>
          <w:sz w:val="22"/>
          <w:szCs w:val="22"/>
          <w:highlight w:val="none"/>
        </w:rPr>
        <w:t xml:space="preserve">3  </w:t>
      </w:r>
      <w:r>
        <w:rPr>
          <w:rFonts w:hint="eastAsia" w:ascii="黑体" w:eastAsia="黑体"/>
          <w:b w:val="0"/>
          <w:color w:val="auto"/>
          <w:sz w:val="22"/>
          <w:szCs w:val="22"/>
          <w:highlight w:val="none"/>
        </w:rPr>
        <w:t>设备采购监造</w:t>
      </w:r>
      <w:r>
        <w:rPr>
          <w:rFonts w:hint="eastAsia"/>
          <w:b w:val="0"/>
          <w:color w:val="auto"/>
          <w:sz w:val="22"/>
          <w:szCs w:val="22"/>
          <w:highlight w:val="none"/>
        </w:rPr>
        <w:t>：</w:t>
      </w:r>
      <w:bookmarkEnd w:id="257"/>
      <w:bookmarkEnd w:id="258"/>
      <w:r>
        <w:rPr>
          <w:b w:val="0"/>
          <w:color w:val="auto"/>
          <w:sz w:val="22"/>
          <w:szCs w:val="22"/>
          <w:highlight w:val="none"/>
          <w:u w:val="single"/>
        </w:rPr>
        <w:t xml:space="preserve">      </w:t>
      </w:r>
      <w:r>
        <w:rPr>
          <w:rFonts w:hint="eastAsia"/>
          <w:b w:val="0"/>
          <w:bCs w:val="0"/>
          <w:color w:val="auto"/>
          <w:kern w:val="18"/>
          <w:sz w:val="22"/>
          <w:szCs w:val="22"/>
          <w:highlight w:val="none"/>
          <w:u w:val="single"/>
          <w:lang w:val="en-US" w:eastAsia="zh-CN"/>
        </w:rPr>
        <w:t>无</w:t>
      </w:r>
      <w:bookmarkEnd w:id="259"/>
      <w:bookmarkEnd w:id="260"/>
      <w:bookmarkEnd w:id="261"/>
      <w:bookmarkEnd w:id="262"/>
      <w:r>
        <w:rPr>
          <w:b w:val="0"/>
          <w:bCs w:val="0"/>
          <w:color w:val="auto"/>
          <w:kern w:val="18"/>
          <w:sz w:val="22"/>
          <w:szCs w:val="22"/>
          <w:highlight w:val="none"/>
          <w:u w:val="single"/>
        </w:rPr>
        <w:t xml:space="preserve"> </w:t>
      </w:r>
      <w:r>
        <w:rPr>
          <w:b w:val="0"/>
          <w:color w:val="auto"/>
          <w:sz w:val="22"/>
          <w:szCs w:val="22"/>
          <w:highlight w:val="none"/>
          <w:u w:val="single"/>
        </w:rPr>
        <w:t xml:space="preserve">                                                   </w:t>
      </w:r>
    </w:p>
    <w:p>
      <w:pPr>
        <w:tabs>
          <w:tab w:val="left" w:pos="426"/>
        </w:tabs>
        <w:spacing w:line="380" w:lineRule="exact"/>
        <w:rPr>
          <w:rFonts w:ascii="仿宋_GB2312" w:eastAsia="仿宋_GB2312"/>
          <w:color w:val="auto"/>
          <w:sz w:val="22"/>
          <w:szCs w:val="22"/>
          <w:highlight w:val="none"/>
          <w:u w:val="single"/>
        </w:rPr>
      </w:pPr>
      <w:r>
        <w:rPr>
          <w:rFonts w:ascii="仿宋_GB2312" w:eastAsia="仿宋_GB2312"/>
          <w:color w:val="auto"/>
          <w:sz w:val="22"/>
          <w:szCs w:val="22"/>
          <w:highlight w:val="none"/>
          <w:u w:val="single"/>
        </w:rPr>
        <w:t xml:space="preserve">                                                                                   </w:t>
      </w:r>
    </w:p>
    <w:p>
      <w:pPr>
        <w:tabs>
          <w:tab w:val="left" w:pos="426"/>
        </w:tabs>
        <w:spacing w:line="380" w:lineRule="exact"/>
        <w:rPr>
          <w:rFonts w:ascii="仿宋_GB2312" w:eastAsia="仿宋_GB2312"/>
          <w:color w:val="auto"/>
          <w:sz w:val="22"/>
          <w:szCs w:val="22"/>
          <w:highlight w:val="none"/>
          <w:u w:val="single"/>
        </w:rPr>
      </w:pPr>
      <w:r>
        <w:rPr>
          <w:rFonts w:ascii="仿宋_GB2312" w:eastAsia="仿宋_GB2312"/>
          <w:color w:val="auto"/>
          <w:sz w:val="22"/>
          <w:szCs w:val="22"/>
          <w:highlight w:val="none"/>
          <w:u w:val="single"/>
        </w:rPr>
        <w:t xml:space="preserve">                                                                                   </w:t>
      </w:r>
    </w:p>
    <w:p>
      <w:pPr>
        <w:tabs>
          <w:tab w:val="left" w:pos="426"/>
        </w:tabs>
        <w:spacing w:line="380" w:lineRule="exact"/>
        <w:rPr>
          <w:rFonts w:ascii="仿宋_GB2312" w:eastAsia="仿宋_GB2312"/>
          <w:color w:val="auto"/>
          <w:sz w:val="22"/>
          <w:szCs w:val="22"/>
          <w:highlight w:val="none"/>
          <w:u w:val="single"/>
        </w:rPr>
      </w:pPr>
      <w:r>
        <w:rPr>
          <w:rFonts w:ascii="仿宋_GB2312" w:eastAsia="仿宋_GB2312"/>
          <w:color w:val="auto"/>
          <w:sz w:val="22"/>
          <w:szCs w:val="22"/>
          <w:highlight w:val="none"/>
          <w:u w:val="single"/>
        </w:rPr>
        <w:t xml:space="preserve">                                                                                   </w:t>
      </w:r>
    </w:p>
    <w:p>
      <w:pPr>
        <w:tabs>
          <w:tab w:val="left" w:pos="426"/>
        </w:tabs>
        <w:spacing w:line="380" w:lineRule="exact"/>
        <w:rPr>
          <w:rFonts w:ascii="仿宋_GB2312" w:eastAsia="仿宋_GB2312"/>
          <w:color w:val="auto"/>
          <w:sz w:val="22"/>
          <w:szCs w:val="22"/>
          <w:highlight w:val="none"/>
          <w:u w:val="single"/>
        </w:rPr>
      </w:pPr>
      <w:r>
        <w:rPr>
          <w:rFonts w:ascii="仿宋_GB2312" w:eastAsia="仿宋_GB2312"/>
          <w:color w:val="auto"/>
          <w:sz w:val="22"/>
          <w:szCs w:val="22"/>
          <w:highlight w:val="none"/>
          <w:u w:val="single"/>
        </w:rPr>
        <w:t xml:space="preserve">                                                                                   </w:t>
      </w:r>
    </w:p>
    <w:p>
      <w:pPr>
        <w:tabs>
          <w:tab w:val="left" w:pos="426"/>
        </w:tabs>
        <w:spacing w:line="380" w:lineRule="exact"/>
        <w:rPr>
          <w:rFonts w:ascii="仿宋_GB2312" w:eastAsia="仿宋_GB2312"/>
          <w:color w:val="auto"/>
          <w:sz w:val="22"/>
          <w:szCs w:val="22"/>
          <w:highlight w:val="none"/>
          <w:u w:val="single"/>
        </w:rPr>
      </w:pPr>
      <w:r>
        <w:rPr>
          <w:rFonts w:ascii="仿宋_GB2312" w:eastAsia="仿宋_GB2312"/>
          <w:color w:val="auto"/>
          <w:sz w:val="22"/>
          <w:szCs w:val="22"/>
          <w:highlight w:val="none"/>
          <w:u w:val="single"/>
        </w:rPr>
        <w:t xml:space="preserve">                                                                                   </w:t>
      </w:r>
    </w:p>
    <w:p>
      <w:pPr>
        <w:tabs>
          <w:tab w:val="left" w:pos="426"/>
        </w:tabs>
        <w:spacing w:line="380" w:lineRule="exact"/>
        <w:rPr>
          <w:rFonts w:ascii="仿宋_GB2312" w:eastAsia="仿宋_GB2312"/>
          <w:color w:val="auto"/>
          <w:sz w:val="22"/>
          <w:szCs w:val="22"/>
          <w:highlight w:val="none"/>
          <w:u w:val="single"/>
        </w:rPr>
      </w:pPr>
      <w:r>
        <w:rPr>
          <w:rFonts w:ascii="仿宋_GB2312" w:eastAsia="仿宋_GB2312"/>
          <w:color w:val="auto"/>
          <w:sz w:val="22"/>
          <w:szCs w:val="22"/>
          <w:highlight w:val="none"/>
          <w:u w:val="single"/>
        </w:rPr>
        <w:t xml:space="preserve">                                                                                   </w:t>
      </w:r>
    </w:p>
    <w:p>
      <w:pPr>
        <w:pStyle w:val="4"/>
        <w:keepNext w:val="0"/>
        <w:tabs>
          <w:tab w:val="left" w:pos="426"/>
        </w:tabs>
        <w:spacing w:before="0" w:after="0" w:line="380" w:lineRule="exact"/>
        <w:ind w:firstLine="440" w:firstLineChars="200"/>
        <w:rPr>
          <w:b w:val="0"/>
          <w:color w:val="auto"/>
          <w:sz w:val="22"/>
          <w:szCs w:val="22"/>
          <w:highlight w:val="none"/>
        </w:rPr>
      </w:pPr>
      <w:bookmarkStart w:id="263" w:name="_Toc397084597"/>
      <w:bookmarkStart w:id="264" w:name="_Toc391916925"/>
      <w:bookmarkStart w:id="265" w:name="_Toc18697"/>
      <w:bookmarkStart w:id="266" w:name="_Toc432"/>
      <w:bookmarkStart w:id="267" w:name="_Toc1164"/>
      <w:bookmarkStart w:id="268" w:name="_Toc1787"/>
      <w:r>
        <w:rPr>
          <w:rFonts w:ascii="黑体" w:eastAsia="黑体"/>
          <w:b w:val="0"/>
          <w:color w:val="auto"/>
          <w:sz w:val="22"/>
          <w:szCs w:val="22"/>
          <w:highlight w:val="none"/>
        </w:rPr>
        <w:t>A</w:t>
      </w:r>
      <w:r>
        <w:rPr>
          <w:rFonts w:hint="eastAsia" w:ascii="黑体" w:eastAsia="黑体"/>
          <w:b w:val="0"/>
          <w:color w:val="auto"/>
          <w:sz w:val="22"/>
          <w:szCs w:val="22"/>
          <w:highlight w:val="none"/>
        </w:rPr>
        <w:t>－</w:t>
      </w:r>
      <w:r>
        <w:rPr>
          <w:rFonts w:ascii="黑体" w:eastAsia="黑体"/>
          <w:b w:val="0"/>
          <w:color w:val="auto"/>
          <w:sz w:val="22"/>
          <w:szCs w:val="22"/>
          <w:highlight w:val="none"/>
        </w:rPr>
        <w:t xml:space="preserve">4  </w:t>
      </w:r>
      <w:r>
        <w:rPr>
          <w:rFonts w:hint="eastAsia" w:ascii="黑体" w:eastAsia="黑体"/>
          <w:b w:val="0"/>
          <w:color w:val="auto"/>
          <w:sz w:val="22"/>
          <w:szCs w:val="22"/>
          <w:highlight w:val="none"/>
        </w:rPr>
        <w:t>其他（专业技术咨询、外部协调工作等）</w:t>
      </w:r>
      <w:r>
        <w:rPr>
          <w:rFonts w:hint="eastAsia"/>
          <w:b w:val="0"/>
          <w:color w:val="auto"/>
          <w:sz w:val="22"/>
          <w:szCs w:val="22"/>
          <w:highlight w:val="none"/>
        </w:rPr>
        <w:t>：</w:t>
      </w:r>
      <w:bookmarkEnd w:id="263"/>
      <w:bookmarkEnd w:id="264"/>
      <w:r>
        <w:rPr>
          <w:b w:val="0"/>
          <w:color w:val="auto"/>
          <w:sz w:val="22"/>
          <w:szCs w:val="22"/>
          <w:highlight w:val="none"/>
          <w:u w:val="single"/>
        </w:rPr>
        <w:t xml:space="preserve">     </w:t>
      </w:r>
      <w:r>
        <w:rPr>
          <w:rFonts w:hint="eastAsia"/>
          <w:b w:val="0"/>
          <w:bCs w:val="0"/>
          <w:color w:val="auto"/>
          <w:kern w:val="18"/>
          <w:sz w:val="22"/>
          <w:szCs w:val="22"/>
          <w:highlight w:val="none"/>
          <w:u w:val="single"/>
          <w:lang w:val="en-US" w:eastAsia="zh-CN"/>
        </w:rPr>
        <w:t>无</w:t>
      </w:r>
      <w:bookmarkEnd w:id="265"/>
      <w:bookmarkEnd w:id="266"/>
      <w:bookmarkEnd w:id="267"/>
      <w:bookmarkEnd w:id="268"/>
      <w:r>
        <w:rPr>
          <w:b w:val="0"/>
          <w:bCs w:val="0"/>
          <w:color w:val="auto"/>
          <w:kern w:val="18"/>
          <w:sz w:val="22"/>
          <w:szCs w:val="22"/>
          <w:highlight w:val="none"/>
          <w:u w:val="single"/>
        </w:rPr>
        <w:t xml:space="preserve"> </w:t>
      </w:r>
      <w:r>
        <w:rPr>
          <w:b w:val="0"/>
          <w:color w:val="auto"/>
          <w:sz w:val="22"/>
          <w:szCs w:val="22"/>
          <w:highlight w:val="none"/>
          <w:u w:val="single"/>
        </w:rPr>
        <w:t xml:space="preserve">                             </w:t>
      </w:r>
    </w:p>
    <w:p>
      <w:pPr>
        <w:tabs>
          <w:tab w:val="left" w:pos="426"/>
        </w:tabs>
        <w:spacing w:line="380" w:lineRule="exact"/>
        <w:rPr>
          <w:rFonts w:ascii="仿宋_GB2312" w:eastAsia="仿宋_GB2312"/>
          <w:color w:val="auto"/>
          <w:sz w:val="22"/>
          <w:szCs w:val="22"/>
          <w:highlight w:val="none"/>
          <w:u w:val="single"/>
        </w:rPr>
      </w:pPr>
      <w:r>
        <w:rPr>
          <w:rFonts w:ascii="仿宋_GB2312" w:eastAsia="仿宋_GB2312"/>
          <w:color w:val="auto"/>
          <w:sz w:val="22"/>
          <w:szCs w:val="22"/>
          <w:highlight w:val="none"/>
          <w:u w:val="single"/>
        </w:rPr>
        <w:t xml:space="preserve">                                                                                   </w:t>
      </w:r>
    </w:p>
    <w:p>
      <w:pPr>
        <w:tabs>
          <w:tab w:val="left" w:pos="426"/>
        </w:tabs>
        <w:spacing w:line="380" w:lineRule="exact"/>
        <w:rPr>
          <w:rFonts w:ascii="仿宋_GB2312" w:eastAsia="仿宋_GB2312"/>
          <w:color w:val="auto"/>
          <w:sz w:val="22"/>
          <w:szCs w:val="22"/>
          <w:highlight w:val="none"/>
          <w:u w:val="single"/>
        </w:rPr>
      </w:pPr>
      <w:r>
        <w:rPr>
          <w:rFonts w:ascii="仿宋_GB2312" w:eastAsia="仿宋_GB2312"/>
          <w:color w:val="auto"/>
          <w:sz w:val="22"/>
          <w:szCs w:val="22"/>
          <w:highlight w:val="none"/>
          <w:u w:val="single"/>
        </w:rPr>
        <w:t xml:space="preserve">                                                                                   </w:t>
      </w:r>
    </w:p>
    <w:p>
      <w:pPr>
        <w:tabs>
          <w:tab w:val="left" w:pos="426"/>
        </w:tabs>
        <w:spacing w:line="380" w:lineRule="exact"/>
        <w:rPr>
          <w:rFonts w:ascii="仿宋_GB2312" w:eastAsia="仿宋_GB2312"/>
          <w:color w:val="auto"/>
          <w:sz w:val="22"/>
          <w:szCs w:val="22"/>
          <w:highlight w:val="none"/>
          <w:u w:val="single"/>
        </w:rPr>
      </w:pPr>
      <w:r>
        <w:rPr>
          <w:rFonts w:ascii="仿宋_GB2312" w:eastAsia="仿宋_GB2312"/>
          <w:color w:val="auto"/>
          <w:sz w:val="22"/>
          <w:szCs w:val="22"/>
          <w:highlight w:val="none"/>
          <w:u w:val="single"/>
        </w:rPr>
        <w:t xml:space="preserve">                                                                                   </w:t>
      </w:r>
    </w:p>
    <w:p>
      <w:pPr>
        <w:tabs>
          <w:tab w:val="left" w:pos="426"/>
        </w:tabs>
        <w:spacing w:line="380" w:lineRule="exact"/>
        <w:rPr>
          <w:rFonts w:ascii="仿宋_GB2312" w:eastAsia="仿宋_GB2312"/>
          <w:color w:val="auto"/>
          <w:sz w:val="22"/>
          <w:szCs w:val="22"/>
          <w:highlight w:val="none"/>
          <w:u w:val="single"/>
        </w:rPr>
      </w:pPr>
      <w:r>
        <w:rPr>
          <w:rFonts w:ascii="仿宋_GB2312" w:eastAsia="仿宋_GB2312"/>
          <w:color w:val="auto"/>
          <w:sz w:val="22"/>
          <w:szCs w:val="22"/>
          <w:highlight w:val="none"/>
          <w:u w:val="single"/>
        </w:rPr>
        <w:t xml:space="preserve">                                                                                   </w:t>
      </w:r>
    </w:p>
    <w:p>
      <w:pPr>
        <w:tabs>
          <w:tab w:val="left" w:pos="426"/>
        </w:tabs>
        <w:spacing w:line="380" w:lineRule="exact"/>
        <w:rPr>
          <w:rFonts w:ascii="仿宋_GB2312" w:eastAsia="仿宋_GB2312"/>
          <w:color w:val="auto"/>
          <w:sz w:val="22"/>
          <w:szCs w:val="22"/>
          <w:highlight w:val="none"/>
          <w:u w:val="single"/>
        </w:rPr>
      </w:pPr>
      <w:r>
        <w:rPr>
          <w:rFonts w:ascii="仿宋_GB2312" w:eastAsia="仿宋_GB2312"/>
          <w:color w:val="auto"/>
          <w:sz w:val="22"/>
          <w:szCs w:val="22"/>
          <w:highlight w:val="none"/>
          <w:u w:val="single"/>
        </w:rPr>
        <w:t xml:space="preserve">                                                                                   </w:t>
      </w:r>
    </w:p>
    <w:p>
      <w:pPr>
        <w:tabs>
          <w:tab w:val="left" w:pos="426"/>
        </w:tabs>
        <w:spacing w:line="380" w:lineRule="exact"/>
        <w:ind w:firstLine="440" w:firstLineChars="200"/>
        <w:rPr>
          <w:rFonts w:ascii="仿宋_GB2312" w:eastAsia="仿宋_GB2312"/>
          <w:color w:val="auto"/>
          <w:sz w:val="22"/>
          <w:szCs w:val="22"/>
          <w:highlight w:val="none"/>
        </w:rPr>
      </w:pPr>
    </w:p>
    <w:p>
      <w:pPr>
        <w:tabs>
          <w:tab w:val="left" w:pos="426"/>
        </w:tabs>
        <w:spacing w:line="380" w:lineRule="exact"/>
        <w:jc w:val="center"/>
        <w:rPr>
          <w:rFonts w:ascii="黑体"/>
          <w:b/>
          <w:color w:val="auto"/>
          <w:highlight w:val="none"/>
        </w:rPr>
      </w:pPr>
      <w:r>
        <w:rPr>
          <w:rFonts w:ascii="仿宋_GB2312" w:eastAsia="仿宋_GB2312"/>
          <w:color w:val="auto"/>
          <w:sz w:val="22"/>
          <w:szCs w:val="22"/>
          <w:highlight w:val="none"/>
        </w:rPr>
        <w:br w:type="page"/>
      </w:r>
      <w:bookmarkStart w:id="269" w:name="_Toc391916926"/>
      <w:r>
        <w:rPr>
          <w:rFonts w:hint="eastAsia" w:ascii="黑体"/>
          <w:b/>
          <w:color w:val="auto"/>
          <w:highlight w:val="none"/>
        </w:rPr>
        <w:t>附录</w:t>
      </w:r>
      <w:r>
        <w:rPr>
          <w:rFonts w:ascii="黑体"/>
          <w:b/>
          <w:color w:val="auto"/>
          <w:highlight w:val="none"/>
        </w:rPr>
        <w:t xml:space="preserve">B  </w:t>
      </w:r>
      <w:r>
        <w:rPr>
          <w:rFonts w:hint="eastAsia" w:ascii="黑体"/>
          <w:b/>
          <w:color w:val="auto"/>
          <w:highlight w:val="none"/>
        </w:rPr>
        <w:t>委托人提供的人员、房屋、资料、设备、设施</w:t>
      </w:r>
      <w:bookmarkEnd w:id="269"/>
    </w:p>
    <w:p>
      <w:pPr>
        <w:tabs>
          <w:tab w:val="left" w:pos="426"/>
        </w:tabs>
        <w:spacing w:line="380" w:lineRule="exact"/>
        <w:ind w:firstLine="440" w:firstLineChars="200"/>
        <w:rPr>
          <w:rFonts w:ascii="仿宋_GB2312" w:eastAsia="仿宋_GB2312"/>
          <w:color w:val="auto"/>
          <w:sz w:val="22"/>
          <w:szCs w:val="22"/>
          <w:highlight w:val="none"/>
        </w:rPr>
      </w:pPr>
    </w:p>
    <w:p>
      <w:pPr>
        <w:pStyle w:val="4"/>
        <w:keepNext w:val="0"/>
        <w:tabs>
          <w:tab w:val="left" w:pos="426"/>
        </w:tabs>
        <w:spacing w:before="0" w:after="0" w:line="380" w:lineRule="exact"/>
        <w:ind w:firstLine="440" w:firstLineChars="200"/>
        <w:rPr>
          <w:rFonts w:ascii="黑体" w:eastAsia="黑体"/>
          <w:b w:val="0"/>
          <w:color w:val="auto"/>
          <w:sz w:val="22"/>
          <w:szCs w:val="22"/>
          <w:highlight w:val="none"/>
        </w:rPr>
      </w:pPr>
      <w:bookmarkStart w:id="270" w:name="_Toc28699"/>
      <w:bookmarkStart w:id="271" w:name="_Toc397084598"/>
      <w:bookmarkStart w:id="272" w:name="_Toc4060"/>
      <w:bookmarkStart w:id="273" w:name="_Toc391916927"/>
      <w:bookmarkStart w:id="274" w:name="_Toc3594"/>
      <w:bookmarkStart w:id="275" w:name="_Toc14053"/>
      <w:r>
        <w:rPr>
          <w:rFonts w:ascii="黑体" w:eastAsia="黑体"/>
          <w:b w:val="0"/>
          <w:color w:val="auto"/>
          <w:sz w:val="22"/>
          <w:szCs w:val="22"/>
          <w:highlight w:val="none"/>
        </w:rPr>
        <w:t>B</w:t>
      </w:r>
      <w:r>
        <w:rPr>
          <w:rFonts w:hint="eastAsia" w:ascii="黑体" w:eastAsia="黑体"/>
          <w:b w:val="0"/>
          <w:color w:val="auto"/>
          <w:sz w:val="22"/>
          <w:szCs w:val="22"/>
          <w:highlight w:val="none"/>
        </w:rPr>
        <w:t>－</w:t>
      </w:r>
      <w:r>
        <w:rPr>
          <w:rFonts w:ascii="黑体" w:eastAsia="黑体"/>
          <w:b w:val="0"/>
          <w:color w:val="auto"/>
          <w:sz w:val="22"/>
          <w:szCs w:val="22"/>
          <w:highlight w:val="none"/>
        </w:rPr>
        <w:t xml:space="preserve">1  </w:t>
      </w:r>
      <w:r>
        <w:rPr>
          <w:rFonts w:hint="eastAsia" w:ascii="黑体" w:eastAsia="黑体"/>
          <w:b w:val="0"/>
          <w:color w:val="auto"/>
          <w:sz w:val="22"/>
          <w:szCs w:val="22"/>
          <w:highlight w:val="none"/>
        </w:rPr>
        <w:t>委托人提供的人员</w:t>
      </w:r>
      <w:bookmarkEnd w:id="270"/>
      <w:bookmarkEnd w:id="271"/>
      <w:bookmarkEnd w:id="272"/>
      <w:bookmarkEnd w:id="273"/>
      <w:bookmarkEnd w:id="274"/>
      <w:bookmarkEnd w:id="275"/>
    </w:p>
    <w:p>
      <w:pPr>
        <w:tabs>
          <w:tab w:val="left" w:pos="426"/>
        </w:tabs>
        <w:spacing w:line="160" w:lineRule="exact"/>
        <w:ind w:firstLine="640" w:firstLineChars="200"/>
        <w:rPr>
          <w:rFonts w:ascii="仿宋_GB2312" w:eastAsia="仿宋_GB2312"/>
          <w:color w:val="auto"/>
          <w:sz w:val="32"/>
          <w:szCs w:val="32"/>
          <w:highlight w:val="none"/>
        </w:rPr>
      </w:pPr>
    </w:p>
    <w:tbl>
      <w:tblPr>
        <w:tblStyle w:val="19"/>
        <w:tblW w:w="9291"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
      <w:tblGrid>
        <w:gridCol w:w="540"/>
        <w:gridCol w:w="2681"/>
        <w:gridCol w:w="1468"/>
        <w:gridCol w:w="2127"/>
        <w:gridCol w:w="2475"/>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cantSplit/>
          <w:trHeight w:val="1134" w:hRule="exact"/>
          <w:tblHeader/>
          <w:jc w:val="center"/>
        </w:trPr>
        <w:tc>
          <w:tcPr>
            <w:tcW w:w="540" w:type="dxa"/>
            <w:tcBorders>
              <w:top w:val="single" w:color="auto" w:sz="6" w:space="0"/>
            </w:tcBorders>
            <w:textDirection w:val="tbRlV"/>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序号</w:t>
            </w:r>
          </w:p>
        </w:tc>
        <w:tc>
          <w:tcPr>
            <w:tcW w:w="2681" w:type="dxa"/>
            <w:tcBorders>
              <w:top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名</w:t>
            </w:r>
            <w:r>
              <w:rPr>
                <w:rFonts w:hint="default"/>
                <w:color w:val="auto"/>
                <w:szCs w:val="21"/>
                <w:highlight w:val="none"/>
              </w:rPr>
              <w:t xml:space="preserve">      </w:t>
            </w:r>
            <w:r>
              <w:rPr>
                <w:rFonts w:hint="eastAsia"/>
                <w:color w:val="auto"/>
                <w:szCs w:val="21"/>
                <w:highlight w:val="none"/>
              </w:rPr>
              <w:t>称</w:t>
            </w:r>
          </w:p>
        </w:tc>
        <w:tc>
          <w:tcPr>
            <w:tcW w:w="1468" w:type="dxa"/>
            <w:tcBorders>
              <w:top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数</w:t>
            </w:r>
            <w:r>
              <w:rPr>
                <w:rFonts w:hint="default"/>
                <w:color w:val="auto"/>
                <w:szCs w:val="21"/>
                <w:highlight w:val="none"/>
              </w:rPr>
              <w:t xml:space="preserve">  </w:t>
            </w:r>
            <w:r>
              <w:rPr>
                <w:rFonts w:hint="eastAsia"/>
                <w:color w:val="auto"/>
                <w:szCs w:val="21"/>
                <w:highlight w:val="none"/>
              </w:rPr>
              <w:t>量</w:t>
            </w:r>
          </w:p>
        </w:tc>
        <w:tc>
          <w:tcPr>
            <w:tcW w:w="2127" w:type="dxa"/>
            <w:tcBorders>
              <w:top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工作要求</w:t>
            </w:r>
          </w:p>
        </w:tc>
        <w:tc>
          <w:tcPr>
            <w:tcW w:w="2475" w:type="dxa"/>
            <w:tcBorders>
              <w:top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提供时间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680" w:hRule="exact"/>
          <w:jc w:val="center"/>
        </w:trPr>
        <w:tc>
          <w:tcPr>
            <w:tcW w:w="540"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default"/>
                <w:color w:val="auto"/>
                <w:szCs w:val="21"/>
                <w:highlight w:val="none"/>
              </w:rPr>
              <w:t>1</w:t>
            </w:r>
          </w:p>
        </w:tc>
        <w:tc>
          <w:tcPr>
            <w:tcW w:w="2681" w:type="dxa"/>
            <w:vAlign w:val="center"/>
          </w:tcPr>
          <w:p>
            <w:pPr>
              <w:keepNext w:val="0"/>
              <w:keepLines w:val="0"/>
              <w:suppressLineNumbers w:val="0"/>
              <w:tabs>
                <w:tab w:val="left" w:pos="426"/>
              </w:tabs>
              <w:spacing w:before="0" w:beforeAutospacing="0" w:after="0" w:afterAutospacing="0" w:line="240" w:lineRule="atLeast"/>
              <w:ind w:left="105" w:leftChars="50" w:right="0"/>
              <w:rPr>
                <w:rFonts w:hint="default"/>
                <w:color w:val="auto"/>
                <w:szCs w:val="21"/>
                <w:highlight w:val="none"/>
              </w:rPr>
            </w:pPr>
            <w:r>
              <w:rPr>
                <w:rFonts w:hint="eastAsia"/>
                <w:color w:val="auto"/>
                <w:szCs w:val="21"/>
                <w:highlight w:val="none"/>
              </w:rPr>
              <w:t>工程技术人员</w:t>
            </w:r>
          </w:p>
        </w:tc>
        <w:tc>
          <w:tcPr>
            <w:tcW w:w="1468"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0</w:t>
            </w:r>
          </w:p>
        </w:tc>
        <w:tc>
          <w:tcPr>
            <w:tcW w:w="2127"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p>
        </w:tc>
        <w:tc>
          <w:tcPr>
            <w:tcW w:w="2475"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680" w:hRule="exact"/>
          <w:jc w:val="center"/>
        </w:trPr>
        <w:tc>
          <w:tcPr>
            <w:tcW w:w="540"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default"/>
                <w:color w:val="auto"/>
                <w:szCs w:val="21"/>
                <w:highlight w:val="none"/>
              </w:rPr>
              <w:t>2</w:t>
            </w:r>
          </w:p>
        </w:tc>
        <w:tc>
          <w:tcPr>
            <w:tcW w:w="2681" w:type="dxa"/>
            <w:vAlign w:val="center"/>
          </w:tcPr>
          <w:p>
            <w:pPr>
              <w:keepNext w:val="0"/>
              <w:keepLines w:val="0"/>
              <w:suppressLineNumbers w:val="0"/>
              <w:tabs>
                <w:tab w:val="left" w:pos="426"/>
              </w:tabs>
              <w:spacing w:before="0" w:beforeAutospacing="0" w:after="0" w:afterAutospacing="0" w:line="240" w:lineRule="atLeast"/>
              <w:ind w:left="105" w:leftChars="50" w:right="0"/>
              <w:rPr>
                <w:rFonts w:hint="default"/>
                <w:color w:val="auto"/>
                <w:szCs w:val="21"/>
                <w:highlight w:val="none"/>
              </w:rPr>
            </w:pPr>
            <w:r>
              <w:rPr>
                <w:rFonts w:hint="eastAsia"/>
                <w:color w:val="auto"/>
                <w:szCs w:val="21"/>
                <w:highlight w:val="none"/>
              </w:rPr>
              <w:t>辅助工作人员</w:t>
            </w:r>
          </w:p>
        </w:tc>
        <w:tc>
          <w:tcPr>
            <w:tcW w:w="1468"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0</w:t>
            </w:r>
          </w:p>
        </w:tc>
        <w:tc>
          <w:tcPr>
            <w:tcW w:w="2127"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p>
        </w:tc>
        <w:tc>
          <w:tcPr>
            <w:tcW w:w="2475"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680" w:hRule="exact"/>
          <w:jc w:val="center"/>
        </w:trPr>
        <w:tc>
          <w:tcPr>
            <w:tcW w:w="540"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default"/>
                <w:color w:val="auto"/>
                <w:szCs w:val="21"/>
                <w:highlight w:val="none"/>
              </w:rPr>
              <w:t>3</w:t>
            </w:r>
          </w:p>
        </w:tc>
        <w:tc>
          <w:tcPr>
            <w:tcW w:w="2681" w:type="dxa"/>
            <w:vAlign w:val="center"/>
          </w:tcPr>
          <w:p>
            <w:pPr>
              <w:keepNext w:val="0"/>
              <w:keepLines w:val="0"/>
              <w:suppressLineNumbers w:val="0"/>
              <w:tabs>
                <w:tab w:val="left" w:pos="426"/>
              </w:tabs>
              <w:spacing w:before="0" w:beforeAutospacing="0" w:after="0" w:afterAutospacing="0" w:line="240" w:lineRule="atLeast"/>
              <w:ind w:left="105" w:leftChars="50" w:right="0"/>
              <w:rPr>
                <w:rFonts w:hint="default"/>
                <w:color w:val="auto"/>
                <w:szCs w:val="21"/>
                <w:highlight w:val="none"/>
              </w:rPr>
            </w:pPr>
            <w:r>
              <w:rPr>
                <w:rFonts w:hint="eastAsia"/>
                <w:color w:val="auto"/>
                <w:szCs w:val="21"/>
                <w:highlight w:val="none"/>
              </w:rPr>
              <w:t>其他人员</w:t>
            </w:r>
          </w:p>
        </w:tc>
        <w:tc>
          <w:tcPr>
            <w:tcW w:w="1468"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0</w:t>
            </w:r>
          </w:p>
        </w:tc>
        <w:tc>
          <w:tcPr>
            <w:tcW w:w="2127"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p>
        </w:tc>
        <w:tc>
          <w:tcPr>
            <w:tcW w:w="2475"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680" w:hRule="exact"/>
          <w:jc w:val="center"/>
        </w:trPr>
        <w:tc>
          <w:tcPr>
            <w:tcW w:w="540" w:type="dxa"/>
            <w:tcBorders>
              <w:bottom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p>
        </w:tc>
        <w:tc>
          <w:tcPr>
            <w:tcW w:w="2681" w:type="dxa"/>
            <w:tcBorders>
              <w:bottom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p>
        </w:tc>
        <w:tc>
          <w:tcPr>
            <w:tcW w:w="1468" w:type="dxa"/>
            <w:tcBorders>
              <w:bottom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p>
        </w:tc>
        <w:tc>
          <w:tcPr>
            <w:tcW w:w="2127" w:type="dxa"/>
            <w:tcBorders>
              <w:bottom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p>
        </w:tc>
        <w:tc>
          <w:tcPr>
            <w:tcW w:w="2475" w:type="dxa"/>
            <w:tcBorders>
              <w:bottom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p>
        </w:tc>
      </w:tr>
    </w:tbl>
    <w:p>
      <w:pPr>
        <w:tabs>
          <w:tab w:val="left" w:pos="426"/>
        </w:tabs>
        <w:spacing w:line="160" w:lineRule="exact"/>
        <w:ind w:firstLine="640" w:firstLineChars="200"/>
        <w:rPr>
          <w:rFonts w:ascii="仿宋_GB2312" w:eastAsia="仿宋_GB2312"/>
          <w:color w:val="auto"/>
          <w:sz w:val="32"/>
          <w:szCs w:val="32"/>
          <w:highlight w:val="none"/>
        </w:rPr>
      </w:pPr>
    </w:p>
    <w:p>
      <w:pPr>
        <w:pStyle w:val="4"/>
        <w:keepNext w:val="0"/>
        <w:tabs>
          <w:tab w:val="left" w:pos="426"/>
        </w:tabs>
        <w:spacing w:before="0" w:after="0" w:line="380" w:lineRule="exact"/>
        <w:ind w:firstLine="440" w:firstLineChars="200"/>
        <w:rPr>
          <w:rFonts w:ascii="黑体" w:eastAsia="黑体"/>
          <w:b w:val="0"/>
          <w:color w:val="auto"/>
          <w:sz w:val="22"/>
          <w:szCs w:val="22"/>
          <w:highlight w:val="none"/>
        </w:rPr>
      </w:pPr>
      <w:bookmarkStart w:id="276" w:name="_Toc18717"/>
      <w:bookmarkStart w:id="277" w:name="_Toc391916928"/>
      <w:bookmarkStart w:id="278" w:name="_Toc31869"/>
      <w:bookmarkStart w:id="279" w:name="_Toc26468"/>
      <w:bookmarkStart w:id="280" w:name="_Toc12349"/>
      <w:bookmarkStart w:id="281" w:name="_Toc397084599"/>
      <w:r>
        <w:rPr>
          <w:rFonts w:ascii="黑体" w:eastAsia="黑体"/>
          <w:b w:val="0"/>
          <w:color w:val="auto"/>
          <w:sz w:val="22"/>
          <w:szCs w:val="22"/>
          <w:highlight w:val="none"/>
        </w:rPr>
        <w:t>B</w:t>
      </w:r>
      <w:r>
        <w:rPr>
          <w:rFonts w:hint="eastAsia" w:ascii="黑体" w:eastAsia="黑体"/>
          <w:b w:val="0"/>
          <w:color w:val="auto"/>
          <w:sz w:val="22"/>
          <w:szCs w:val="22"/>
          <w:highlight w:val="none"/>
        </w:rPr>
        <w:t>－</w:t>
      </w:r>
      <w:r>
        <w:rPr>
          <w:rFonts w:ascii="黑体" w:eastAsia="黑体"/>
          <w:b w:val="0"/>
          <w:color w:val="auto"/>
          <w:sz w:val="22"/>
          <w:szCs w:val="22"/>
          <w:highlight w:val="none"/>
        </w:rPr>
        <w:t xml:space="preserve">2  </w:t>
      </w:r>
      <w:r>
        <w:rPr>
          <w:rFonts w:hint="eastAsia" w:ascii="黑体" w:eastAsia="黑体"/>
          <w:b w:val="0"/>
          <w:color w:val="auto"/>
          <w:sz w:val="22"/>
          <w:szCs w:val="22"/>
          <w:highlight w:val="none"/>
        </w:rPr>
        <w:t>委托人提供的房屋</w:t>
      </w:r>
      <w:bookmarkEnd w:id="276"/>
      <w:bookmarkEnd w:id="277"/>
      <w:bookmarkEnd w:id="278"/>
      <w:bookmarkEnd w:id="279"/>
      <w:bookmarkEnd w:id="280"/>
      <w:bookmarkEnd w:id="281"/>
    </w:p>
    <w:p>
      <w:pPr>
        <w:tabs>
          <w:tab w:val="left" w:pos="426"/>
        </w:tabs>
        <w:spacing w:line="160" w:lineRule="exact"/>
        <w:ind w:firstLine="640" w:firstLineChars="200"/>
        <w:rPr>
          <w:rFonts w:ascii="仿宋_GB2312" w:eastAsia="仿宋_GB2312"/>
          <w:color w:val="auto"/>
          <w:sz w:val="32"/>
          <w:szCs w:val="32"/>
          <w:highlight w:val="none"/>
        </w:rPr>
      </w:pPr>
    </w:p>
    <w:tbl>
      <w:tblPr>
        <w:tblStyle w:val="19"/>
        <w:tblW w:w="9353"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
      <w:tblGrid>
        <w:gridCol w:w="540"/>
        <w:gridCol w:w="2693"/>
        <w:gridCol w:w="1473"/>
        <w:gridCol w:w="2127"/>
        <w:gridCol w:w="252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cantSplit/>
          <w:trHeight w:val="1134" w:hRule="exact"/>
          <w:tblHeader/>
          <w:jc w:val="center"/>
        </w:trPr>
        <w:tc>
          <w:tcPr>
            <w:tcW w:w="540" w:type="dxa"/>
            <w:tcBorders>
              <w:top w:val="single" w:color="auto" w:sz="6" w:space="0"/>
            </w:tcBorders>
            <w:textDirection w:val="tbRlV"/>
            <w:vAlign w:val="center"/>
          </w:tcPr>
          <w:p>
            <w:pPr>
              <w:keepNext w:val="0"/>
              <w:keepLines w:val="0"/>
              <w:suppressLineNumbers w:val="0"/>
              <w:tabs>
                <w:tab w:val="left" w:pos="426"/>
              </w:tabs>
              <w:spacing w:before="0" w:beforeAutospacing="0" w:after="0" w:afterAutospacing="0" w:line="240" w:lineRule="atLeast"/>
              <w:ind w:left="113" w:right="113"/>
              <w:jc w:val="center"/>
              <w:rPr>
                <w:rFonts w:hint="default"/>
                <w:color w:val="auto"/>
                <w:szCs w:val="21"/>
                <w:highlight w:val="none"/>
              </w:rPr>
            </w:pPr>
            <w:r>
              <w:rPr>
                <w:rFonts w:hint="eastAsia"/>
                <w:color w:val="auto"/>
                <w:szCs w:val="21"/>
                <w:highlight w:val="none"/>
              </w:rPr>
              <w:t>序号</w:t>
            </w:r>
          </w:p>
        </w:tc>
        <w:tc>
          <w:tcPr>
            <w:tcW w:w="2693" w:type="dxa"/>
            <w:tcBorders>
              <w:top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名</w:t>
            </w:r>
            <w:r>
              <w:rPr>
                <w:rFonts w:hint="default"/>
                <w:color w:val="auto"/>
                <w:szCs w:val="21"/>
                <w:highlight w:val="none"/>
              </w:rPr>
              <w:t xml:space="preserve">  </w:t>
            </w:r>
            <w:r>
              <w:rPr>
                <w:rFonts w:hint="eastAsia"/>
                <w:color w:val="auto"/>
                <w:szCs w:val="21"/>
                <w:highlight w:val="none"/>
              </w:rPr>
              <w:t>称</w:t>
            </w:r>
          </w:p>
        </w:tc>
        <w:tc>
          <w:tcPr>
            <w:tcW w:w="1473" w:type="dxa"/>
            <w:tcBorders>
              <w:top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数</w:t>
            </w:r>
            <w:r>
              <w:rPr>
                <w:rFonts w:hint="default"/>
                <w:color w:val="auto"/>
                <w:szCs w:val="21"/>
                <w:highlight w:val="none"/>
              </w:rPr>
              <w:t xml:space="preserve">  </w:t>
            </w:r>
            <w:r>
              <w:rPr>
                <w:rFonts w:hint="eastAsia"/>
                <w:color w:val="auto"/>
                <w:szCs w:val="21"/>
                <w:highlight w:val="none"/>
              </w:rPr>
              <w:t>量</w:t>
            </w:r>
          </w:p>
        </w:tc>
        <w:tc>
          <w:tcPr>
            <w:tcW w:w="2127" w:type="dxa"/>
            <w:tcBorders>
              <w:top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面</w:t>
            </w:r>
            <w:r>
              <w:rPr>
                <w:rFonts w:hint="default"/>
                <w:color w:val="auto"/>
                <w:szCs w:val="21"/>
                <w:highlight w:val="none"/>
              </w:rPr>
              <w:t xml:space="preserve">  </w:t>
            </w:r>
            <w:r>
              <w:rPr>
                <w:rFonts w:hint="eastAsia"/>
                <w:color w:val="auto"/>
                <w:szCs w:val="21"/>
                <w:highlight w:val="none"/>
              </w:rPr>
              <w:t>积</w:t>
            </w:r>
          </w:p>
        </w:tc>
        <w:tc>
          <w:tcPr>
            <w:tcW w:w="2520" w:type="dxa"/>
            <w:tcBorders>
              <w:top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提供时间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680" w:hRule="exact"/>
          <w:jc w:val="center"/>
        </w:trPr>
        <w:tc>
          <w:tcPr>
            <w:tcW w:w="540"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default"/>
                <w:color w:val="auto"/>
                <w:szCs w:val="21"/>
                <w:highlight w:val="none"/>
              </w:rPr>
              <w:t>1</w:t>
            </w:r>
          </w:p>
        </w:tc>
        <w:tc>
          <w:tcPr>
            <w:tcW w:w="2693" w:type="dxa"/>
            <w:vAlign w:val="center"/>
          </w:tcPr>
          <w:p>
            <w:pPr>
              <w:keepNext w:val="0"/>
              <w:keepLines w:val="0"/>
              <w:suppressLineNumbers w:val="0"/>
              <w:tabs>
                <w:tab w:val="left" w:pos="426"/>
              </w:tabs>
              <w:spacing w:before="0" w:beforeAutospacing="0" w:after="0" w:afterAutospacing="0" w:line="240" w:lineRule="atLeast"/>
              <w:ind w:left="105" w:leftChars="50" w:right="0"/>
              <w:rPr>
                <w:rFonts w:hint="default"/>
                <w:color w:val="auto"/>
                <w:szCs w:val="21"/>
                <w:highlight w:val="none"/>
              </w:rPr>
            </w:pPr>
            <w:r>
              <w:rPr>
                <w:rFonts w:hint="eastAsia"/>
                <w:color w:val="auto"/>
                <w:szCs w:val="21"/>
                <w:highlight w:val="none"/>
              </w:rPr>
              <w:t>办公用房</w:t>
            </w:r>
          </w:p>
        </w:tc>
        <w:tc>
          <w:tcPr>
            <w:tcW w:w="1473"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0</w:t>
            </w:r>
          </w:p>
        </w:tc>
        <w:tc>
          <w:tcPr>
            <w:tcW w:w="2127"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p>
        </w:tc>
        <w:tc>
          <w:tcPr>
            <w:tcW w:w="2520"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680" w:hRule="exact"/>
          <w:jc w:val="center"/>
        </w:trPr>
        <w:tc>
          <w:tcPr>
            <w:tcW w:w="540"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default"/>
                <w:color w:val="auto"/>
                <w:szCs w:val="21"/>
                <w:highlight w:val="none"/>
              </w:rPr>
              <w:t>2</w:t>
            </w:r>
          </w:p>
        </w:tc>
        <w:tc>
          <w:tcPr>
            <w:tcW w:w="2693" w:type="dxa"/>
            <w:vAlign w:val="center"/>
          </w:tcPr>
          <w:p>
            <w:pPr>
              <w:keepNext w:val="0"/>
              <w:keepLines w:val="0"/>
              <w:suppressLineNumbers w:val="0"/>
              <w:tabs>
                <w:tab w:val="left" w:pos="426"/>
              </w:tabs>
              <w:spacing w:before="0" w:beforeAutospacing="0" w:after="0" w:afterAutospacing="0" w:line="240" w:lineRule="atLeast"/>
              <w:ind w:left="105" w:leftChars="50" w:right="0"/>
              <w:rPr>
                <w:rFonts w:hint="default"/>
                <w:color w:val="auto"/>
                <w:szCs w:val="21"/>
                <w:highlight w:val="none"/>
              </w:rPr>
            </w:pPr>
            <w:r>
              <w:rPr>
                <w:rFonts w:hint="eastAsia"/>
                <w:color w:val="auto"/>
                <w:szCs w:val="21"/>
                <w:highlight w:val="none"/>
              </w:rPr>
              <w:t>生活用房</w:t>
            </w:r>
          </w:p>
        </w:tc>
        <w:tc>
          <w:tcPr>
            <w:tcW w:w="1473"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0</w:t>
            </w:r>
          </w:p>
        </w:tc>
        <w:tc>
          <w:tcPr>
            <w:tcW w:w="2127"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p>
        </w:tc>
        <w:tc>
          <w:tcPr>
            <w:tcW w:w="2520"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680" w:hRule="exact"/>
          <w:jc w:val="center"/>
        </w:trPr>
        <w:tc>
          <w:tcPr>
            <w:tcW w:w="540"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default"/>
                <w:color w:val="auto"/>
                <w:szCs w:val="21"/>
                <w:highlight w:val="none"/>
              </w:rPr>
              <w:t>3</w:t>
            </w:r>
          </w:p>
        </w:tc>
        <w:tc>
          <w:tcPr>
            <w:tcW w:w="2693" w:type="dxa"/>
            <w:vAlign w:val="center"/>
          </w:tcPr>
          <w:p>
            <w:pPr>
              <w:keepNext w:val="0"/>
              <w:keepLines w:val="0"/>
              <w:suppressLineNumbers w:val="0"/>
              <w:tabs>
                <w:tab w:val="left" w:pos="426"/>
              </w:tabs>
              <w:spacing w:before="0" w:beforeAutospacing="0" w:after="0" w:afterAutospacing="0" w:line="240" w:lineRule="atLeast"/>
              <w:ind w:left="105" w:leftChars="50" w:right="0"/>
              <w:rPr>
                <w:rFonts w:hint="default"/>
                <w:color w:val="auto"/>
                <w:szCs w:val="21"/>
                <w:highlight w:val="none"/>
              </w:rPr>
            </w:pPr>
            <w:r>
              <w:rPr>
                <w:rFonts w:hint="eastAsia"/>
                <w:color w:val="auto"/>
                <w:szCs w:val="21"/>
                <w:highlight w:val="none"/>
              </w:rPr>
              <w:t>样品用房</w:t>
            </w:r>
          </w:p>
        </w:tc>
        <w:tc>
          <w:tcPr>
            <w:tcW w:w="1473"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0</w:t>
            </w:r>
          </w:p>
        </w:tc>
        <w:tc>
          <w:tcPr>
            <w:tcW w:w="2127"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p>
        </w:tc>
        <w:tc>
          <w:tcPr>
            <w:tcW w:w="2520"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680" w:hRule="exact"/>
          <w:jc w:val="center"/>
        </w:trPr>
        <w:tc>
          <w:tcPr>
            <w:tcW w:w="540"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default"/>
                <w:color w:val="auto"/>
                <w:szCs w:val="21"/>
                <w:highlight w:val="none"/>
              </w:rPr>
              <w:t>4</w:t>
            </w:r>
          </w:p>
        </w:tc>
        <w:tc>
          <w:tcPr>
            <w:tcW w:w="2693" w:type="dxa"/>
            <w:vAlign w:val="center"/>
          </w:tcPr>
          <w:p>
            <w:pPr>
              <w:keepNext w:val="0"/>
              <w:keepLines w:val="0"/>
              <w:suppressLineNumbers w:val="0"/>
              <w:tabs>
                <w:tab w:val="left" w:pos="426"/>
              </w:tabs>
              <w:spacing w:before="0" w:beforeAutospacing="0" w:after="0" w:afterAutospacing="0" w:line="240" w:lineRule="atLeast"/>
              <w:ind w:left="105" w:leftChars="50" w:right="0"/>
              <w:rPr>
                <w:rFonts w:hint="default"/>
                <w:color w:val="auto"/>
                <w:szCs w:val="21"/>
                <w:highlight w:val="none"/>
              </w:rPr>
            </w:pPr>
            <w:r>
              <w:rPr>
                <w:rFonts w:hint="eastAsia"/>
                <w:color w:val="auto"/>
                <w:szCs w:val="21"/>
                <w:highlight w:val="none"/>
              </w:rPr>
              <w:t>其他用房</w:t>
            </w:r>
          </w:p>
        </w:tc>
        <w:tc>
          <w:tcPr>
            <w:tcW w:w="1473"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0</w:t>
            </w:r>
          </w:p>
        </w:tc>
        <w:tc>
          <w:tcPr>
            <w:tcW w:w="2127"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p>
        </w:tc>
        <w:tc>
          <w:tcPr>
            <w:tcW w:w="2520"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896" w:hRule="exact"/>
          <w:jc w:val="center"/>
        </w:trPr>
        <w:tc>
          <w:tcPr>
            <w:tcW w:w="540" w:type="dxa"/>
            <w:tcBorders>
              <w:bottom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default"/>
                <w:color w:val="auto"/>
                <w:szCs w:val="21"/>
                <w:highlight w:val="none"/>
              </w:rPr>
              <w:t>5</w:t>
            </w:r>
          </w:p>
        </w:tc>
        <w:tc>
          <w:tcPr>
            <w:tcW w:w="2693" w:type="dxa"/>
            <w:tcBorders>
              <w:bottom w:val="single" w:color="auto" w:sz="6" w:space="0"/>
            </w:tcBorders>
            <w:vAlign w:val="center"/>
          </w:tcPr>
          <w:p>
            <w:pPr>
              <w:keepNext w:val="0"/>
              <w:keepLines w:val="0"/>
              <w:suppressLineNumbers w:val="0"/>
              <w:tabs>
                <w:tab w:val="left" w:pos="426"/>
              </w:tabs>
              <w:spacing w:before="0" w:beforeAutospacing="0" w:after="0" w:afterAutospacing="0" w:line="240" w:lineRule="atLeast"/>
              <w:ind w:left="105" w:leftChars="50" w:right="0"/>
              <w:rPr>
                <w:rFonts w:hint="default"/>
                <w:color w:val="auto"/>
                <w:szCs w:val="21"/>
                <w:highlight w:val="none"/>
              </w:rPr>
            </w:pPr>
            <w:r>
              <w:rPr>
                <w:rFonts w:hint="eastAsia"/>
                <w:color w:val="auto"/>
                <w:szCs w:val="21"/>
                <w:highlight w:val="none"/>
              </w:rPr>
              <w:t>用餐及其他生活条件</w:t>
            </w:r>
          </w:p>
        </w:tc>
        <w:tc>
          <w:tcPr>
            <w:tcW w:w="6120" w:type="dxa"/>
            <w:gridSpan w:val="3"/>
            <w:tcBorders>
              <w:bottom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0</w:t>
            </w:r>
          </w:p>
        </w:tc>
      </w:tr>
    </w:tbl>
    <w:p>
      <w:pPr>
        <w:tabs>
          <w:tab w:val="left" w:pos="426"/>
        </w:tabs>
        <w:rPr>
          <w:rFonts w:ascii="仿宋_GB2312" w:eastAsia="仿宋_GB2312"/>
          <w:color w:val="auto"/>
          <w:sz w:val="32"/>
          <w:szCs w:val="32"/>
          <w:highlight w:val="none"/>
        </w:rPr>
      </w:pPr>
      <w:r>
        <w:rPr>
          <w:rFonts w:ascii="仿宋_GB2312" w:eastAsia="仿宋_GB2312"/>
          <w:color w:val="auto"/>
          <w:sz w:val="32"/>
          <w:szCs w:val="32"/>
          <w:highlight w:val="none"/>
        </w:rPr>
        <w:br w:type="page"/>
      </w:r>
    </w:p>
    <w:p>
      <w:pPr>
        <w:pStyle w:val="4"/>
        <w:keepNext w:val="0"/>
        <w:tabs>
          <w:tab w:val="left" w:pos="426"/>
        </w:tabs>
        <w:spacing w:before="0" w:after="0" w:line="380" w:lineRule="exact"/>
        <w:ind w:firstLine="440" w:firstLineChars="200"/>
        <w:rPr>
          <w:rFonts w:ascii="黑体" w:eastAsia="黑体"/>
          <w:b w:val="0"/>
          <w:color w:val="auto"/>
          <w:sz w:val="22"/>
          <w:szCs w:val="22"/>
          <w:highlight w:val="none"/>
        </w:rPr>
      </w:pPr>
      <w:bookmarkStart w:id="282" w:name="_Toc23868"/>
      <w:bookmarkStart w:id="283" w:name="_Toc391916929"/>
      <w:bookmarkStart w:id="284" w:name="_Toc9551"/>
      <w:bookmarkStart w:id="285" w:name="_Toc15487"/>
      <w:bookmarkStart w:id="286" w:name="_Toc397084600"/>
      <w:bookmarkStart w:id="287" w:name="_Toc13848"/>
      <w:r>
        <w:rPr>
          <w:rFonts w:ascii="黑体" w:eastAsia="黑体"/>
          <w:b w:val="0"/>
          <w:color w:val="auto"/>
          <w:sz w:val="22"/>
          <w:szCs w:val="22"/>
          <w:highlight w:val="none"/>
        </w:rPr>
        <w:t>B</w:t>
      </w:r>
      <w:r>
        <w:rPr>
          <w:rFonts w:hint="eastAsia" w:ascii="黑体" w:eastAsia="黑体"/>
          <w:b w:val="0"/>
          <w:color w:val="auto"/>
          <w:sz w:val="22"/>
          <w:szCs w:val="22"/>
          <w:highlight w:val="none"/>
        </w:rPr>
        <w:t>－</w:t>
      </w:r>
      <w:r>
        <w:rPr>
          <w:rFonts w:ascii="黑体" w:eastAsia="黑体"/>
          <w:b w:val="0"/>
          <w:color w:val="auto"/>
          <w:sz w:val="22"/>
          <w:szCs w:val="22"/>
          <w:highlight w:val="none"/>
        </w:rPr>
        <w:t xml:space="preserve">3  </w:t>
      </w:r>
      <w:r>
        <w:rPr>
          <w:rFonts w:hint="eastAsia" w:ascii="黑体" w:eastAsia="黑体"/>
          <w:b w:val="0"/>
          <w:color w:val="auto"/>
          <w:sz w:val="22"/>
          <w:szCs w:val="22"/>
          <w:highlight w:val="none"/>
        </w:rPr>
        <w:t>委托人提供的资料</w:t>
      </w:r>
      <w:bookmarkEnd w:id="282"/>
      <w:bookmarkEnd w:id="283"/>
      <w:bookmarkEnd w:id="284"/>
      <w:bookmarkEnd w:id="285"/>
      <w:bookmarkEnd w:id="286"/>
      <w:bookmarkEnd w:id="287"/>
    </w:p>
    <w:p>
      <w:pPr>
        <w:tabs>
          <w:tab w:val="left" w:pos="426"/>
        </w:tabs>
        <w:spacing w:line="160" w:lineRule="exact"/>
        <w:ind w:firstLine="640" w:firstLineChars="200"/>
        <w:rPr>
          <w:rFonts w:ascii="仿宋_GB2312" w:eastAsia="仿宋_GB2312"/>
          <w:color w:val="auto"/>
          <w:sz w:val="32"/>
          <w:szCs w:val="32"/>
          <w:highlight w:val="none"/>
        </w:rPr>
      </w:pPr>
    </w:p>
    <w:tbl>
      <w:tblPr>
        <w:tblStyle w:val="19"/>
        <w:tblW w:w="9173"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
      <w:tblGrid>
        <w:gridCol w:w="540"/>
        <w:gridCol w:w="3601"/>
        <w:gridCol w:w="1432"/>
        <w:gridCol w:w="1980"/>
        <w:gridCol w:w="162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cantSplit/>
          <w:trHeight w:val="1134" w:hRule="exact"/>
          <w:tblHeader/>
          <w:jc w:val="center"/>
        </w:trPr>
        <w:tc>
          <w:tcPr>
            <w:tcW w:w="540" w:type="dxa"/>
            <w:tcBorders>
              <w:top w:val="single" w:color="auto" w:sz="6" w:space="0"/>
            </w:tcBorders>
            <w:textDirection w:val="tbRlV"/>
            <w:vAlign w:val="center"/>
          </w:tcPr>
          <w:p>
            <w:pPr>
              <w:keepNext w:val="0"/>
              <w:keepLines w:val="0"/>
              <w:suppressLineNumbers w:val="0"/>
              <w:tabs>
                <w:tab w:val="left" w:pos="426"/>
              </w:tabs>
              <w:spacing w:before="0" w:beforeAutospacing="0" w:after="0" w:afterAutospacing="0" w:line="240" w:lineRule="atLeast"/>
              <w:ind w:left="113" w:right="113"/>
              <w:jc w:val="center"/>
              <w:rPr>
                <w:rFonts w:hint="default"/>
                <w:color w:val="auto"/>
                <w:szCs w:val="21"/>
                <w:highlight w:val="none"/>
              </w:rPr>
            </w:pPr>
            <w:r>
              <w:rPr>
                <w:rFonts w:hint="eastAsia"/>
                <w:color w:val="auto"/>
                <w:szCs w:val="21"/>
                <w:highlight w:val="none"/>
              </w:rPr>
              <w:t>序号</w:t>
            </w:r>
          </w:p>
        </w:tc>
        <w:tc>
          <w:tcPr>
            <w:tcW w:w="3601" w:type="dxa"/>
            <w:tcBorders>
              <w:top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名</w:t>
            </w:r>
            <w:r>
              <w:rPr>
                <w:rFonts w:hint="default"/>
                <w:color w:val="auto"/>
                <w:szCs w:val="21"/>
                <w:highlight w:val="none"/>
              </w:rPr>
              <w:t xml:space="preserve">  </w:t>
            </w:r>
            <w:r>
              <w:rPr>
                <w:rFonts w:hint="eastAsia"/>
                <w:color w:val="auto"/>
                <w:szCs w:val="21"/>
                <w:highlight w:val="none"/>
              </w:rPr>
              <w:t>称</w:t>
            </w:r>
          </w:p>
        </w:tc>
        <w:tc>
          <w:tcPr>
            <w:tcW w:w="1432" w:type="dxa"/>
            <w:tcBorders>
              <w:top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份</w:t>
            </w:r>
            <w:r>
              <w:rPr>
                <w:rFonts w:hint="default"/>
                <w:color w:val="auto"/>
                <w:szCs w:val="21"/>
                <w:highlight w:val="none"/>
              </w:rPr>
              <w:t xml:space="preserve">  </w:t>
            </w:r>
            <w:r>
              <w:rPr>
                <w:rFonts w:hint="eastAsia"/>
                <w:color w:val="auto"/>
                <w:szCs w:val="21"/>
                <w:highlight w:val="none"/>
              </w:rPr>
              <w:t>数</w:t>
            </w:r>
          </w:p>
        </w:tc>
        <w:tc>
          <w:tcPr>
            <w:tcW w:w="1980" w:type="dxa"/>
            <w:tcBorders>
              <w:top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提供时间</w:t>
            </w:r>
          </w:p>
        </w:tc>
        <w:tc>
          <w:tcPr>
            <w:tcW w:w="1620" w:type="dxa"/>
            <w:tcBorders>
              <w:top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备</w:t>
            </w:r>
            <w:r>
              <w:rPr>
                <w:rFonts w:hint="default"/>
                <w:color w:val="auto"/>
                <w:szCs w:val="21"/>
                <w:highlight w:val="none"/>
              </w:rPr>
              <w:t xml:space="preserve">  </w:t>
            </w:r>
            <w:r>
              <w:rPr>
                <w:rFonts w:hint="eastAsia"/>
                <w:color w:val="auto"/>
                <w:szCs w:val="21"/>
                <w:highlight w:val="none"/>
              </w:rPr>
              <w:t>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567" w:hRule="exact"/>
          <w:jc w:val="center"/>
        </w:trPr>
        <w:tc>
          <w:tcPr>
            <w:tcW w:w="540"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default"/>
                <w:color w:val="auto"/>
                <w:szCs w:val="21"/>
                <w:highlight w:val="none"/>
              </w:rPr>
              <w:t>1</w:t>
            </w:r>
          </w:p>
        </w:tc>
        <w:tc>
          <w:tcPr>
            <w:tcW w:w="3601" w:type="dxa"/>
            <w:vAlign w:val="center"/>
          </w:tcPr>
          <w:p>
            <w:pPr>
              <w:keepNext w:val="0"/>
              <w:keepLines w:val="0"/>
              <w:suppressLineNumbers w:val="0"/>
              <w:tabs>
                <w:tab w:val="left" w:pos="426"/>
              </w:tabs>
              <w:spacing w:before="0" w:beforeAutospacing="0" w:after="0" w:afterAutospacing="0" w:line="240" w:lineRule="atLeast"/>
              <w:ind w:left="105" w:leftChars="50" w:right="0"/>
              <w:rPr>
                <w:rFonts w:hint="default"/>
                <w:color w:val="auto"/>
                <w:szCs w:val="21"/>
                <w:highlight w:val="none"/>
              </w:rPr>
            </w:pPr>
            <w:r>
              <w:rPr>
                <w:rFonts w:hint="eastAsia"/>
                <w:color w:val="auto"/>
                <w:szCs w:val="21"/>
                <w:highlight w:val="none"/>
              </w:rPr>
              <w:t>工程立项文件</w:t>
            </w:r>
          </w:p>
        </w:tc>
        <w:tc>
          <w:tcPr>
            <w:tcW w:w="1432"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1</w:t>
            </w:r>
          </w:p>
        </w:tc>
        <w:tc>
          <w:tcPr>
            <w:tcW w:w="1980" w:type="dxa"/>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szCs w:val="21"/>
                <w:highlight w:val="none"/>
              </w:rPr>
            </w:pPr>
          </w:p>
        </w:tc>
        <w:tc>
          <w:tcPr>
            <w:tcW w:w="1620" w:type="dxa"/>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567" w:hRule="exact"/>
          <w:jc w:val="center"/>
        </w:trPr>
        <w:tc>
          <w:tcPr>
            <w:tcW w:w="540"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default"/>
                <w:color w:val="auto"/>
                <w:szCs w:val="21"/>
                <w:highlight w:val="none"/>
              </w:rPr>
              <w:t>2</w:t>
            </w:r>
          </w:p>
        </w:tc>
        <w:tc>
          <w:tcPr>
            <w:tcW w:w="3601" w:type="dxa"/>
            <w:vAlign w:val="center"/>
          </w:tcPr>
          <w:p>
            <w:pPr>
              <w:keepNext w:val="0"/>
              <w:keepLines w:val="0"/>
              <w:suppressLineNumbers w:val="0"/>
              <w:tabs>
                <w:tab w:val="left" w:pos="426"/>
              </w:tabs>
              <w:spacing w:before="0" w:beforeAutospacing="0" w:after="0" w:afterAutospacing="0" w:line="240" w:lineRule="atLeast"/>
              <w:ind w:left="105" w:leftChars="50" w:right="0"/>
              <w:rPr>
                <w:rFonts w:hint="default"/>
                <w:color w:val="auto"/>
                <w:szCs w:val="21"/>
                <w:highlight w:val="none"/>
              </w:rPr>
            </w:pPr>
            <w:r>
              <w:rPr>
                <w:rFonts w:hint="eastAsia"/>
                <w:color w:val="auto"/>
                <w:szCs w:val="21"/>
                <w:highlight w:val="none"/>
              </w:rPr>
              <w:t>工程勘察资料</w:t>
            </w:r>
          </w:p>
        </w:tc>
        <w:tc>
          <w:tcPr>
            <w:tcW w:w="1432"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0</w:t>
            </w:r>
          </w:p>
        </w:tc>
        <w:tc>
          <w:tcPr>
            <w:tcW w:w="1980" w:type="dxa"/>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szCs w:val="21"/>
                <w:highlight w:val="none"/>
              </w:rPr>
            </w:pPr>
          </w:p>
        </w:tc>
        <w:tc>
          <w:tcPr>
            <w:tcW w:w="1620" w:type="dxa"/>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567" w:hRule="exact"/>
          <w:jc w:val="center"/>
        </w:trPr>
        <w:tc>
          <w:tcPr>
            <w:tcW w:w="540"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default"/>
                <w:color w:val="auto"/>
                <w:szCs w:val="21"/>
                <w:highlight w:val="none"/>
              </w:rPr>
              <w:t>3</w:t>
            </w:r>
          </w:p>
        </w:tc>
        <w:tc>
          <w:tcPr>
            <w:tcW w:w="3601" w:type="dxa"/>
            <w:vAlign w:val="center"/>
          </w:tcPr>
          <w:p>
            <w:pPr>
              <w:keepNext w:val="0"/>
              <w:keepLines w:val="0"/>
              <w:suppressLineNumbers w:val="0"/>
              <w:tabs>
                <w:tab w:val="left" w:pos="426"/>
              </w:tabs>
              <w:spacing w:before="0" w:beforeAutospacing="0" w:after="0" w:afterAutospacing="0" w:line="240" w:lineRule="atLeast"/>
              <w:ind w:left="105" w:leftChars="50" w:right="0"/>
              <w:rPr>
                <w:rFonts w:hint="default"/>
                <w:color w:val="auto"/>
                <w:szCs w:val="21"/>
                <w:highlight w:val="none"/>
              </w:rPr>
            </w:pPr>
            <w:r>
              <w:rPr>
                <w:rFonts w:hint="eastAsia"/>
                <w:color w:val="auto"/>
                <w:szCs w:val="21"/>
                <w:highlight w:val="none"/>
              </w:rPr>
              <w:t>工程设计文件及施工图纸</w:t>
            </w:r>
          </w:p>
        </w:tc>
        <w:tc>
          <w:tcPr>
            <w:tcW w:w="1432"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1</w:t>
            </w:r>
          </w:p>
        </w:tc>
        <w:tc>
          <w:tcPr>
            <w:tcW w:w="1980" w:type="dxa"/>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szCs w:val="21"/>
                <w:highlight w:val="none"/>
              </w:rPr>
            </w:pPr>
          </w:p>
        </w:tc>
        <w:tc>
          <w:tcPr>
            <w:tcW w:w="1620" w:type="dxa"/>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567" w:hRule="exact"/>
          <w:jc w:val="center"/>
        </w:trPr>
        <w:tc>
          <w:tcPr>
            <w:tcW w:w="540"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default"/>
                <w:color w:val="auto"/>
                <w:szCs w:val="21"/>
                <w:highlight w:val="none"/>
              </w:rPr>
              <w:t>4</w:t>
            </w:r>
          </w:p>
        </w:tc>
        <w:tc>
          <w:tcPr>
            <w:tcW w:w="3601" w:type="dxa"/>
            <w:vAlign w:val="center"/>
          </w:tcPr>
          <w:p>
            <w:pPr>
              <w:keepNext w:val="0"/>
              <w:keepLines w:val="0"/>
              <w:suppressLineNumbers w:val="0"/>
              <w:tabs>
                <w:tab w:val="left" w:pos="426"/>
              </w:tabs>
              <w:spacing w:before="0" w:beforeAutospacing="0" w:after="0" w:afterAutospacing="0" w:line="240" w:lineRule="atLeast"/>
              <w:ind w:left="105" w:leftChars="50" w:right="0"/>
              <w:rPr>
                <w:rFonts w:hint="default"/>
                <w:color w:val="auto"/>
                <w:szCs w:val="21"/>
                <w:highlight w:val="none"/>
              </w:rPr>
            </w:pPr>
            <w:r>
              <w:rPr>
                <w:rFonts w:hint="eastAsia"/>
                <w:color w:val="auto"/>
                <w:szCs w:val="21"/>
                <w:highlight w:val="none"/>
              </w:rPr>
              <w:t>工程承包合同及其他相关合同</w:t>
            </w:r>
          </w:p>
        </w:tc>
        <w:tc>
          <w:tcPr>
            <w:tcW w:w="1432"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1</w:t>
            </w:r>
          </w:p>
        </w:tc>
        <w:tc>
          <w:tcPr>
            <w:tcW w:w="1980" w:type="dxa"/>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szCs w:val="21"/>
                <w:highlight w:val="none"/>
              </w:rPr>
            </w:pPr>
          </w:p>
        </w:tc>
        <w:tc>
          <w:tcPr>
            <w:tcW w:w="1620" w:type="dxa"/>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567" w:hRule="exact"/>
          <w:jc w:val="center"/>
        </w:trPr>
        <w:tc>
          <w:tcPr>
            <w:tcW w:w="540"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default"/>
                <w:color w:val="auto"/>
                <w:szCs w:val="21"/>
                <w:highlight w:val="none"/>
              </w:rPr>
              <w:t>5</w:t>
            </w:r>
          </w:p>
        </w:tc>
        <w:tc>
          <w:tcPr>
            <w:tcW w:w="3601" w:type="dxa"/>
            <w:vAlign w:val="center"/>
          </w:tcPr>
          <w:p>
            <w:pPr>
              <w:keepNext w:val="0"/>
              <w:keepLines w:val="0"/>
              <w:suppressLineNumbers w:val="0"/>
              <w:tabs>
                <w:tab w:val="left" w:pos="426"/>
              </w:tabs>
              <w:spacing w:before="0" w:beforeAutospacing="0" w:after="0" w:afterAutospacing="0" w:line="240" w:lineRule="atLeast"/>
              <w:ind w:left="105" w:leftChars="50" w:right="0"/>
              <w:rPr>
                <w:rFonts w:hint="default"/>
                <w:color w:val="auto"/>
                <w:szCs w:val="21"/>
                <w:highlight w:val="none"/>
              </w:rPr>
            </w:pPr>
            <w:r>
              <w:rPr>
                <w:rFonts w:hint="eastAsia"/>
                <w:color w:val="auto"/>
                <w:szCs w:val="21"/>
                <w:highlight w:val="none"/>
              </w:rPr>
              <w:t>施工许可文件</w:t>
            </w:r>
          </w:p>
        </w:tc>
        <w:tc>
          <w:tcPr>
            <w:tcW w:w="1432"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0</w:t>
            </w:r>
          </w:p>
        </w:tc>
        <w:tc>
          <w:tcPr>
            <w:tcW w:w="1980" w:type="dxa"/>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szCs w:val="21"/>
                <w:highlight w:val="none"/>
              </w:rPr>
            </w:pPr>
          </w:p>
        </w:tc>
        <w:tc>
          <w:tcPr>
            <w:tcW w:w="1620" w:type="dxa"/>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567" w:hRule="exact"/>
          <w:jc w:val="center"/>
        </w:trPr>
        <w:tc>
          <w:tcPr>
            <w:tcW w:w="540"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default"/>
                <w:color w:val="auto"/>
                <w:szCs w:val="21"/>
                <w:highlight w:val="none"/>
              </w:rPr>
              <w:t>6</w:t>
            </w:r>
          </w:p>
        </w:tc>
        <w:tc>
          <w:tcPr>
            <w:tcW w:w="3601" w:type="dxa"/>
            <w:vAlign w:val="center"/>
          </w:tcPr>
          <w:p>
            <w:pPr>
              <w:keepNext w:val="0"/>
              <w:keepLines w:val="0"/>
              <w:suppressLineNumbers w:val="0"/>
              <w:tabs>
                <w:tab w:val="left" w:pos="426"/>
              </w:tabs>
              <w:spacing w:before="0" w:beforeAutospacing="0" w:after="0" w:afterAutospacing="0" w:line="240" w:lineRule="atLeast"/>
              <w:ind w:left="105" w:leftChars="50" w:right="0"/>
              <w:rPr>
                <w:rFonts w:hint="default"/>
                <w:color w:val="auto"/>
                <w:szCs w:val="21"/>
                <w:highlight w:val="none"/>
              </w:rPr>
            </w:pPr>
            <w:r>
              <w:rPr>
                <w:rFonts w:hint="eastAsia"/>
                <w:color w:val="auto"/>
                <w:szCs w:val="21"/>
                <w:highlight w:val="none"/>
              </w:rPr>
              <w:t>其他文件</w:t>
            </w:r>
          </w:p>
        </w:tc>
        <w:tc>
          <w:tcPr>
            <w:tcW w:w="1432"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0</w:t>
            </w:r>
          </w:p>
        </w:tc>
        <w:tc>
          <w:tcPr>
            <w:tcW w:w="1980" w:type="dxa"/>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szCs w:val="21"/>
                <w:highlight w:val="none"/>
              </w:rPr>
            </w:pPr>
          </w:p>
        </w:tc>
        <w:tc>
          <w:tcPr>
            <w:tcW w:w="1620" w:type="dxa"/>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567" w:hRule="exact"/>
          <w:jc w:val="center"/>
        </w:trPr>
        <w:tc>
          <w:tcPr>
            <w:tcW w:w="540" w:type="dxa"/>
            <w:tcBorders>
              <w:bottom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p>
        </w:tc>
        <w:tc>
          <w:tcPr>
            <w:tcW w:w="3601" w:type="dxa"/>
            <w:tcBorders>
              <w:bottom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szCs w:val="21"/>
                <w:highlight w:val="none"/>
              </w:rPr>
            </w:pPr>
          </w:p>
        </w:tc>
        <w:tc>
          <w:tcPr>
            <w:tcW w:w="1432" w:type="dxa"/>
            <w:tcBorders>
              <w:bottom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szCs w:val="21"/>
                <w:highlight w:val="none"/>
              </w:rPr>
            </w:pPr>
          </w:p>
        </w:tc>
        <w:tc>
          <w:tcPr>
            <w:tcW w:w="1980" w:type="dxa"/>
            <w:tcBorders>
              <w:bottom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szCs w:val="21"/>
                <w:highlight w:val="none"/>
              </w:rPr>
            </w:pPr>
          </w:p>
        </w:tc>
        <w:tc>
          <w:tcPr>
            <w:tcW w:w="1620" w:type="dxa"/>
            <w:tcBorders>
              <w:bottom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szCs w:val="21"/>
                <w:highlight w:val="none"/>
              </w:rPr>
            </w:pPr>
          </w:p>
        </w:tc>
      </w:tr>
    </w:tbl>
    <w:p>
      <w:pPr>
        <w:pStyle w:val="4"/>
        <w:keepNext w:val="0"/>
        <w:tabs>
          <w:tab w:val="left" w:pos="426"/>
        </w:tabs>
        <w:spacing w:before="0" w:after="0" w:line="380" w:lineRule="exact"/>
        <w:rPr>
          <w:rFonts w:ascii="黑体" w:eastAsia="黑体"/>
          <w:b w:val="0"/>
          <w:color w:val="auto"/>
          <w:sz w:val="22"/>
          <w:szCs w:val="22"/>
          <w:highlight w:val="none"/>
        </w:rPr>
      </w:pPr>
      <w:bookmarkStart w:id="288" w:name="_Toc397084601"/>
      <w:bookmarkStart w:id="289" w:name="_Toc9579"/>
      <w:bookmarkStart w:id="290" w:name="_Toc391916930"/>
      <w:bookmarkStart w:id="291" w:name="_Toc20936"/>
      <w:bookmarkStart w:id="292" w:name="_Toc17667"/>
      <w:bookmarkStart w:id="293" w:name="_Toc9546"/>
      <w:r>
        <w:rPr>
          <w:rFonts w:ascii="黑体" w:eastAsia="黑体"/>
          <w:b w:val="0"/>
          <w:color w:val="auto"/>
          <w:sz w:val="22"/>
          <w:szCs w:val="22"/>
          <w:highlight w:val="none"/>
        </w:rPr>
        <w:t>B</w:t>
      </w:r>
      <w:r>
        <w:rPr>
          <w:rFonts w:hint="eastAsia" w:ascii="黑体" w:eastAsia="黑体"/>
          <w:b w:val="0"/>
          <w:color w:val="auto"/>
          <w:sz w:val="22"/>
          <w:szCs w:val="22"/>
          <w:highlight w:val="none"/>
        </w:rPr>
        <w:t>－</w:t>
      </w:r>
      <w:r>
        <w:rPr>
          <w:rFonts w:ascii="黑体" w:eastAsia="黑体"/>
          <w:b w:val="0"/>
          <w:color w:val="auto"/>
          <w:sz w:val="22"/>
          <w:szCs w:val="22"/>
          <w:highlight w:val="none"/>
        </w:rPr>
        <w:t xml:space="preserve">4  </w:t>
      </w:r>
      <w:r>
        <w:rPr>
          <w:rFonts w:hint="eastAsia" w:ascii="黑体" w:eastAsia="黑体"/>
          <w:b w:val="0"/>
          <w:color w:val="auto"/>
          <w:sz w:val="22"/>
          <w:szCs w:val="22"/>
          <w:highlight w:val="none"/>
        </w:rPr>
        <w:t>委托人提供的设备、设施</w:t>
      </w:r>
      <w:bookmarkEnd w:id="288"/>
      <w:bookmarkEnd w:id="289"/>
      <w:bookmarkEnd w:id="290"/>
      <w:bookmarkEnd w:id="291"/>
      <w:bookmarkEnd w:id="292"/>
      <w:bookmarkEnd w:id="293"/>
    </w:p>
    <w:p>
      <w:pPr>
        <w:tabs>
          <w:tab w:val="left" w:pos="426"/>
        </w:tabs>
        <w:spacing w:line="160" w:lineRule="exact"/>
        <w:ind w:firstLine="640" w:firstLineChars="200"/>
        <w:rPr>
          <w:rFonts w:ascii="仿宋_GB2312" w:eastAsia="仿宋_GB2312"/>
          <w:color w:val="auto"/>
          <w:sz w:val="32"/>
          <w:szCs w:val="32"/>
          <w:highlight w:val="none"/>
        </w:rPr>
      </w:pPr>
    </w:p>
    <w:tbl>
      <w:tblPr>
        <w:tblStyle w:val="19"/>
        <w:tblW w:w="9218"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
      <w:tblGrid>
        <w:gridCol w:w="540"/>
        <w:gridCol w:w="3601"/>
        <w:gridCol w:w="1432"/>
        <w:gridCol w:w="1997"/>
        <w:gridCol w:w="1648"/>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cantSplit/>
          <w:trHeight w:val="1134" w:hRule="exact"/>
          <w:tblHeader/>
          <w:jc w:val="center"/>
        </w:trPr>
        <w:tc>
          <w:tcPr>
            <w:tcW w:w="540" w:type="dxa"/>
            <w:tcBorders>
              <w:top w:val="single" w:color="auto" w:sz="6" w:space="0"/>
            </w:tcBorders>
            <w:textDirection w:val="tbRlV"/>
            <w:vAlign w:val="center"/>
          </w:tcPr>
          <w:p>
            <w:pPr>
              <w:keepNext w:val="0"/>
              <w:keepLines w:val="0"/>
              <w:suppressLineNumbers w:val="0"/>
              <w:tabs>
                <w:tab w:val="left" w:pos="426"/>
              </w:tabs>
              <w:spacing w:before="0" w:beforeAutospacing="0" w:after="0" w:afterAutospacing="0" w:line="240" w:lineRule="atLeast"/>
              <w:ind w:left="113" w:right="113"/>
              <w:jc w:val="center"/>
              <w:rPr>
                <w:rFonts w:hint="default"/>
                <w:color w:val="auto"/>
                <w:szCs w:val="21"/>
                <w:highlight w:val="none"/>
              </w:rPr>
            </w:pPr>
            <w:r>
              <w:rPr>
                <w:rFonts w:hint="eastAsia"/>
                <w:color w:val="auto"/>
                <w:szCs w:val="21"/>
                <w:highlight w:val="none"/>
              </w:rPr>
              <w:t>序号</w:t>
            </w:r>
          </w:p>
        </w:tc>
        <w:tc>
          <w:tcPr>
            <w:tcW w:w="3601" w:type="dxa"/>
            <w:tcBorders>
              <w:top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名</w:t>
            </w:r>
            <w:r>
              <w:rPr>
                <w:rFonts w:hint="default"/>
                <w:color w:val="auto"/>
                <w:szCs w:val="21"/>
                <w:highlight w:val="none"/>
              </w:rPr>
              <w:t xml:space="preserve">  </w:t>
            </w:r>
            <w:r>
              <w:rPr>
                <w:rFonts w:hint="eastAsia"/>
                <w:color w:val="auto"/>
                <w:szCs w:val="21"/>
                <w:highlight w:val="none"/>
              </w:rPr>
              <w:t>称</w:t>
            </w:r>
          </w:p>
        </w:tc>
        <w:tc>
          <w:tcPr>
            <w:tcW w:w="1432" w:type="dxa"/>
            <w:tcBorders>
              <w:top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数</w:t>
            </w:r>
            <w:r>
              <w:rPr>
                <w:rFonts w:hint="default"/>
                <w:color w:val="auto"/>
                <w:szCs w:val="21"/>
                <w:highlight w:val="none"/>
              </w:rPr>
              <w:t xml:space="preserve">  </w:t>
            </w:r>
            <w:r>
              <w:rPr>
                <w:rFonts w:hint="eastAsia"/>
                <w:color w:val="auto"/>
                <w:szCs w:val="21"/>
                <w:highlight w:val="none"/>
              </w:rPr>
              <w:t>量</w:t>
            </w:r>
          </w:p>
        </w:tc>
        <w:tc>
          <w:tcPr>
            <w:tcW w:w="1997" w:type="dxa"/>
            <w:tcBorders>
              <w:top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型号与规格</w:t>
            </w:r>
          </w:p>
        </w:tc>
        <w:tc>
          <w:tcPr>
            <w:tcW w:w="1648" w:type="dxa"/>
            <w:tcBorders>
              <w:top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提供时间</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567" w:hRule="exact"/>
          <w:jc w:val="center"/>
        </w:trPr>
        <w:tc>
          <w:tcPr>
            <w:tcW w:w="540"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default"/>
                <w:color w:val="auto"/>
                <w:szCs w:val="21"/>
                <w:highlight w:val="none"/>
              </w:rPr>
              <w:t>1</w:t>
            </w:r>
          </w:p>
        </w:tc>
        <w:tc>
          <w:tcPr>
            <w:tcW w:w="3601" w:type="dxa"/>
            <w:vAlign w:val="center"/>
          </w:tcPr>
          <w:p>
            <w:pPr>
              <w:keepNext w:val="0"/>
              <w:keepLines w:val="0"/>
              <w:suppressLineNumbers w:val="0"/>
              <w:tabs>
                <w:tab w:val="left" w:pos="426"/>
              </w:tabs>
              <w:spacing w:before="0" w:beforeAutospacing="0" w:after="0" w:afterAutospacing="0" w:line="240" w:lineRule="atLeast"/>
              <w:ind w:left="105" w:leftChars="50" w:right="0"/>
              <w:rPr>
                <w:rFonts w:hint="default"/>
                <w:color w:val="auto"/>
                <w:szCs w:val="21"/>
                <w:highlight w:val="none"/>
              </w:rPr>
            </w:pPr>
            <w:r>
              <w:rPr>
                <w:rFonts w:hint="eastAsia"/>
                <w:color w:val="auto"/>
                <w:szCs w:val="21"/>
                <w:highlight w:val="none"/>
              </w:rPr>
              <w:t>通讯设备</w:t>
            </w:r>
          </w:p>
        </w:tc>
        <w:tc>
          <w:tcPr>
            <w:tcW w:w="1432"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0</w:t>
            </w:r>
          </w:p>
        </w:tc>
        <w:tc>
          <w:tcPr>
            <w:tcW w:w="1997" w:type="dxa"/>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szCs w:val="21"/>
                <w:highlight w:val="none"/>
              </w:rPr>
            </w:pPr>
          </w:p>
        </w:tc>
        <w:tc>
          <w:tcPr>
            <w:tcW w:w="1648" w:type="dxa"/>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567" w:hRule="exact"/>
          <w:jc w:val="center"/>
        </w:trPr>
        <w:tc>
          <w:tcPr>
            <w:tcW w:w="540"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default"/>
                <w:color w:val="auto"/>
                <w:szCs w:val="21"/>
                <w:highlight w:val="none"/>
              </w:rPr>
              <w:t>2</w:t>
            </w:r>
          </w:p>
        </w:tc>
        <w:tc>
          <w:tcPr>
            <w:tcW w:w="3601" w:type="dxa"/>
            <w:vAlign w:val="center"/>
          </w:tcPr>
          <w:p>
            <w:pPr>
              <w:keepNext w:val="0"/>
              <w:keepLines w:val="0"/>
              <w:suppressLineNumbers w:val="0"/>
              <w:tabs>
                <w:tab w:val="left" w:pos="426"/>
              </w:tabs>
              <w:spacing w:before="0" w:beforeAutospacing="0" w:after="0" w:afterAutospacing="0" w:line="240" w:lineRule="atLeast"/>
              <w:ind w:left="105" w:leftChars="50" w:right="0"/>
              <w:rPr>
                <w:rFonts w:hint="default"/>
                <w:color w:val="auto"/>
                <w:szCs w:val="21"/>
                <w:highlight w:val="none"/>
              </w:rPr>
            </w:pPr>
            <w:r>
              <w:rPr>
                <w:rFonts w:hint="eastAsia"/>
                <w:color w:val="auto"/>
                <w:szCs w:val="21"/>
                <w:highlight w:val="none"/>
              </w:rPr>
              <w:t>办公设备及设施</w:t>
            </w:r>
          </w:p>
        </w:tc>
        <w:tc>
          <w:tcPr>
            <w:tcW w:w="1432"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0</w:t>
            </w:r>
          </w:p>
        </w:tc>
        <w:tc>
          <w:tcPr>
            <w:tcW w:w="1997" w:type="dxa"/>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szCs w:val="21"/>
                <w:highlight w:val="none"/>
              </w:rPr>
            </w:pPr>
          </w:p>
        </w:tc>
        <w:tc>
          <w:tcPr>
            <w:tcW w:w="1648" w:type="dxa"/>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567" w:hRule="exact"/>
          <w:jc w:val="center"/>
        </w:trPr>
        <w:tc>
          <w:tcPr>
            <w:tcW w:w="540"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default"/>
                <w:color w:val="auto"/>
                <w:szCs w:val="21"/>
                <w:highlight w:val="none"/>
              </w:rPr>
              <w:t>3</w:t>
            </w:r>
          </w:p>
        </w:tc>
        <w:tc>
          <w:tcPr>
            <w:tcW w:w="3601" w:type="dxa"/>
            <w:vAlign w:val="center"/>
          </w:tcPr>
          <w:p>
            <w:pPr>
              <w:keepNext w:val="0"/>
              <w:keepLines w:val="0"/>
              <w:suppressLineNumbers w:val="0"/>
              <w:tabs>
                <w:tab w:val="left" w:pos="426"/>
              </w:tabs>
              <w:spacing w:before="0" w:beforeAutospacing="0" w:after="0" w:afterAutospacing="0" w:line="240" w:lineRule="atLeast"/>
              <w:ind w:left="105" w:leftChars="50" w:right="0"/>
              <w:rPr>
                <w:rFonts w:hint="default"/>
                <w:color w:val="auto"/>
                <w:szCs w:val="21"/>
                <w:highlight w:val="none"/>
              </w:rPr>
            </w:pPr>
            <w:r>
              <w:rPr>
                <w:rFonts w:hint="eastAsia"/>
                <w:color w:val="auto"/>
                <w:szCs w:val="21"/>
                <w:highlight w:val="none"/>
              </w:rPr>
              <w:t>交通车辆</w:t>
            </w:r>
          </w:p>
        </w:tc>
        <w:tc>
          <w:tcPr>
            <w:tcW w:w="1432"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0</w:t>
            </w:r>
          </w:p>
        </w:tc>
        <w:tc>
          <w:tcPr>
            <w:tcW w:w="1997" w:type="dxa"/>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szCs w:val="21"/>
                <w:highlight w:val="none"/>
              </w:rPr>
            </w:pPr>
          </w:p>
        </w:tc>
        <w:tc>
          <w:tcPr>
            <w:tcW w:w="1648" w:type="dxa"/>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567" w:hRule="exact"/>
          <w:jc w:val="center"/>
        </w:trPr>
        <w:tc>
          <w:tcPr>
            <w:tcW w:w="540"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default"/>
                <w:color w:val="auto"/>
                <w:szCs w:val="21"/>
                <w:highlight w:val="none"/>
              </w:rPr>
              <w:t>4</w:t>
            </w:r>
          </w:p>
        </w:tc>
        <w:tc>
          <w:tcPr>
            <w:tcW w:w="3601" w:type="dxa"/>
            <w:vAlign w:val="center"/>
          </w:tcPr>
          <w:p>
            <w:pPr>
              <w:keepNext w:val="0"/>
              <w:keepLines w:val="0"/>
              <w:suppressLineNumbers w:val="0"/>
              <w:tabs>
                <w:tab w:val="left" w:pos="426"/>
              </w:tabs>
              <w:spacing w:before="0" w:beforeAutospacing="0" w:after="0" w:afterAutospacing="0" w:line="240" w:lineRule="atLeast"/>
              <w:ind w:left="105" w:leftChars="50" w:right="0"/>
              <w:rPr>
                <w:rFonts w:hint="default"/>
                <w:color w:val="auto"/>
                <w:szCs w:val="21"/>
                <w:highlight w:val="none"/>
              </w:rPr>
            </w:pPr>
            <w:r>
              <w:rPr>
                <w:rFonts w:hint="eastAsia"/>
                <w:color w:val="auto"/>
                <w:szCs w:val="21"/>
                <w:highlight w:val="none"/>
              </w:rPr>
              <w:t>检测和试验设备</w:t>
            </w:r>
          </w:p>
        </w:tc>
        <w:tc>
          <w:tcPr>
            <w:tcW w:w="1432"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r>
              <w:rPr>
                <w:rFonts w:hint="eastAsia"/>
                <w:color w:val="auto"/>
                <w:szCs w:val="21"/>
                <w:highlight w:val="none"/>
              </w:rPr>
              <w:t>0</w:t>
            </w:r>
          </w:p>
        </w:tc>
        <w:tc>
          <w:tcPr>
            <w:tcW w:w="1997" w:type="dxa"/>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szCs w:val="21"/>
                <w:highlight w:val="none"/>
              </w:rPr>
            </w:pPr>
          </w:p>
        </w:tc>
        <w:tc>
          <w:tcPr>
            <w:tcW w:w="1648" w:type="dxa"/>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567" w:hRule="exact"/>
          <w:jc w:val="center"/>
        </w:trPr>
        <w:tc>
          <w:tcPr>
            <w:tcW w:w="540" w:type="dxa"/>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p>
        </w:tc>
        <w:tc>
          <w:tcPr>
            <w:tcW w:w="3601" w:type="dxa"/>
            <w:vAlign w:val="center"/>
          </w:tcPr>
          <w:p>
            <w:pPr>
              <w:keepNext w:val="0"/>
              <w:keepLines w:val="0"/>
              <w:suppressLineNumbers w:val="0"/>
              <w:tabs>
                <w:tab w:val="left" w:pos="426"/>
              </w:tabs>
              <w:spacing w:before="0" w:beforeAutospacing="0" w:after="0" w:afterAutospacing="0" w:line="240" w:lineRule="atLeast"/>
              <w:ind w:left="105" w:leftChars="50" w:right="0"/>
              <w:rPr>
                <w:rFonts w:hint="default"/>
                <w:color w:val="auto"/>
                <w:szCs w:val="21"/>
                <w:highlight w:val="none"/>
              </w:rPr>
            </w:pPr>
          </w:p>
        </w:tc>
        <w:tc>
          <w:tcPr>
            <w:tcW w:w="1432" w:type="dxa"/>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szCs w:val="21"/>
                <w:highlight w:val="none"/>
              </w:rPr>
            </w:pPr>
          </w:p>
        </w:tc>
        <w:tc>
          <w:tcPr>
            <w:tcW w:w="1997" w:type="dxa"/>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szCs w:val="21"/>
                <w:highlight w:val="none"/>
              </w:rPr>
            </w:pPr>
          </w:p>
        </w:tc>
        <w:tc>
          <w:tcPr>
            <w:tcW w:w="1648" w:type="dxa"/>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trHeight w:val="567" w:hRule="exact"/>
          <w:jc w:val="center"/>
        </w:trPr>
        <w:tc>
          <w:tcPr>
            <w:tcW w:w="540" w:type="dxa"/>
            <w:tcBorders>
              <w:bottom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jc w:val="center"/>
              <w:rPr>
                <w:rFonts w:hint="default"/>
                <w:color w:val="auto"/>
                <w:szCs w:val="21"/>
                <w:highlight w:val="none"/>
              </w:rPr>
            </w:pPr>
          </w:p>
        </w:tc>
        <w:tc>
          <w:tcPr>
            <w:tcW w:w="3601" w:type="dxa"/>
            <w:tcBorders>
              <w:bottom w:val="single" w:color="auto" w:sz="6" w:space="0"/>
            </w:tcBorders>
            <w:vAlign w:val="center"/>
          </w:tcPr>
          <w:p>
            <w:pPr>
              <w:keepNext w:val="0"/>
              <w:keepLines w:val="0"/>
              <w:suppressLineNumbers w:val="0"/>
              <w:tabs>
                <w:tab w:val="left" w:pos="426"/>
              </w:tabs>
              <w:spacing w:before="0" w:beforeAutospacing="0" w:after="0" w:afterAutospacing="0" w:line="240" w:lineRule="atLeast"/>
              <w:ind w:left="105" w:leftChars="50" w:right="0"/>
              <w:rPr>
                <w:rFonts w:hint="default"/>
                <w:color w:val="auto"/>
                <w:szCs w:val="21"/>
                <w:highlight w:val="none"/>
              </w:rPr>
            </w:pPr>
          </w:p>
        </w:tc>
        <w:tc>
          <w:tcPr>
            <w:tcW w:w="1432" w:type="dxa"/>
            <w:tcBorders>
              <w:bottom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szCs w:val="21"/>
                <w:highlight w:val="none"/>
              </w:rPr>
            </w:pPr>
          </w:p>
        </w:tc>
        <w:tc>
          <w:tcPr>
            <w:tcW w:w="1997" w:type="dxa"/>
            <w:tcBorders>
              <w:bottom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szCs w:val="21"/>
                <w:highlight w:val="none"/>
              </w:rPr>
            </w:pPr>
          </w:p>
        </w:tc>
        <w:tc>
          <w:tcPr>
            <w:tcW w:w="1648" w:type="dxa"/>
            <w:tcBorders>
              <w:bottom w:val="single" w:color="auto" w:sz="6" w:space="0"/>
            </w:tcBorders>
            <w:vAlign w:val="center"/>
          </w:tcPr>
          <w:p>
            <w:pPr>
              <w:keepNext w:val="0"/>
              <w:keepLines w:val="0"/>
              <w:suppressLineNumbers w:val="0"/>
              <w:tabs>
                <w:tab w:val="left" w:pos="426"/>
              </w:tabs>
              <w:spacing w:before="0" w:beforeAutospacing="0" w:after="0" w:afterAutospacing="0" w:line="240" w:lineRule="atLeast"/>
              <w:ind w:left="0" w:right="0"/>
              <w:rPr>
                <w:rFonts w:hint="default"/>
                <w:color w:val="auto"/>
                <w:szCs w:val="21"/>
                <w:highlight w:val="none"/>
              </w:rPr>
            </w:pPr>
          </w:p>
        </w:tc>
      </w:tr>
    </w:tbl>
    <w:p>
      <w:pPr>
        <w:spacing w:line="360" w:lineRule="auto"/>
        <w:ind w:firstLine="422" w:firstLineChars="200"/>
        <w:rPr>
          <w:rFonts w:hint="eastAsia" w:ascii="宋体" w:hAnsi="宋体"/>
          <w:b/>
          <w:bCs/>
          <w:color w:val="auto"/>
          <w:szCs w:val="21"/>
          <w:highlight w:val="none"/>
        </w:rPr>
      </w:pPr>
    </w:p>
    <w:p>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注：本合同样本仅供参考，具体条款内容采购单位和中标单位按前海管理局合同样本签订。签订合同内容不改变本招标文件的实质条件。</w:t>
      </w:r>
    </w:p>
    <w:p>
      <w:pPr>
        <w:rPr>
          <w:rFonts w:hint="eastAsia" w:ascii="宋体" w:hAnsi="宋体"/>
          <w:b/>
          <w:bCs/>
          <w:color w:val="auto"/>
          <w:szCs w:val="21"/>
          <w:highlight w:val="none"/>
        </w:rPr>
      </w:pPr>
      <w:r>
        <w:rPr>
          <w:rFonts w:hint="eastAsia" w:ascii="宋体" w:hAnsi="宋体"/>
          <w:b/>
          <w:bCs/>
          <w:color w:val="auto"/>
          <w:szCs w:val="21"/>
          <w:highlight w:val="none"/>
        </w:rPr>
        <w:br w:type="page"/>
      </w:r>
    </w:p>
    <w:p>
      <w:pPr>
        <w:pStyle w:val="11"/>
        <w:jc w:val="center"/>
        <w:outlineLvl w:val="1"/>
        <w:rPr>
          <w:rFonts w:hint="eastAsia" w:eastAsia="宋体"/>
          <w:lang w:val="en-US" w:eastAsia="zh-CN"/>
        </w:rPr>
      </w:pPr>
      <w:bookmarkStart w:id="294" w:name="_Toc28725"/>
      <w:r>
        <w:rPr>
          <w:rFonts w:hint="eastAsia" w:ascii="黑体" w:hAnsi="宋体" w:eastAsia="黑体"/>
          <w:color w:val="auto"/>
          <w:sz w:val="36"/>
          <w:szCs w:val="36"/>
          <w:highlight w:val="none"/>
        </w:rPr>
        <w:t>第</w:t>
      </w:r>
      <w:r>
        <w:rPr>
          <w:rFonts w:hint="eastAsia" w:ascii="黑体" w:hAnsi="宋体" w:eastAsia="黑体"/>
          <w:color w:val="auto"/>
          <w:sz w:val="36"/>
          <w:szCs w:val="36"/>
          <w:highlight w:val="none"/>
          <w:lang w:val="en-US" w:eastAsia="zh-CN"/>
        </w:rPr>
        <w:t>四</w:t>
      </w:r>
      <w:r>
        <w:rPr>
          <w:rFonts w:hint="eastAsia" w:ascii="黑体" w:hAnsi="宋体" w:eastAsia="黑体"/>
          <w:color w:val="auto"/>
          <w:sz w:val="36"/>
          <w:szCs w:val="36"/>
          <w:highlight w:val="none"/>
        </w:rPr>
        <w:t xml:space="preserve">部分  </w:t>
      </w:r>
      <w:r>
        <w:rPr>
          <w:rFonts w:hint="eastAsia" w:ascii="黑体" w:hAnsi="宋体" w:eastAsia="黑体"/>
          <w:color w:val="auto"/>
          <w:sz w:val="36"/>
          <w:szCs w:val="36"/>
          <w:highlight w:val="none"/>
          <w:lang w:val="en-US" w:eastAsia="zh-CN"/>
        </w:rPr>
        <w:t>保</w:t>
      </w:r>
      <w:r>
        <w:rPr>
          <w:rFonts w:hint="eastAsia" w:ascii="黑体" w:hAnsi="宋体" w:eastAsia="黑体"/>
          <w:color w:val="auto"/>
          <w:sz w:val="36"/>
          <w:szCs w:val="36"/>
          <w:highlight w:val="none"/>
        </w:rPr>
        <w:t xml:space="preserve"> </w:t>
      </w:r>
      <w:r>
        <w:rPr>
          <w:rFonts w:hint="eastAsia" w:ascii="黑体" w:hAnsi="宋体" w:eastAsia="黑体"/>
          <w:color w:val="auto"/>
          <w:sz w:val="36"/>
          <w:szCs w:val="36"/>
          <w:highlight w:val="none"/>
          <w:lang w:val="en-US" w:eastAsia="zh-CN"/>
        </w:rPr>
        <w:t>密</w:t>
      </w:r>
      <w:r>
        <w:rPr>
          <w:rFonts w:hint="eastAsia" w:ascii="黑体" w:hAnsi="宋体" w:eastAsia="黑体"/>
          <w:color w:val="auto"/>
          <w:sz w:val="36"/>
          <w:szCs w:val="36"/>
          <w:highlight w:val="none"/>
        </w:rPr>
        <w:t xml:space="preserve"> </w:t>
      </w:r>
      <w:r>
        <w:rPr>
          <w:rFonts w:hint="eastAsia" w:ascii="黑体" w:hAnsi="宋体" w:eastAsia="黑体"/>
          <w:color w:val="auto"/>
          <w:sz w:val="36"/>
          <w:szCs w:val="36"/>
          <w:highlight w:val="none"/>
          <w:lang w:val="en-US" w:eastAsia="zh-CN"/>
        </w:rPr>
        <w:t>协</w:t>
      </w:r>
      <w:r>
        <w:rPr>
          <w:rFonts w:hint="eastAsia" w:ascii="黑体" w:hAnsi="宋体" w:eastAsia="黑体"/>
          <w:color w:val="auto"/>
          <w:sz w:val="36"/>
          <w:szCs w:val="36"/>
          <w:highlight w:val="none"/>
        </w:rPr>
        <w:t xml:space="preserve"> </w:t>
      </w:r>
      <w:r>
        <w:rPr>
          <w:rFonts w:hint="eastAsia" w:ascii="黑体" w:hAnsi="宋体" w:eastAsia="黑体"/>
          <w:color w:val="auto"/>
          <w:sz w:val="36"/>
          <w:szCs w:val="36"/>
          <w:highlight w:val="none"/>
          <w:lang w:val="en-US" w:eastAsia="zh-CN"/>
        </w:rPr>
        <w:t>议</w:t>
      </w:r>
      <w:bookmarkEnd w:id="294"/>
    </w:p>
    <w:p>
      <w:pPr>
        <w:jc w:val="center"/>
        <w:rPr>
          <w:rFonts w:hint="eastAsia" w:ascii="宋体" w:hAnsi="宋体"/>
          <w:b/>
          <w:sz w:val="26"/>
          <w:szCs w:val="26"/>
        </w:rPr>
      </w:pPr>
    </w:p>
    <w:p>
      <w:pPr>
        <w:jc w:val="center"/>
        <w:rPr>
          <w:rFonts w:hint="eastAsia" w:ascii="宋体" w:hAnsi="宋体"/>
          <w:b/>
          <w:sz w:val="26"/>
          <w:szCs w:val="26"/>
        </w:rPr>
      </w:pPr>
      <w:r>
        <w:rPr>
          <w:rFonts w:hint="eastAsia" w:ascii="宋体" w:hAnsi="宋体"/>
          <w:b/>
          <w:sz w:val="26"/>
          <w:szCs w:val="26"/>
        </w:rPr>
        <w:t>保 密 协 议</w:t>
      </w:r>
    </w:p>
    <w:p>
      <w:pPr>
        <w:jc w:val="center"/>
        <w:rPr>
          <w:rFonts w:ascii="宋体" w:hAnsi="宋体"/>
          <w:b/>
          <w:sz w:val="26"/>
          <w:szCs w:val="26"/>
        </w:rPr>
      </w:pPr>
    </w:p>
    <w:p>
      <w:pPr>
        <w:adjustRightInd w:val="0"/>
        <w:snapToGrid w:val="0"/>
        <w:spacing w:line="440" w:lineRule="exact"/>
        <w:rPr>
          <w:rFonts w:ascii="宋体" w:hAnsi="宋体"/>
          <w:sz w:val="26"/>
          <w:szCs w:val="26"/>
        </w:rPr>
      </w:pPr>
      <w:r>
        <w:rPr>
          <w:rFonts w:hint="eastAsia" w:ascii="宋体" w:hAnsi="宋体"/>
          <w:sz w:val="26"/>
          <w:szCs w:val="26"/>
        </w:rPr>
        <w:t>本协议双方为：</w:t>
      </w:r>
    </w:p>
    <w:p>
      <w:pPr>
        <w:autoSpaceDE w:val="0"/>
        <w:autoSpaceDN w:val="0"/>
        <w:adjustRightInd w:val="0"/>
        <w:snapToGrid w:val="0"/>
        <w:spacing w:line="440" w:lineRule="exact"/>
        <w:jc w:val="left"/>
        <w:rPr>
          <w:rFonts w:hint="eastAsia" w:ascii="宋体" w:hAnsi="宋体"/>
          <w:sz w:val="26"/>
          <w:szCs w:val="26"/>
        </w:rPr>
      </w:pPr>
      <w:r>
        <w:rPr>
          <w:rFonts w:ascii="宋体" w:hAnsi="宋体"/>
          <w:b/>
          <w:sz w:val="26"/>
          <w:szCs w:val="26"/>
        </w:rPr>
        <w:t xml:space="preserve">     </w:t>
      </w:r>
      <w:r>
        <w:rPr>
          <w:rFonts w:hint="eastAsia" w:ascii="宋体" w:hAnsi="宋体"/>
          <w:sz w:val="26"/>
          <w:szCs w:val="26"/>
        </w:rPr>
        <w:t>披露方：</w:t>
      </w:r>
      <w:r>
        <w:rPr>
          <w:rFonts w:hint="eastAsia" w:ascii="宋体" w:hAnsi="宋体"/>
          <w:sz w:val="26"/>
          <w:szCs w:val="26"/>
          <w:u w:val="single"/>
        </w:rPr>
        <w:t>深圳市前海深港现代服务业合作区管理局</w:t>
      </w:r>
      <w:r>
        <w:rPr>
          <w:rFonts w:ascii="宋体" w:hAnsi="宋体"/>
          <w:sz w:val="26"/>
          <w:szCs w:val="26"/>
        </w:rPr>
        <w:t>(</w:t>
      </w:r>
      <w:r>
        <w:rPr>
          <w:rFonts w:hint="eastAsia" w:ascii="宋体" w:hAnsi="宋体"/>
          <w:sz w:val="26"/>
          <w:szCs w:val="26"/>
        </w:rPr>
        <w:t>包括其关联机构)，依照中华人民共和国法律成立，注册地址为</w:t>
      </w:r>
      <w:r>
        <w:rPr>
          <w:rFonts w:hint="eastAsia" w:ascii="宋体" w:hAnsi="宋体"/>
          <w:sz w:val="26"/>
          <w:szCs w:val="26"/>
          <w:u w:val="single"/>
          <w:lang w:eastAsia="zh-CN"/>
        </w:rPr>
        <w:t>深圳市南山区南山街道月亮湾大道（东滨路口）前湾一路</w:t>
      </w:r>
      <w:r>
        <w:rPr>
          <w:rFonts w:hint="eastAsia" w:ascii="宋体" w:hAnsi="宋体" w:eastAsia="宋体" w:cs="宋体"/>
          <w:sz w:val="26"/>
          <w:szCs w:val="26"/>
          <w:u w:val="single"/>
          <w:lang w:val="en-US" w:eastAsia="zh-CN"/>
        </w:rPr>
        <w:t>23</w:t>
      </w:r>
      <w:r>
        <w:rPr>
          <w:rFonts w:hint="eastAsia" w:ascii="宋体" w:hAnsi="宋体"/>
          <w:sz w:val="26"/>
          <w:szCs w:val="26"/>
          <w:u w:val="single"/>
          <w:lang w:val="en-US" w:eastAsia="zh-CN"/>
        </w:rPr>
        <w:t>号前海深港合作区综合办公楼</w:t>
      </w:r>
      <w:r>
        <w:rPr>
          <w:rFonts w:hint="eastAsia" w:ascii="宋体" w:hAnsi="宋体"/>
          <w:sz w:val="26"/>
          <w:szCs w:val="26"/>
        </w:rPr>
        <w:t>（以下简称为“披露方”）；和</w:t>
      </w:r>
    </w:p>
    <w:p>
      <w:pPr>
        <w:autoSpaceDE w:val="0"/>
        <w:autoSpaceDN w:val="0"/>
        <w:adjustRightInd w:val="0"/>
        <w:snapToGrid w:val="0"/>
        <w:spacing w:line="440" w:lineRule="exact"/>
        <w:jc w:val="left"/>
        <w:rPr>
          <w:rFonts w:ascii="宋体" w:hAnsi="宋体"/>
          <w:color w:val="FF0000"/>
          <w:sz w:val="26"/>
          <w:szCs w:val="26"/>
        </w:rPr>
      </w:pPr>
      <w:r>
        <w:rPr>
          <w:rFonts w:hint="eastAsia" w:ascii="宋体" w:hAnsi="宋体"/>
          <w:sz w:val="26"/>
          <w:szCs w:val="26"/>
        </w:rPr>
        <w:t xml:space="preserve">     接受方：       </w:t>
      </w:r>
      <w:r>
        <w:rPr>
          <w:rFonts w:ascii="宋体" w:hAnsi="宋体"/>
          <w:sz w:val="26"/>
          <w:szCs w:val="26"/>
        </w:rPr>
        <w:t>(</w:t>
      </w:r>
      <w:r>
        <w:rPr>
          <w:rFonts w:hint="eastAsia" w:ascii="宋体" w:hAnsi="宋体"/>
          <w:sz w:val="26"/>
          <w:szCs w:val="26"/>
        </w:rPr>
        <w:t>包括其关联机构)依照                        ，注册地址为                       ，(以下简称为“接受方”)。</w:t>
      </w:r>
    </w:p>
    <w:p>
      <w:pPr>
        <w:adjustRightInd w:val="0"/>
        <w:snapToGrid w:val="0"/>
        <w:spacing w:line="440" w:lineRule="exact"/>
        <w:rPr>
          <w:rFonts w:ascii="宋体" w:hAnsi="宋体"/>
          <w:sz w:val="26"/>
          <w:szCs w:val="26"/>
        </w:rPr>
      </w:pPr>
      <w:r>
        <w:rPr>
          <w:rFonts w:ascii="宋体" w:hAnsi="宋体"/>
          <w:sz w:val="26"/>
          <w:szCs w:val="26"/>
        </w:rPr>
        <w:t xml:space="preserve">   </w:t>
      </w:r>
    </w:p>
    <w:p>
      <w:pPr>
        <w:adjustRightInd w:val="0"/>
        <w:snapToGrid w:val="0"/>
        <w:spacing w:line="440" w:lineRule="exact"/>
        <w:rPr>
          <w:rFonts w:ascii="宋体" w:hAnsi="宋体"/>
          <w:sz w:val="26"/>
          <w:szCs w:val="26"/>
        </w:rPr>
      </w:pPr>
      <w:r>
        <w:rPr>
          <w:rFonts w:ascii="宋体" w:hAnsi="宋体"/>
          <w:sz w:val="26"/>
          <w:szCs w:val="26"/>
        </w:rPr>
        <w:t xml:space="preserve">     </w:t>
      </w:r>
      <w:r>
        <w:rPr>
          <w:rFonts w:hint="eastAsia" w:ascii="宋体" w:hAnsi="宋体"/>
          <w:sz w:val="26"/>
          <w:szCs w:val="26"/>
        </w:rPr>
        <w:t>鉴于双方已经建立或正在探求建立某种合作关系，披露方（“披露方</w:t>
      </w:r>
      <w:r>
        <w:rPr>
          <w:rFonts w:ascii="宋体" w:hAnsi="宋体"/>
          <w:sz w:val="26"/>
          <w:szCs w:val="26"/>
        </w:rPr>
        <w:t>”</w:t>
      </w:r>
      <w:r>
        <w:rPr>
          <w:rFonts w:hint="eastAsia" w:ascii="宋体" w:hAnsi="宋体"/>
          <w:sz w:val="26"/>
          <w:szCs w:val="26"/>
        </w:rPr>
        <w:t>）可能</w:t>
      </w:r>
      <w:r>
        <w:rPr>
          <w:rFonts w:hint="eastAsia" w:ascii="宋体" w:hAnsi="宋体"/>
          <w:color w:val="000000"/>
          <w:sz w:val="26"/>
          <w:szCs w:val="26"/>
        </w:rPr>
        <w:t>将</w:t>
      </w:r>
      <w:r>
        <w:rPr>
          <w:rFonts w:hint="eastAsia" w:ascii="宋体" w:hAnsi="宋体"/>
          <w:sz w:val="26"/>
          <w:szCs w:val="26"/>
        </w:rPr>
        <w:t>向____________公司（“接受方”）透漏下述保密信息，双方同意并达成以下协议：</w:t>
      </w:r>
      <w:r>
        <w:rPr>
          <w:rFonts w:ascii="宋体" w:hAnsi="宋体"/>
          <w:sz w:val="26"/>
          <w:szCs w:val="26"/>
        </w:rPr>
        <w:tab/>
      </w:r>
    </w:p>
    <w:p>
      <w:pPr>
        <w:adjustRightInd w:val="0"/>
        <w:snapToGrid w:val="0"/>
        <w:spacing w:line="440" w:lineRule="exact"/>
        <w:ind w:firstLine="520" w:firstLineChars="200"/>
        <w:rPr>
          <w:rFonts w:hint="eastAsia" w:ascii="宋体" w:hAnsi="宋体"/>
          <w:sz w:val="26"/>
          <w:szCs w:val="26"/>
        </w:rPr>
      </w:pPr>
      <w:r>
        <w:rPr>
          <w:rFonts w:hint="eastAsia" w:ascii="宋体" w:hAnsi="宋体"/>
          <w:sz w:val="26"/>
          <w:szCs w:val="26"/>
        </w:rPr>
        <w:t>一、本协议适用于披露方在</w:t>
      </w:r>
      <w:r>
        <w:rPr>
          <w:rFonts w:hint="eastAsia" w:ascii="宋体" w:hAnsi="宋体"/>
          <w:b w:val="0"/>
          <w:color w:val="FF0000"/>
          <w:sz w:val="26"/>
          <w:szCs w:val="26"/>
          <w:u w:val="single"/>
          <w:lang w:eastAsia="zh-CN"/>
        </w:rPr>
        <w:t>智慧前海视频云平台二期</w:t>
      </w:r>
      <w:r>
        <w:rPr>
          <w:rFonts w:hint="eastAsia" w:ascii="宋体" w:hAnsi="宋体"/>
          <w:b w:val="0"/>
          <w:color w:val="FF0000"/>
          <w:sz w:val="26"/>
          <w:szCs w:val="26"/>
          <w:u w:val="single"/>
        </w:rPr>
        <w:t>项目</w:t>
      </w:r>
      <w:r>
        <w:rPr>
          <w:rFonts w:hint="eastAsia" w:ascii="宋体" w:hAnsi="宋体"/>
          <w:b w:val="0"/>
          <w:color w:val="FF0000"/>
          <w:sz w:val="26"/>
          <w:szCs w:val="26"/>
          <w:u w:val="single"/>
          <w:lang w:val="en-US" w:eastAsia="zh-CN"/>
        </w:rPr>
        <w:t>监理服务</w:t>
      </w:r>
      <w:r>
        <w:rPr>
          <w:rFonts w:hint="eastAsia" w:ascii="宋体" w:hAnsi="宋体"/>
          <w:color w:val="FF0000"/>
          <w:sz w:val="26"/>
          <w:szCs w:val="26"/>
        </w:rPr>
        <w:t>（以下简称为“本项目”）</w:t>
      </w:r>
      <w:r>
        <w:rPr>
          <w:rFonts w:hint="eastAsia" w:ascii="宋体" w:hAnsi="宋体"/>
          <w:sz w:val="26"/>
          <w:szCs w:val="26"/>
        </w:rPr>
        <w:t>合作中向接受方披露的保密信息。</w:t>
      </w:r>
    </w:p>
    <w:p>
      <w:pPr>
        <w:tabs>
          <w:tab w:val="left" w:pos="0"/>
        </w:tabs>
        <w:adjustRightInd w:val="0"/>
        <w:snapToGrid w:val="0"/>
        <w:spacing w:line="440" w:lineRule="exact"/>
        <w:ind w:firstLine="520" w:firstLineChars="200"/>
        <w:rPr>
          <w:rFonts w:hint="eastAsia" w:ascii="宋体" w:hAnsi="宋体"/>
          <w:sz w:val="26"/>
          <w:szCs w:val="26"/>
        </w:rPr>
      </w:pPr>
      <w:r>
        <w:rPr>
          <w:rFonts w:hint="eastAsia" w:ascii="宋体" w:hAnsi="宋体"/>
          <w:sz w:val="26"/>
          <w:szCs w:val="26"/>
        </w:rPr>
        <w:t>根据本协议接受方不会向披露方透露任何其认为或被第三方认为是保密信息的任何形式的资料。所有接受方透露给披露方的资料将不被视为保密信息来持有和使用。</w:t>
      </w:r>
    </w:p>
    <w:p>
      <w:pPr>
        <w:tabs>
          <w:tab w:val="left" w:pos="0"/>
        </w:tabs>
        <w:adjustRightInd w:val="0"/>
        <w:snapToGrid w:val="0"/>
        <w:spacing w:line="440" w:lineRule="exact"/>
        <w:ind w:firstLine="520" w:firstLineChars="200"/>
        <w:rPr>
          <w:rFonts w:hint="eastAsia" w:ascii="宋体" w:hAnsi="宋体"/>
          <w:sz w:val="26"/>
          <w:szCs w:val="26"/>
        </w:rPr>
      </w:pPr>
      <w:r>
        <w:rPr>
          <w:rFonts w:hint="eastAsia" w:ascii="宋体" w:hAnsi="宋体"/>
          <w:sz w:val="26"/>
          <w:szCs w:val="26"/>
        </w:rPr>
        <w:t>二、本协议中的“保密信息”是指：</w:t>
      </w:r>
    </w:p>
    <w:p>
      <w:pPr>
        <w:tabs>
          <w:tab w:val="left" w:pos="0"/>
        </w:tabs>
        <w:adjustRightInd w:val="0"/>
        <w:snapToGrid w:val="0"/>
        <w:spacing w:line="440" w:lineRule="exact"/>
        <w:ind w:firstLine="520" w:firstLineChars="200"/>
        <w:rPr>
          <w:rFonts w:hint="eastAsia" w:ascii="宋体" w:hAnsi="宋体"/>
          <w:sz w:val="26"/>
          <w:szCs w:val="26"/>
        </w:rPr>
      </w:pPr>
      <w:r>
        <w:rPr>
          <w:rFonts w:hint="eastAsia" w:ascii="宋体" w:hAnsi="宋体"/>
          <w:sz w:val="26"/>
          <w:szCs w:val="26"/>
        </w:rPr>
        <w:t>1. 披露方在签订本协议之前或之后向接受方提供的</w:t>
      </w:r>
      <w:bookmarkStart w:id="545" w:name="_GoBack"/>
      <w:bookmarkEnd w:id="545"/>
      <w:r>
        <w:rPr>
          <w:rFonts w:hint="default" w:ascii="宋体" w:hAnsi="宋体"/>
          <w:sz w:val="26"/>
          <w:szCs w:val="26"/>
        </w:rPr>
        <w:t>或</w:t>
      </w:r>
      <w:r>
        <w:rPr>
          <w:rFonts w:hint="eastAsia" w:ascii="宋体" w:hAnsi="宋体"/>
          <w:sz w:val="26"/>
          <w:szCs w:val="26"/>
        </w:rPr>
        <w:t>接受方因磋商或合作而知悉、持有的披露方之技术、营运、业务或其他方面之资讯、资料或数据。</w:t>
      </w:r>
    </w:p>
    <w:p>
      <w:pPr>
        <w:tabs>
          <w:tab w:val="left" w:pos="0"/>
        </w:tabs>
        <w:adjustRightInd w:val="0"/>
        <w:snapToGrid w:val="0"/>
        <w:spacing w:line="440" w:lineRule="exact"/>
        <w:ind w:firstLine="520" w:firstLineChars="200"/>
        <w:rPr>
          <w:rFonts w:hint="eastAsia" w:ascii="宋体" w:hAnsi="宋体"/>
          <w:color w:val="000000"/>
          <w:sz w:val="26"/>
          <w:szCs w:val="26"/>
        </w:rPr>
      </w:pPr>
      <w:r>
        <w:rPr>
          <w:rFonts w:hint="eastAsia" w:ascii="宋体" w:hAnsi="宋体"/>
          <w:sz w:val="26"/>
          <w:szCs w:val="26"/>
        </w:rPr>
        <w:t>2. 保密信息</w:t>
      </w:r>
      <w:r>
        <w:rPr>
          <w:rFonts w:hint="eastAsia" w:ascii="宋体" w:hAnsi="宋体"/>
          <w:color w:val="000000"/>
          <w:sz w:val="26"/>
          <w:szCs w:val="26"/>
        </w:rPr>
        <w:t>包括但不限于</w:t>
      </w:r>
      <w:r>
        <w:rPr>
          <w:rFonts w:hint="eastAsia" w:ascii="宋体" w:hAnsi="宋体"/>
          <w:sz w:val="26"/>
          <w:szCs w:val="26"/>
        </w:rPr>
        <w:t>披露方</w:t>
      </w:r>
      <w:r>
        <w:rPr>
          <w:rFonts w:hint="eastAsia" w:ascii="宋体" w:hAnsi="宋体"/>
          <w:color w:val="000000"/>
          <w:sz w:val="26"/>
          <w:szCs w:val="26"/>
        </w:rPr>
        <w:t>之营业秘密、商务机密、与技术有关之知识及信息、创意、设想、方案、提供物品或厂商资料、客户资料、人事资料、商业计划、促销及行销活动、财务状况及其他商务活动等。</w:t>
      </w:r>
      <w:r>
        <w:rPr>
          <w:rFonts w:hint="eastAsia" w:ascii="宋体" w:hAnsi="宋体"/>
          <w:sz w:val="26"/>
          <w:szCs w:val="26"/>
        </w:rPr>
        <w:t>保密信息</w:t>
      </w:r>
      <w:r>
        <w:rPr>
          <w:rFonts w:hint="eastAsia" w:ascii="宋体" w:hAnsi="宋体"/>
          <w:color w:val="000000"/>
          <w:sz w:val="26"/>
          <w:szCs w:val="26"/>
        </w:rPr>
        <w:t>呈现之形式及载体包括但不限于书面或口头、文件、磁盘、磁盘片、光盘片、电子邮件、电磁纪录、报告、文字往来、录音带、录像带、笔记、图纸、模型、规格说明、汇编文件、计算机程序及其他媒体。</w:t>
      </w:r>
    </w:p>
    <w:p>
      <w:pPr>
        <w:tabs>
          <w:tab w:val="left" w:pos="0"/>
        </w:tabs>
        <w:adjustRightInd w:val="0"/>
        <w:snapToGrid w:val="0"/>
        <w:spacing w:line="440" w:lineRule="exact"/>
        <w:ind w:firstLine="520" w:firstLineChars="200"/>
        <w:rPr>
          <w:rFonts w:ascii="宋体" w:hAnsi="宋体"/>
          <w:sz w:val="26"/>
          <w:szCs w:val="26"/>
        </w:rPr>
      </w:pPr>
      <w:r>
        <w:rPr>
          <w:rFonts w:hint="eastAsia" w:ascii="宋体" w:hAnsi="宋体"/>
          <w:sz w:val="26"/>
          <w:szCs w:val="26"/>
        </w:rPr>
        <w:t>三、本协议中的“保密信息”不包括：</w:t>
      </w:r>
    </w:p>
    <w:p>
      <w:pPr>
        <w:tabs>
          <w:tab w:val="left" w:pos="0"/>
        </w:tabs>
        <w:adjustRightInd w:val="0"/>
        <w:snapToGrid w:val="0"/>
        <w:spacing w:line="440" w:lineRule="exact"/>
        <w:rPr>
          <w:rFonts w:ascii="宋体" w:hAnsi="宋体"/>
          <w:sz w:val="26"/>
          <w:szCs w:val="26"/>
        </w:rPr>
      </w:pPr>
      <w:r>
        <w:rPr>
          <w:rFonts w:ascii="宋体" w:hAnsi="宋体"/>
          <w:sz w:val="26"/>
          <w:szCs w:val="26"/>
        </w:rPr>
        <w:t xml:space="preserve">    1</w:t>
      </w:r>
      <w:r>
        <w:rPr>
          <w:rFonts w:hint="eastAsia" w:ascii="宋体" w:hAnsi="宋体"/>
          <w:sz w:val="26"/>
          <w:szCs w:val="26"/>
        </w:rPr>
        <w:t>. 任何已出版的或以其他形式处于公有领域的信息，以及在披露时接受方通过其他合法途径已获得的信息。</w:t>
      </w:r>
    </w:p>
    <w:p>
      <w:pPr>
        <w:tabs>
          <w:tab w:val="left" w:pos="0"/>
        </w:tabs>
        <w:adjustRightInd w:val="0"/>
        <w:snapToGrid w:val="0"/>
        <w:spacing w:line="440" w:lineRule="exact"/>
        <w:ind w:firstLine="468"/>
        <w:rPr>
          <w:rFonts w:hint="eastAsia" w:ascii="宋体" w:hAnsi="宋体"/>
          <w:sz w:val="26"/>
          <w:szCs w:val="26"/>
        </w:rPr>
      </w:pPr>
      <w:r>
        <w:rPr>
          <w:rFonts w:ascii="宋体" w:hAnsi="宋体"/>
          <w:sz w:val="26"/>
          <w:szCs w:val="26"/>
        </w:rPr>
        <w:t>2</w:t>
      </w:r>
      <w:r>
        <w:rPr>
          <w:rFonts w:hint="eastAsia" w:ascii="宋体" w:hAnsi="宋体"/>
          <w:sz w:val="26"/>
          <w:szCs w:val="26"/>
        </w:rPr>
        <w:t>. 接受方在从披露方获得这些信息前已获得的信息，并且没有附加不准使用和透漏的限制。</w:t>
      </w:r>
    </w:p>
    <w:p>
      <w:pPr>
        <w:tabs>
          <w:tab w:val="left" w:pos="0"/>
        </w:tabs>
        <w:adjustRightInd w:val="0"/>
        <w:snapToGrid w:val="0"/>
        <w:spacing w:line="440" w:lineRule="exact"/>
        <w:ind w:firstLine="468"/>
        <w:rPr>
          <w:rFonts w:hint="eastAsia" w:ascii="宋体" w:hAnsi="宋体"/>
          <w:sz w:val="26"/>
          <w:szCs w:val="26"/>
        </w:rPr>
      </w:pPr>
      <w:r>
        <w:rPr>
          <w:rFonts w:hint="eastAsia" w:ascii="宋体" w:hAnsi="宋体"/>
          <w:sz w:val="26"/>
          <w:szCs w:val="26"/>
        </w:rPr>
        <w:t>3. 由第三方在不侵犯他人权利及不违反与他人的保密义务的前提下提供给接受方的信息，并且没有附加不准使用和透漏的限制。</w:t>
      </w:r>
    </w:p>
    <w:p>
      <w:pPr>
        <w:tabs>
          <w:tab w:val="left" w:pos="0"/>
        </w:tabs>
        <w:adjustRightInd w:val="0"/>
        <w:snapToGrid w:val="0"/>
        <w:spacing w:line="440" w:lineRule="exact"/>
        <w:ind w:firstLine="468"/>
        <w:rPr>
          <w:rFonts w:ascii="宋体" w:hAnsi="宋体"/>
          <w:sz w:val="26"/>
          <w:szCs w:val="26"/>
        </w:rPr>
      </w:pPr>
      <w:r>
        <w:rPr>
          <w:rFonts w:hint="eastAsia" w:ascii="宋体" w:hAnsi="宋体"/>
          <w:sz w:val="26"/>
          <w:szCs w:val="26"/>
        </w:rPr>
        <w:t>4. 能够证明是由接受方独立开发的信息。</w:t>
      </w:r>
    </w:p>
    <w:p>
      <w:pPr>
        <w:tabs>
          <w:tab w:val="left" w:pos="0"/>
        </w:tabs>
        <w:adjustRightInd w:val="0"/>
        <w:snapToGrid w:val="0"/>
        <w:spacing w:line="440" w:lineRule="exact"/>
        <w:ind w:firstLine="468"/>
        <w:rPr>
          <w:rFonts w:hint="eastAsia" w:ascii="宋体" w:hAnsi="宋体"/>
          <w:sz w:val="26"/>
          <w:szCs w:val="26"/>
        </w:rPr>
      </w:pPr>
      <w:r>
        <w:rPr>
          <w:rFonts w:ascii="宋体" w:hAnsi="宋体"/>
          <w:sz w:val="26"/>
          <w:szCs w:val="26"/>
        </w:rPr>
        <w:t>5</w:t>
      </w:r>
      <w:r>
        <w:rPr>
          <w:rFonts w:hint="eastAsia" w:ascii="宋体" w:hAnsi="宋体"/>
          <w:sz w:val="26"/>
          <w:szCs w:val="26"/>
        </w:rPr>
        <w:t>. 事先有披露方的书面允许不予保密的信息。</w:t>
      </w:r>
      <w:r>
        <w:rPr>
          <w:rFonts w:ascii="宋体" w:hAnsi="宋体"/>
          <w:sz w:val="26"/>
          <w:szCs w:val="26"/>
        </w:rPr>
        <w:t xml:space="preserve"> </w:t>
      </w:r>
    </w:p>
    <w:p>
      <w:pPr>
        <w:tabs>
          <w:tab w:val="left" w:pos="0"/>
        </w:tabs>
        <w:adjustRightInd w:val="0"/>
        <w:snapToGrid w:val="0"/>
        <w:spacing w:line="440" w:lineRule="exact"/>
        <w:ind w:firstLine="468"/>
        <w:rPr>
          <w:rFonts w:hint="eastAsia" w:ascii="宋体" w:hAnsi="宋体"/>
          <w:sz w:val="26"/>
          <w:szCs w:val="26"/>
        </w:rPr>
      </w:pPr>
      <w:r>
        <w:rPr>
          <w:rFonts w:hint="eastAsia" w:ascii="宋体" w:hAnsi="宋体"/>
          <w:sz w:val="26"/>
          <w:szCs w:val="26"/>
        </w:rPr>
        <w:t>四、接受方同意只在本项目合作的目的范围内使用披露方的保密信息。接受方的义务及限制有：</w:t>
      </w:r>
    </w:p>
    <w:p>
      <w:pPr>
        <w:tabs>
          <w:tab w:val="left" w:pos="397"/>
          <w:tab w:val="left" w:pos="425"/>
        </w:tabs>
        <w:adjustRightInd w:val="0"/>
        <w:snapToGrid w:val="0"/>
        <w:spacing w:line="440" w:lineRule="exact"/>
        <w:ind w:firstLine="520" w:firstLineChars="200"/>
        <w:rPr>
          <w:rFonts w:hint="eastAsia" w:ascii="宋体" w:hAnsi="宋体"/>
          <w:color w:val="000000"/>
          <w:sz w:val="26"/>
          <w:szCs w:val="26"/>
        </w:rPr>
      </w:pPr>
      <w:r>
        <w:rPr>
          <w:rFonts w:ascii="宋体" w:hAnsi="宋体"/>
          <w:sz w:val="26"/>
          <w:szCs w:val="26"/>
        </w:rPr>
        <w:t>1</w:t>
      </w:r>
      <w:r>
        <w:rPr>
          <w:rFonts w:hint="eastAsia" w:ascii="宋体" w:hAnsi="宋体"/>
          <w:sz w:val="26"/>
          <w:szCs w:val="26"/>
        </w:rPr>
        <w:t xml:space="preserve">. </w:t>
      </w:r>
      <w:r>
        <w:rPr>
          <w:rFonts w:hint="eastAsia" w:ascii="宋体" w:hAnsi="宋体"/>
          <w:color w:val="000000"/>
          <w:sz w:val="26"/>
          <w:szCs w:val="26"/>
        </w:rPr>
        <w:t>除经披露方事前书面同意外，</w:t>
      </w:r>
      <w:r>
        <w:rPr>
          <w:rFonts w:hint="eastAsia" w:ascii="宋体" w:hAnsi="宋体"/>
          <w:sz w:val="26"/>
          <w:szCs w:val="26"/>
        </w:rPr>
        <w:t>接受方</w:t>
      </w:r>
      <w:r>
        <w:rPr>
          <w:rFonts w:hint="eastAsia" w:ascii="宋体" w:hAnsi="宋体"/>
          <w:color w:val="000000"/>
          <w:sz w:val="26"/>
          <w:szCs w:val="26"/>
        </w:rPr>
        <w:t>不得以任何其他目的或用途为由，直接或间接编排、修改、利用、应用、开发</w:t>
      </w:r>
      <w:r>
        <w:rPr>
          <w:rFonts w:hint="default" w:ascii="宋体" w:hAnsi="宋体"/>
          <w:color w:val="000000"/>
          <w:sz w:val="26"/>
          <w:szCs w:val="26"/>
        </w:rPr>
        <w:t>或</w:t>
      </w:r>
      <w:r>
        <w:rPr>
          <w:rFonts w:hint="eastAsia" w:ascii="宋体" w:hAnsi="宋体"/>
          <w:color w:val="000000"/>
          <w:sz w:val="26"/>
          <w:szCs w:val="26"/>
        </w:rPr>
        <w:t>以其他任何方式使用</w:t>
      </w:r>
      <w:r>
        <w:rPr>
          <w:rFonts w:hint="eastAsia" w:ascii="宋体" w:hAnsi="宋体"/>
          <w:sz w:val="26"/>
          <w:szCs w:val="26"/>
        </w:rPr>
        <w:t>保密信息</w:t>
      </w:r>
      <w:r>
        <w:rPr>
          <w:rFonts w:hint="eastAsia" w:ascii="宋体" w:hAnsi="宋体"/>
          <w:color w:val="000000"/>
          <w:sz w:val="26"/>
          <w:szCs w:val="26"/>
        </w:rPr>
        <w:t>。不论因何种原因，接受方不应反向工程、解码或分解披露方的原型、软件等。</w:t>
      </w:r>
    </w:p>
    <w:p>
      <w:pPr>
        <w:tabs>
          <w:tab w:val="left" w:pos="397"/>
          <w:tab w:val="left" w:pos="425"/>
        </w:tabs>
        <w:adjustRightInd w:val="0"/>
        <w:snapToGrid w:val="0"/>
        <w:spacing w:line="440" w:lineRule="exact"/>
        <w:ind w:firstLine="520" w:firstLineChars="200"/>
        <w:rPr>
          <w:rFonts w:hint="eastAsia" w:ascii="宋体" w:hAnsi="宋体"/>
          <w:sz w:val="26"/>
          <w:szCs w:val="26"/>
        </w:rPr>
      </w:pPr>
      <w:r>
        <w:rPr>
          <w:rFonts w:hint="eastAsia" w:ascii="宋体" w:hAnsi="宋体"/>
          <w:color w:val="000000"/>
          <w:sz w:val="26"/>
          <w:szCs w:val="26"/>
        </w:rPr>
        <w:t xml:space="preserve">2. </w:t>
      </w:r>
      <w:r>
        <w:rPr>
          <w:rFonts w:hint="eastAsia" w:ascii="宋体" w:hAnsi="宋体"/>
          <w:sz w:val="26"/>
          <w:szCs w:val="26"/>
        </w:rPr>
        <w:t>接受方应采取足够的措施，保护披露方的保密信息，不将披露方的保密信息向任何第三方公开、转让、许可，也不以其他方式让无权接触该信息的单位或个人接触该信息。</w:t>
      </w:r>
    </w:p>
    <w:p>
      <w:pPr>
        <w:tabs>
          <w:tab w:val="left" w:pos="397"/>
          <w:tab w:val="left" w:pos="425"/>
        </w:tabs>
        <w:adjustRightInd w:val="0"/>
        <w:snapToGrid w:val="0"/>
        <w:spacing w:line="440" w:lineRule="exact"/>
        <w:ind w:firstLine="520" w:firstLineChars="200"/>
        <w:rPr>
          <w:rFonts w:hint="eastAsia" w:ascii="宋体" w:hAnsi="宋体"/>
          <w:sz w:val="26"/>
          <w:szCs w:val="26"/>
        </w:rPr>
      </w:pPr>
      <w:r>
        <w:rPr>
          <w:rFonts w:hint="eastAsia" w:ascii="宋体" w:hAnsi="宋体"/>
          <w:sz w:val="26"/>
          <w:szCs w:val="26"/>
        </w:rPr>
        <w:t>3. 如为本合作的目的确实需要向第三方透露披露方的保密信息，接受方需事先得到披露方的书面许可，并与该第三方签订保密协议。</w:t>
      </w:r>
    </w:p>
    <w:p>
      <w:pPr>
        <w:tabs>
          <w:tab w:val="left" w:pos="397"/>
          <w:tab w:val="left" w:pos="425"/>
        </w:tabs>
        <w:adjustRightInd w:val="0"/>
        <w:snapToGrid w:val="0"/>
        <w:spacing w:line="440" w:lineRule="exact"/>
        <w:ind w:firstLine="520" w:firstLineChars="200"/>
        <w:rPr>
          <w:rFonts w:hint="eastAsia" w:ascii="宋体" w:hAnsi="宋体"/>
          <w:sz w:val="26"/>
          <w:szCs w:val="26"/>
        </w:rPr>
      </w:pPr>
      <w:r>
        <w:rPr>
          <w:rFonts w:hint="eastAsia" w:ascii="宋体" w:hAnsi="宋体"/>
          <w:sz w:val="26"/>
          <w:szCs w:val="26"/>
        </w:rPr>
        <w:t>4. 接受方只限于把保密信息提供给在共同目的下有必要知道此信息的接受方的高级职员、雇员及专业顾问，而不应将此保密信息向其他人士或组织透露；接受方应确保上述职员、雇员、及顾问等亦遵守本协议所规定之保密义务，若前述人员有违反本协议规定之情况，即视为接受方之违约行为，违约方应赔偿未违约方因此所受之损害及所失之利益。</w:t>
      </w:r>
    </w:p>
    <w:p>
      <w:pPr>
        <w:tabs>
          <w:tab w:val="left" w:pos="397"/>
          <w:tab w:val="left" w:pos="425"/>
        </w:tabs>
        <w:adjustRightInd w:val="0"/>
        <w:snapToGrid w:val="0"/>
        <w:spacing w:line="440" w:lineRule="exact"/>
        <w:ind w:firstLine="520" w:firstLineChars="200"/>
        <w:rPr>
          <w:rFonts w:hint="eastAsia" w:ascii="宋体" w:hAnsi="宋体"/>
          <w:sz w:val="26"/>
          <w:szCs w:val="26"/>
        </w:rPr>
      </w:pPr>
      <w:r>
        <w:rPr>
          <w:rFonts w:hint="eastAsia" w:ascii="宋体" w:hAnsi="宋体"/>
          <w:sz w:val="26"/>
          <w:szCs w:val="26"/>
        </w:rPr>
        <w:t>5. 如果双方经探讨后未建立合作关系，则接受方不能以任何形式使用披露方的保密信息。</w:t>
      </w:r>
    </w:p>
    <w:p>
      <w:pPr>
        <w:tabs>
          <w:tab w:val="left" w:pos="397"/>
          <w:tab w:val="left" w:pos="425"/>
        </w:tabs>
        <w:adjustRightInd w:val="0"/>
        <w:snapToGrid w:val="0"/>
        <w:spacing w:line="440" w:lineRule="exact"/>
        <w:ind w:firstLine="520" w:firstLineChars="200"/>
        <w:rPr>
          <w:rFonts w:hint="eastAsia" w:ascii="宋体" w:hAnsi="宋体"/>
          <w:color w:val="000000"/>
          <w:sz w:val="26"/>
          <w:szCs w:val="26"/>
        </w:rPr>
      </w:pPr>
      <w:r>
        <w:rPr>
          <w:rFonts w:hint="eastAsia" w:ascii="宋体" w:hAnsi="宋体"/>
          <w:sz w:val="26"/>
          <w:szCs w:val="26"/>
        </w:rPr>
        <w:t xml:space="preserve">6. </w:t>
      </w:r>
      <w:r>
        <w:rPr>
          <w:rFonts w:hint="eastAsia" w:ascii="宋体" w:hAnsi="宋体"/>
          <w:color w:val="000000"/>
          <w:sz w:val="26"/>
          <w:szCs w:val="26"/>
        </w:rPr>
        <w:t>除本协议书另有规定外，双方就彼此间的合作关系或</w:t>
      </w:r>
      <w:r>
        <w:rPr>
          <w:rFonts w:hint="eastAsia" w:ascii="宋体" w:hAnsi="宋体"/>
          <w:sz w:val="26"/>
          <w:szCs w:val="26"/>
        </w:rPr>
        <w:t>保密信息</w:t>
      </w:r>
      <w:r>
        <w:rPr>
          <w:rFonts w:hint="eastAsia" w:ascii="宋体" w:hAnsi="宋体"/>
          <w:color w:val="000000"/>
          <w:sz w:val="26"/>
          <w:szCs w:val="26"/>
        </w:rPr>
        <w:t>进行的任何协商、讨论或谈判、任何拟定之安排或协议，任何正在协商、谈判中的经营或运作计划，或与前述协商、讨论、谈判、安排或协议相关的任何其他资料，均应视为</w:t>
      </w:r>
      <w:r>
        <w:rPr>
          <w:rFonts w:hint="eastAsia" w:ascii="宋体" w:hAnsi="宋体"/>
          <w:sz w:val="26"/>
          <w:szCs w:val="26"/>
        </w:rPr>
        <w:t>保密信息</w:t>
      </w:r>
      <w:r>
        <w:rPr>
          <w:rFonts w:hint="eastAsia" w:ascii="宋体" w:hAnsi="宋体"/>
          <w:color w:val="000000"/>
          <w:sz w:val="26"/>
          <w:szCs w:val="26"/>
        </w:rPr>
        <w:t>，并依本协议规定保守其机密性。未经披露方书面同意，接受方不得以任何直接或间接方式提供或透露前述</w:t>
      </w:r>
      <w:r>
        <w:rPr>
          <w:rFonts w:hint="eastAsia" w:ascii="宋体" w:hAnsi="宋体"/>
          <w:sz w:val="26"/>
          <w:szCs w:val="26"/>
        </w:rPr>
        <w:t>保密信息</w:t>
      </w:r>
      <w:r>
        <w:rPr>
          <w:rFonts w:hint="eastAsia" w:ascii="宋体" w:hAnsi="宋体"/>
          <w:color w:val="000000"/>
          <w:sz w:val="26"/>
          <w:szCs w:val="26"/>
        </w:rPr>
        <w:t>予媒体、公众或任何其他第三方。</w:t>
      </w:r>
    </w:p>
    <w:p>
      <w:pPr>
        <w:tabs>
          <w:tab w:val="left" w:pos="397"/>
          <w:tab w:val="left" w:pos="425"/>
        </w:tabs>
        <w:adjustRightInd w:val="0"/>
        <w:snapToGrid w:val="0"/>
        <w:spacing w:line="440" w:lineRule="exact"/>
        <w:ind w:firstLine="520" w:firstLineChars="200"/>
        <w:rPr>
          <w:rFonts w:hint="eastAsia" w:ascii="宋体" w:hAnsi="宋体"/>
          <w:sz w:val="26"/>
          <w:szCs w:val="26"/>
        </w:rPr>
      </w:pPr>
      <w:r>
        <w:rPr>
          <w:rFonts w:hint="eastAsia" w:ascii="宋体" w:hAnsi="宋体"/>
          <w:sz w:val="26"/>
          <w:szCs w:val="26"/>
        </w:rPr>
        <w:t>7. 如果接受方根据法律程序或行政要求必须披露保密信息，接受方应事先通知披露方，并协助披露方采取必要的保护措施，防止或限制保密信息的进一步扩散。</w:t>
      </w:r>
    </w:p>
    <w:p>
      <w:pPr>
        <w:tabs>
          <w:tab w:val="left" w:pos="397"/>
          <w:tab w:val="left" w:pos="425"/>
        </w:tabs>
        <w:adjustRightInd w:val="0"/>
        <w:snapToGrid w:val="0"/>
        <w:spacing w:line="440" w:lineRule="exact"/>
        <w:ind w:firstLine="520" w:firstLineChars="200"/>
        <w:rPr>
          <w:rFonts w:hint="eastAsia" w:ascii="宋体" w:hAnsi="宋体"/>
          <w:sz w:val="26"/>
          <w:szCs w:val="26"/>
        </w:rPr>
      </w:pPr>
      <w:r>
        <w:rPr>
          <w:rFonts w:hint="eastAsia" w:ascii="宋体" w:hAnsi="宋体"/>
          <w:sz w:val="26"/>
          <w:szCs w:val="26"/>
        </w:rPr>
        <w:t>五、保密信息的所有权及归还：</w:t>
      </w:r>
    </w:p>
    <w:p>
      <w:pPr>
        <w:tabs>
          <w:tab w:val="left" w:pos="397"/>
          <w:tab w:val="left" w:pos="425"/>
        </w:tabs>
        <w:adjustRightInd w:val="0"/>
        <w:snapToGrid w:val="0"/>
        <w:spacing w:line="440" w:lineRule="exact"/>
        <w:ind w:firstLine="520" w:firstLineChars="200"/>
        <w:rPr>
          <w:rFonts w:hint="eastAsia" w:ascii="宋体" w:hAnsi="宋体"/>
          <w:sz w:val="26"/>
          <w:szCs w:val="26"/>
        </w:rPr>
      </w:pPr>
      <w:r>
        <w:rPr>
          <w:rFonts w:hint="eastAsia" w:ascii="宋体" w:hAnsi="宋体"/>
          <w:sz w:val="26"/>
          <w:szCs w:val="26"/>
        </w:rPr>
        <w:t>1. 接受方承认披露方的保密信息始终为披露方的资产，而此保密信息的披露并不得视为披露方已将保密信息的权利授予接受方，且披露方并不保证其披露的保密信息未侵犯第三方的专利权、商标权版权或其他权利。</w:t>
      </w:r>
    </w:p>
    <w:p>
      <w:pPr>
        <w:tabs>
          <w:tab w:val="left" w:pos="397"/>
          <w:tab w:val="left" w:pos="425"/>
        </w:tabs>
        <w:adjustRightInd w:val="0"/>
        <w:snapToGrid w:val="0"/>
        <w:spacing w:line="440" w:lineRule="exact"/>
        <w:ind w:firstLine="520" w:firstLineChars="200"/>
        <w:rPr>
          <w:rFonts w:hint="eastAsia" w:ascii="宋体" w:hAnsi="宋体"/>
          <w:sz w:val="26"/>
          <w:szCs w:val="26"/>
        </w:rPr>
      </w:pPr>
      <w:r>
        <w:rPr>
          <w:rFonts w:ascii="宋体" w:hAnsi="宋体"/>
          <w:sz w:val="26"/>
          <w:szCs w:val="26"/>
        </w:rPr>
        <w:t xml:space="preserve">2. </w:t>
      </w:r>
      <w:r>
        <w:rPr>
          <w:rFonts w:hint="eastAsia" w:ascii="宋体" w:hAnsi="宋体"/>
          <w:sz w:val="26"/>
          <w:szCs w:val="26"/>
        </w:rPr>
        <w:t>在合作关系未建立或终止，或根据披露方的要求，接受方应即时返还或销毁所有根据本协议所接受的披露方的保密信息（包括但不限于以任何形式存在的保密信息的原件、复印件、复制品和对保密信息的概述摘要），并向披露方提供已经返还或销毁的书面确认。</w:t>
      </w:r>
    </w:p>
    <w:p>
      <w:pPr>
        <w:tabs>
          <w:tab w:val="left" w:pos="397"/>
          <w:tab w:val="left" w:pos="425"/>
        </w:tabs>
        <w:adjustRightInd w:val="0"/>
        <w:snapToGrid w:val="0"/>
        <w:spacing w:line="440" w:lineRule="exact"/>
        <w:ind w:firstLine="520" w:firstLineChars="200"/>
        <w:rPr>
          <w:rFonts w:hint="eastAsia" w:ascii="宋体" w:hAnsi="宋体"/>
          <w:sz w:val="26"/>
          <w:szCs w:val="26"/>
        </w:rPr>
      </w:pPr>
      <w:r>
        <w:rPr>
          <w:rFonts w:hint="eastAsia" w:ascii="宋体" w:hAnsi="宋体"/>
          <w:sz w:val="26"/>
          <w:szCs w:val="26"/>
        </w:rPr>
        <w:t>六、有效期间：</w:t>
      </w:r>
    </w:p>
    <w:p>
      <w:pPr>
        <w:adjustRightInd w:val="0"/>
        <w:snapToGrid w:val="0"/>
        <w:spacing w:line="440" w:lineRule="exact"/>
        <w:ind w:firstLine="520" w:firstLineChars="200"/>
        <w:rPr>
          <w:rFonts w:hint="eastAsia" w:ascii="宋体" w:hAnsi="宋体"/>
          <w:sz w:val="26"/>
          <w:szCs w:val="26"/>
        </w:rPr>
      </w:pPr>
      <w:r>
        <w:rPr>
          <w:rFonts w:hint="eastAsia" w:ascii="宋体" w:hAnsi="宋体"/>
          <w:sz w:val="26"/>
          <w:szCs w:val="26"/>
        </w:rPr>
        <w:t>本协议自双方签字盖章之日起生效。本协议中约定的保密义务一直有效，出现本协议第三条情况下除外。</w:t>
      </w:r>
    </w:p>
    <w:p>
      <w:pPr>
        <w:adjustRightInd w:val="0"/>
        <w:snapToGrid w:val="0"/>
        <w:spacing w:line="440" w:lineRule="exact"/>
        <w:ind w:firstLine="520" w:firstLineChars="200"/>
        <w:rPr>
          <w:rFonts w:hint="eastAsia" w:ascii="宋体" w:hAnsi="宋体"/>
          <w:sz w:val="26"/>
          <w:szCs w:val="26"/>
        </w:rPr>
      </w:pPr>
      <w:r>
        <w:rPr>
          <w:rFonts w:hint="eastAsia" w:ascii="宋体" w:hAnsi="宋体"/>
          <w:sz w:val="26"/>
          <w:szCs w:val="26"/>
        </w:rPr>
        <w:t>七、修订：</w:t>
      </w:r>
    </w:p>
    <w:p>
      <w:pPr>
        <w:adjustRightInd w:val="0"/>
        <w:snapToGrid w:val="0"/>
        <w:spacing w:line="440" w:lineRule="exact"/>
        <w:ind w:firstLine="520" w:firstLineChars="200"/>
        <w:rPr>
          <w:rFonts w:hint="eastAsia" w:ascii="宋体" w:hAnsi="宋体"/>
          <w:sz w:val="26"/>
          <w:szCs w:val="26"/>
        </w:rPr>
      </w:pPr>
      <w:r>
        <w:rPr>
          <w:rFonts w:hint="eastAsia" w:ascii="宋体" w:hAnsi="宋体"/>
          <w:sz w:val="26"/>
          <w:szCs w:val="26"/>
        </w:rPr>
        <w:t>本协议包含双方关于此事项的全部约定。双方在此之前达成的任何口头或书面的协议或约定，如果与本协议冲突，则以本协议内容为准。本协议的任何修改须以书面方式做出并经双方法定代表人的授权代表签字盖章才能生效。</w:t>
      </w:r>
    </w:p>
    <w:p>
      <w:pPr>
        <w:adjustRightInd w:val="0"/>
        <w:snapToGrid w:val="0"/>
        <w:spacing w:line="440" w:lineRule="exact"/>
        <w:ind w:firstLine="520" w:firstLineChars="200"/>
        <w:rPr>
          <w:rFonts w:hint="eastAsia" w:ascii="宋体" w:hAnsi="宋体"/>
          <w:sz w:val="26"/>
          <w:szCs w:val="26"/>
        </w:rPr>
      </w:pPr>
      <w:r>
        <w:rPr>
          <w:rFonts w:hint="eastAsia" w:ascii="宋体" w:hAnsi="宋体"/>
          <w:sz w:val="26"/>
          <w:szCs w:val="26"/>
        </w:rPr>
        <w:t>八、可分性：</w:t>
      </w:r>
    </w:p>
    <w:p>
      <w:pPr>
        <w:adjustRightInd w:val="0"/>
        <w:snapToGrid w:val="0"/>
        <w:spacing w:line="440" w:lineRule="exact"/>
        <w:ind w:firstLine="520" w:firstLineChars="200"/>
        <w:rPr>
          <w:rFonts w:hint="eastAsia" w:ascii="宋体" w:hAnsi="宋体"/>
          <w:sz w:val="26"/>
          <w:szCs w:val="26"/>
        </w:rPr>
      </w:pPr>
      <w:r>
        <w:rPr>
          <w:rFonts w:hint="eastAsia" w:ascii="宋体" w:hAnsi="宋体"/>
          <w:sz w:val="26"/>
          <w:szCs w:val="26"/>
        </w:rPr>
        <w:t>披露方未行使、迟延行使或部分行使其权利，并不意味该权利被放弃；某一权利不行使并不意味着其他权利被放弃。如果本协议任何条款经法院判决或经仲裁机构裁决无效，其他条款继续有效。</w:t>
      </w:r>
    </w:p>
    <w:p>
      <w:pPr>
        <w:adjustRightInd w:val="0"/>
        <w:snapToGrid w:val="0"/>
        <w:spacing w:line="440" w:lineRule="exact"/>
        <w:ind w:firstLine="520" w:firstLineChars="200"/>
        <w:rPr>
          <w:rFonts w:hint="eastAsia" w:ascii="宋体" w:hAnsi="宋体"/>
          <w:sz w:val="26"/>
          <w:szCs w:val="26"/>
        </w:rPr>
      </w:pPr>
      <w:r>
        <w:rPr>
          <w:rFonts w:hint="eastAsia" w:ascii="宋体" w:hAnsi="宋体"/>
          <w:sz w:val="26"/>
          <w:szCs w:val="26"/>
        </w:rPr>
        <w:t>九、违约责任：</w:t>
      </w:r>
    </w:p>
    <w:p>
      <w:pPr>
        <w:adjustRightInd w:val="0"/>
        <w:snapToGrid w:val="0"/>
        <w:spacing w:line="440" w:lineRule="exact"/>
        <w:ind w:firstLine="520" w:firstLineChars="200"/>
        <w:rPr>
          <w:rFonts w:hint="eastAsia" w:ascii="宋体" w:hAnsi="宋体"/>
          <w:sz w:val="26"/>
          <w:szCs w:val="26"/>
        </w:rPr>
      </w:pPr>
      <w:r>
        <w:rPr>
          <w:rFonts w:hint="eastAsia" w:ascii="宋体" w:hAnsi="宋体"/>
          <w:sz w:val="26"/>
          <w:szCs w:val="26"/>
        </w:rPr>
        <w:t>如果接受方违反本协议，披露方有权要求接受方赔偿全部实际及预期损失，并可要求接受方采取其他必要的补救措施。</w:t>
      </w:r>
    </w:p>
    <w:p>
      <w:pPr>
        <w:adjustRightInd w:val="0"/>
        <w:snapToGrid w:val="0"/>
        <w:spacing w:line="440" w:lineRule="exact"/>
        <w:ind w:firstLine="520" w:firstLineChars="200"/>
        <w:rPr>
          <w:rFonts w:hint="eastAsia" w:ascii="宋体" w:hAnsi="宋体"/>
          <w:sz w:val="26"/>
          <w:szCs w:val="26"/>
        </w:rPr>
      </w:pPr>
      <w:r>
        <w:rPr>
          <w:rFonts w:hint="eastAsia" w:ascii="宋体" w:hAnsi="宋体"/>
          <w:sz w:val="26"/>
          <w:szCs w:val="26"/>
        </w:rPr>
        <w:t>十、通知；</w:t>
      </w:r>
    </w:p>
    <w:p>
      <w:pPr>
        <w:adjustRightInd w:val="0"/>
        <w:snapToGrid w:val="0"/>
        <w:spacing w:line="440" w:lineRule="exact"/>
        <w:ind w:firstLine="520" w:firstLineChars="200"/>
        <w:rPr>
          <w:rFonts w:hint="eastAsia" w:ascii="宋体" w:hAnsi="宋体"/>
          <w:sz w:val="26"/>
          <w:szCs w:val="26"/>
        </w:rPr>
      </w:pPr>
      <w:r>
        <w:rPr>
          <w:rFonts w:hint="eastAsia" w:ascii="宋体" w:hAnsi="宋体"/>
          <w:sz w:val="26"/>
          <w:szCs w:val="26"/>
        </w:rPr>
        <w:t>依本协议作的所有通知、要求</w:t>
      </w:r>
      <w:r>
        <w:rPr>
          <w:rFonts w:hint="default" w:ascii="宋体" w:hAnsi="宋体"/>
          <w:sz w:val="26"/>
          <w:szCs w:val="26"/>
        </w:rPr>
        <w:t>或</w:t>
      </w:r>
      <w:r>
        <w:rPr>
          <w:rFonts w:hint="eastAsia" w:ascii="宋体" w:hAnsi="宋体"/>
          <w:sz w:val="26"/>
          <w:szCs w:val="26"/>
        </w:rPr>
        <w:t>其他通信均应以书面形式发出。上述文件须以本协议上述的地址，或经一方通知指定的其他地址发出。双方的书面往来在如下时间视为收到：　(a)通过送信人或邮件或电子副本（传真）递送之时，　或(b)以索取回执，邮资预付的挂号信方式送递的，发送三天之后，或(c)以任何其他方式递送实际收到之时。</w:t>
      </w:r>
    </w:p>
    <w:p>
      <w:pPr>
        <w:adjustRightInd w:val="0"/>
        <w:snapToGrid w:val="0"/>
        <w:spacing w:line="440" w:lineRule="exact"/>
        <w:ind w:firstLine="520" w:firstLineChars="200"/>
        <w:rPr>
          <w:rFonts w:hint="eastAsia" w:ascii="宋体" w:hAnsi="宋体"/>
          <w:sz w:val="26"/>
          <w:szCs w:val="26"/>
        </w:rPr>
      </w:pPr>
      <w:r>
        <w:rPr>
          <w:rFonts w:hint="eastAsia" w:ascii="宋体" w:hAnsi="宋体"/>
          <w:sz w:val="26"/>
          <w:szCs w:val="26"/>
        </w:rPr>
        <w:t>十一、争议解决：</w:t>
      </w:r>
    </w:p>
    <w:p>
      <w:pPr>
        <w:adjustRightInd w:val="0"/>
        <w:snapToGrid w:val="0"/>
        <w:spacing w:line="440" w:lineRule="exact"/>
        <w:ind w:firstLine="520" w:firstLineChars="200"/>
        <w:rPr>
          <w:rFonts w:hint="eastAsia" w:ascii="宋体" w:hAnsi="宋体"/>
          <w:sz w:val="26"/>
          <w:szCs w:val="26"/>
        </w:rPr>
      </w:pPr>
      <w:r>
        <w:rPr>
          <w:rFonts w:hint="eastAsia" w:ascii="宋体" w:hAnsi="宋体"/>
          <w:sz w:val="26"/>
          <w:szCs w:val="26"/>
        </w:rPr>
        <w:t>与本协议有关的任何纠纷或争议应通过友好协商解决。如不能协商解决，双方均可向深圳前海合作区人民法院起诉。</w:t>
      </w:r>
    </w:p>
    <w:p>
      <w:pPr>
        <w:adjustRightInd w:val="0"/>
        <w:snapToGrid w:val="0"/>
        <w:spacing w:line="440" w:lineRule="exact"/>
        <w:ind w:firstLine="520" w:firstLineChars="200"/>
        <w:rPr>
          <w:rFonts w:hint="eastAsia" w:ascii="宋体" w:hAnsi="宋体"/>
          <w:sz w:val="26"/>
          <w:szCs w:val="26"/>
        </w:rPr>
      </w:pPr>
      <w:r>
        <w:rPr>
          <w:rFonts w:hint="eastAsia" w:ascii="宋体" w:hAnsi="宋体"/>
          <w:sz w:val="26"/>
          <w:szCs w:val="26"/>
        </w:rPr>
        <w:t>十二、其他：</w:t>
      </w:r>
    </w:p>
    <w:p>
      <w:pPr>
        <w:adjustRightInd w:val="0"/>
        <w:snapToGrid w:val="0"/>
        <w:spacing w:line="440" w:lineRule="exact"/>
        <w:ind w:firstLine="520" w:firstLineChars="200"/>
        <w:rPr>
          <w:rFonts w:hint="eastAsia" w:ascii="宋体" w:hAnsi="宋体"/>
          <w:sz w:val="26"/>
          <w:szCs w:val="26"/>
        </w:rPr>
      </w:pPr>
      <w:r>
        <w:rPr>
          <w:rFonts w:hint="eastAsia" w:ascii="宋体" w:hAnsi="宋体"/>
          <w:sz w:val="26"/>
          <w:szCs w:val="26"/>
        </w:rPr>
        <w:t>本协议一式两份，双方各执一份，具有同等法律效力。（以下无正文）</w:t>
      </w:r>
    </w:p>
    <w:p>
      <w:pPr>
        <w:tabs>
          <w:tab w:val="left" w:pos="360"/>
          <w:tab w:val="left" w:pos="425"/>
        </w:tabs>
        <w:adjustRightInd w:val="0"/>
        <w:snapToGrid w:val="0"/>
        <w:spacing w:line="440" w:lineRule="exact"/>
        <w:ind w:left="360" w:hanging="360"/>
        <w:rPr>
          <w:rFonts w:ascii="宋体" w:hAnsi="宋体"/>
          <w:sz w:val="26"/>
          <w:szCs w:val="26"/>
        </w:rPr>
      </w:pPr>
    </w:p>
    <w:p>
      <w:pPr>
        <w:adjustRightInd w:val="0"/>
        <w:snapToGrid w:val="0"/>
        <w:spacing w:line="440" w:lineRule="exact"/>
        <w:rPr>
          <w:rFonts w:hint="eastAsia" w:ascii="宋体" w:hAnsi="宋体"/>
          <w:b/>
          <w:sz w:val="26"/>
          <w:szCs w:val="26"/>
        </w:rPr>
      </w:pPr>
      <w:r>
        <w:rPr>
          <w:rFonts w:hint="eastAsia" w:ascii="宋体" w:hAnsi="宋体"/>
          <w:b/>
          <w:sz w:val="26"/>
          <w:szCs w:val="26"/>
        </w:rPr>
        <w:t>披露方：</w:t>
      </w:r>
      <w:r>
        <w:rPr>
          <w:rFonts w:hint="eastAsia" w:ascii="宋体" w:hAnsi="宋体"/>
          <w:sz w:val="26"/>
          <w:szCs w:val="26"/>
          <w:u w:val="single"/>
        </w:rPr>
        <w:t>深圳市前海深港现代服务业合作区管理局</w:t>
      </w:r>
    </w:p>
    <w:p>
      <w:pPr>
        <w:adjustRightInd w:val="0"/>
        <w:snapToGrid w:val="0"/>
        <w:spacing w:line="440" w:lineRule="exact"/>
        <w:rPr>
          <w:rFonts w:ascii="宋体" w:hAnsi="宋体"/>
          <w:b/>
          <w:sz w:val="26"/>
          <w:szCs w:val="26"/>
        </w:rPr>
      </w:pPr>
      <w:r>
        <w:rPr>
          <w:rFonts w:hint="eastAsia" w:ascii="宋体" w:hAnsi="宋体"/>
          <w:b/>
          <w:sz w:val="26"/>
          <w:szCs w:val="26"/>
        </w:rPr>
        <w:t>授权代表：</w:t>
      </w:r>
      <w:r>
        <w:rPr>
          <w:rFonts w:ascii="宋体" w:hAnsi="宋体"/>
          <w:b/>
          <w:sz w:val="26"/>
          <w:szCs w:val="26"/>
        </w:rPr>
        <w:t xml:space="preserve">                           </w:t>
      </w:r>
      <w:r>
        <w:rPr>
          <w:rFonts w:hint="eastAsia" w:ascii="宋体" w:hAnsi="宋体"/>
          <w:b/>
          <w:sz w:val="26"/>
          <w:szCs w:val="26"/>
        </w:rPr>
        <w:t xml:space="preserve"> </w:t>
      </w:r>
    </w:p>
    <w:p>
      <w:pPr>
        <w:adjustRightInd w:val="0"/>
        <w:snapToGrid w:val="0"/>
        <w:spacing w:line="440" w:lineRule="exact"/>
        <w:rPr>
          <w:rFonts w:ascii="宋体" w:hAnsi="宋体"/>
          <w:b/>
          <w:sz w:val="26"/>
          <w:szCs w:val="26"/>
        </w:rPr>
      </w:pPr>
      <w:r>
        <w:rPr>
          <w:rFonts w:hint="eastAsia" w:ascii="宋体" w:hAnsi="宋体"/>
          <w:b/>
          <w:sz w:val="26"/>
          <w:szCs w:val="26"/>
        </w:rPr>
        <w:t>日期</w:t>
      </w:r>
      <w:r>
        <w:rPr>
          <w:rFonts w:ascii="宋体" w:hAnsi="宋体"/>
          <w:b/>
          <w:sz w:val="26"/>
          <w:szCs w:val="26"/>
        </w:rPr>
        <w:t xml:space="preserve">:                              </w:t>
      </w:r>
      <w:r>
        <w:rPr>
          <w:rFonts w:hint="eastAsia" w:ascii="宋体" w:hAnsi="宋体"/>
          <w:b/>
          <w:sz w:val="26"/>
          <w:szCs w:val="26"/>
        </w:rPr>
        <w:t xml:space="preserve">   </w:t>
      </w:r>
    </w:p>
    <w:p>
      <w:pPr>
        <w:adjustRightInd w:val="0"/>
        <w:snapToGrid w:val="0"/>
        <w:spacing w:line="440" w:lineRule="exact"/>
        <w:rPr>
          <w:rFonts w:hint="eastAsia" w:ascii="宋体" w:hAnsi="宋体"/>
          <w:sz w:val="26"/>
          <w:szCs w:val="26"/>
        </w:rPr>
      </w:pPr>
    </w:p>
    <w:p>
      <w:pPr>
        <w:adjustRightInd w:val="0"/>
        <w:snapToGrid w:val="0"/>
        <w:spacing w:line="440" w:lineRule="exact"/>
        <w:rPr>
          <w:rFonts w:hint="eastAsia" w:ascii="宋体" w:hAnsi="宋体"/>
          <w:b/>
          <w:sz w:val="26"/>
          <w:szCs w:val="26"/>
        </w:rPr>
      </w:pPr>
      <w:r>
        <w:rPr>
          <w:rFonts w:hint="eastAsia" w:ascii="宋体" w:hAnsi="宋体"/>
          <w:b/>
          <w:sz w:val="26"/>
          <w:szCs w:val="26"/>
        </w:rPr>
        <w:t>接受方：</w:t>
      </w:r>
    </w:p>
    <w:p>
      <w:pPr>
        <w:adjustRightInd w:val="0"/>
        <w:snapToGrid w:val="0"/>
        <w:spacing w:line="440" w:lineRule="exact"/>
        <w:rPr>
          <w:rFonts w:ascii="宋体" w:hAnsi="宋体"/>
          <w:b/>
          <w:sz w:val="26"/>
          <w:szCs w:val="26"/>
        </w:rPr>
      </w:pPr>
      <w:r>
        <w:rPr>
          <w:rFonts w:hint="eastAsia" w:ascii="宋体" w:hAnsi="宋体"/>
          <w:b/>
          <w:sz w:val="26"/>
          <w:szCs w:val="26"/>
        </w:rPr>
        <w:t>授权代表：</w:t>
      </w:r>
      <w:r>
        <w:rPr>
          <w:rFonts w:ascii="宋体" w:hAnsi="宋体"/>
          <w:b/>
          <w:sz w:val="26"/>
          <w:szCs w:val="26"/>
        </w:rPr>
        <w:t xml:space="preserve">                           </w:t>
      </w:r>
      <w:r>
        <w:rPr>
          <w:rFonts w:hint="eastAsia" w:ascii="宋体" w:hAnsi="宋体"/>
          <w:b/>
          <w:sz w:val="26"/>
          <w:szCs w:val="26"/>
        </w:rPr>
        <w:t xml:space="preserve"> </w:t>
      </w:r>
    </w:p>
    <w:p>
      <w:pPr>
        <w:adjustRightInd w:val="0"/>
        <w:snapToGrid w:val="0"/>
        <w:spacing w:line="440" w:lineRule="exact"/>
        <w:rPr>
          <w:rFonts w:hint="eastAsia" w:ascii="宋体" w:hAnsi="宋体"/>
          <w:b/>
          <w:sz w:val="26"/>
          <w:szCs w:val="26"/>
        </w:rPr>
      </w:pPr>
      <w:r>
        <w:rPr>
          <w:rFonts w:hint="eastAsia" w:ascii="宋体" w:hAnsi="宋体"/>
          <w:b/>
          <w:sz w:val="26"/>
          <w:szCs w:val="26"/>
        </w:rPr>
        <w:t>日期</w:t>
      </w:r>
      <w:r>
        <w:rPr>
          <w:rFonts w:ascii="宋体" w:hAnsi="宋体"/>
          <w:b/>
          <w:sz w:val="26"/>
          <w:szCs w:val="26"/>
        </w:rPr>
        <w:t>:</w:t>
      </w:r>
    </w:p>
    <w:p>
      <w:pPr>
        <w:rPr>
          <w:color w:val="auto"/>
          <w:highlight w:val="none"/>
        </w:rPr>
      </w:pPr>
      <w:r>
        <w:rPr>
          <w:color w:val="auto"/>
          <w:highlight w:val="none"/>
        </w:rPr>
        <w:br w:type="page"/>
      </w:r>
    </w:p>
    <w:bookmarkEnd w:id="38"/>
    <w:p>
      <w:pPr>
        <w:numPr>
          <w:ilvl w:val="0"/>
          <w:numId w:val="4"/>
        </w:numPr>
        <w:jc w:val="center"/>
        <w:outlineLvl w:val="0"/>
        <w:rPr>
          <w:b/>
          <w:color w:val="auto"/>
          <w:sz w:val="32"/>
          <w:szCs w:val="32"/>
          <w:highlight w:val="none"/>
        </w:rPr>
      </w:pPr>
      <w:bookmarkStart w:id="295" w:name="_Toc20413"/>
      <w:bookmarkStart w:id="296" w:name="_Toc7459"/>
      <w:bookmarkStart w:id="297" w:name="_Toc21227"/>
      <w:bookmarkStart w:id="298" w:name="_Toc7914"/>
      <w:bookmarkStart w:id="299" w:name="_Toc1805"/>
      <w:bookmarkStart w:id="300" w:name="_Toc28769"/>
      <w:bookmarkStart w:id="301" w:name="_Toc77523179"/>
      <w:bookmarkStart w:id="302" w:name="_Toc988"/>
      <w:bookmarkStart w:id="303" w:name="_Toc51746097"/>
      <w:bookmarkStart w:id="304" w:name="_Toc19340"/>
      <w:r>
        <w:rPr>
          <w:rFonts w:hint="eastAsia"/>
          <w:b/>
          <w:color w:val="auto"/>
          <w:sz w:val="32"/>
          <w:szCs w:val="32"/>
          <w:highlight w:val="none"/>
        </w:rPr>
        <w:t>服务技术要求和商务要求</w:t>
      </w:r>
      <w:bookmarkEnd w:id="295"/>
      <w:bookmarkEnd w:id="296"/>
      <w:bookmarkEnd w:id="297"/>
      <w:bookmarkEnd w:id="298"/>
    </w:p>
    <w:p>
      <w:pPr>
        <w:pStyle w:val="6"/>
        <w:keepNext w:val="0"/>
        <w:keepLines w:val="0"/>
        <w:jc w:val="center"/>
        <w:outlineLvl w:val="1"/>
        <w:rPr>
          <w:color w:val="auto"/>
          <w:highlight w:val="none"/>
        </w:rPr>
      </w:pPr>
      <w:bookmarkStart w:id="305" w:name="_Toc9025"/>
      <w:bookmarkStart w:id="306" w:name="_Toc13368"/>
      <w:bookmarkStart w:id="307" w:name="_Toc25678"/>
      <w:bookmarkStart w:id="308" w:name="_Toc16373"/>
      <w:r>
        <w:rPr>
          <w:rFonts w:hint="eastAsia"/>
          <w:b/>
          <w:color w:val="auto"/>
          <w:sz w:val="28"/>
          <w:szCs w:val="28"/>
          <w:highlight w:val="none"/>
          <w:lang w:eastAsia="zh-CN"/>
        </w:rPr>
        <w:t>一、</w:t>
      </w:r>
      <w:r>
        <w:rPr>
          <w:rFonts w:hint="eastAsia"/>
          <w:b/>
          <w:color w:val="auto"/>
          <w:szCs w:val="28"/>
          <w:highlight w:val="none"/>
        </w:rPr>
        <w:t>项目背景及项目整体情况</w:t>
      </w:r>
      <w:bookmarkEnd w:id="305"/>
      <w:bookmarkEnd w:id="306"/>
      <w:bookmarkEnd w:id="307"/>
      <w:bookmarkEnd w:id="308"/>
    </w:p>
    <w:p>
      <w:pPr>
        <w:pStyle w:val="26"/>
        <w:tabs>
          <w:tab w:val="left" w:pos="426"/>
        </w:tabs>
        <w:spacing w:before="160" w:after="160" w:line="240" w:lineRule="auto"/>
        <w:ind w:right="0" w:firstLine="422"/>
        <w:outlineLvl w:val="1"/>
        <w:rPr>
          <w:rFonts w:hint="eastAsia" w:ascii="宋体" w:cs="Times New Roman"/>
          <w:b/>
          <w:color w:val="auto"/>
          <w:kern w:val="2"/>
          <w:szCs w:val="21"/>
          <w:highlight w:val="none"/>
        </w:rPr>
      </w:pPr>
      <w:bookmarkStart w:id="309" w:name="_Toc24577"/>
      <w:bookmarkStart w:id="310" w:name="_Toc30020"/>
      <w:bookmarkStart w:id="311" w:name="_Toc17820"/>
      <w:bookmarkStart w:id="312" w:name="_Toc15342"/>
      <w:r>
        <w:rPr>
          <w:rFonts w:hint="eastAsia" w:ascii="宋体" w:cs="Times New Roman"/>
          <w:b/>
          <w:color w:val="auto"/>
          <w:kern w:val="2"/>
          <w:szCs w:val="21"/>
          <w:highlight w:val="none"/>
          <w:lang w:eastAsia="zh-CN"/>
        </w:rPr>
        <w:t>（一）</w:t>
      </w:r>
      <w:r>
        <w:rPr>
          <w:rFonts w:hint="eastAsia" w:ascii="宋体" w:cs="Times New Roman"/>
          <w:b/>
          <w:color w:val="auto"/>
          <w:kern w:val="2"/>
          <w:szCs w:val="21"/>
          <w:highlight w:val="none"/>
        </w:rPr>
        <w:t>项目背景</w:t>
      </w:r>
      <w:bookmarkEnd w:id="309"/>
      <w:bookmarkEnd w:id="310"/>
      <w:bookmarkEnd w:id="311"/>
      <w:bookmarkEnd w:id="312"/>
    </w:p>
    <w:p>
      <w:pPr>
        <w:tabs>
          <w:tab w:val="left" w:pos="426"/>
        </w:tabs>
        <w:spacing w:beforeLines="0" w:afterLines="0"/>
        <w:ind w:firstLine="420" w:firstLineChars="200"/>
        <w:rPr>
          <w:color w:val="auto"/>
          <w:highlight w:val="none"/>
        </w:rPr>
      </w:pPr>
      <w:r>
        <w:rPr>
          <w:rFonts w:hint="eastAsia"/>
          <w:color w:val="auto"/>
          <w:szCs w:val="21"/>
          <w:highlight w:val="none"/>
          <w:lang w:val="en-US" w:eastAsia="zh-CN"/>
        </w:rPr>
        <w:t>智慧前海视频云平台一期项目建成投运为前海的安全生产、社会治安、重大活动保障等提供了强有力的支撑，平台效用不断凸显。同时，随着前海建设高速发展，城区功能逐渐完善，区内企业和人员不断增加，智慧前海视频监控需持续补充和完善，对新出现视频监控盲区进行补盲。为更好地对城市服务、日常管理以及应急保障最大化利用视频、图像数据提供技术支撑，完善前海视频资源库、丰富视频应用，进一步推动实现城市管理的精细化、可视化和智能化需求，结合《前海合作区城市精细化管理整治提升行动实施方案的通知》关于</w:t>
      </w:r>
      <w:r>
        <w:rPr>
          <w:rFonts w:hint="default"/>
          <w:color w:val="auto"/>
          <w:szCs w:val="21"/>
          <w:highlight w:val="none"/>
          <w:lang w:val="en-US" w:eastAsia="zh-CN"/>
        </w:rPr>
        <w:t>“</w:t>
      </w:r>
      <w:r>
        <w:rPr>
          <w:rFonts w:hint="eastAsia"/>
          <w:color w:val="auto"/>
          <w:szCs w:val="21"/>
          <w:highlight w:val="none"/>
          <w:lang w:val="en-US" w:eastAsia="zh-CN"/>
        </w:rPr>
        <w:t>完善前海视频监控设施</w:t>
      </w:r>
      <w:r>
        <w:rPr>
          <w:rFonts w:hint="default"/>
          <w:color w:val="auto"/>
          <w:szCs w:val="21"/>
          <w:highlight w:val="none"/>
          <w:lang w:val="en-US" w:eastAsia="zh-CN"/>
        </w:rPr>
        <w:t>”</w:t>
      </w:r>
      <w:r>
        <w:rPr>
          <w:rFonts w:hint="eastAsia"/>
          <w:color w:val="auto"/>
          <w:szCs w:val="21"/>
          <w:highlight w:val="none"/>
          <w:lang w:val="en-US" w:eastAsia="zh-CN"/>
        </w:rPr>
        <w:t>的要求，现开展智慧前海视频云平台二期项目建设。</w:t>
      </w:r>
    </w:p>
    <w:p>
      <w:pPr>
        <w:pStyle w:val="3"/>
        <w:rPr>
          <w:rFonts w:hint="eastAsia" w:ascii="黑体" w:hAnsi="宋体"/>
          <w:bCs w:val="0"/>
          <w:color w:val="auto"/>
          <w:kern w:val="0"/>
          <w:highlight w:val="none"/>
        </w:rPr>
      </w:pPr>
      <w:bookmarkStart w:id="313" w:name="_Toc1399"/>
      <w:bookmarkStart w:id="314" w:name="_Toc19696"/>
      <w:bookmarkStart w:id="315" w:name="_Toc2599"/>
      <w:bookmarkStart w:id="316" w:name="_Toc25995"/>
      <w:r>
        <w:rPr>
          <w:rFonts w:hint="eastAsia" w:ascii="黑体" w:hAnsi="宋体"/>
          <w:bCs w:val="0"/>
          <w:color w:val="auto"/>
          <w:kern w:val="0"/>
          <w:highlight w:val="none"/>
          <w:lang w:eastAsia="zh-CN"/>
        </w:rPr>
        <w:t>二、</w:t>
      </w:r>
      <w:r>
        <w:rPr>
          <w:rFonts w:hint="eastAsia" w:ascii="黑体" w:hAnsi="宋体"/>
          <w:bCs w:val="0"/>
          <w:color w:val="auto"/>
          <w:kern w:val="0"/>
          <w:highlight w:val="none"/>
        </w:rPr>
        <w:t>项目目的及建设目标</w:t>
      </w:r>
      <w:bookmarkEnd w:id="313"/>
      <w:bookmarkEnd w:id="314"/>
      <w:bookmarkEnd w:id="315"/>
      <w:bookmarkEnd w:id="316"/>
      <w:r>
        <w:rPr>
          <w:rFonts w:hint="eastAsia" w:ascii="黑体" w:hAnsi="宋体"/>
          <w:bCs w:val="0"/>
          <w:color w:val="auto"/>
          <w:kern w:val="0"/>
          <w:highlight w:val="none"/>
        </w:rPr>
        <w:t xml:space="preserve"> </w:t>
      </w:r>
    </w:p>
    <w:p>
      <w:pPr>
        <w:spacing w:before="160" w:beforeLines="0" w:after="160" w:afterLines="0"/>
        <w:ind w:firstLine="422" w:firstLineChars="200"/>
        <w:outlineLvl w:val="1"/>
        <w:rPr>
          <w:rFonts w:hint="eastAsia" w:ascii="Times New Roman" w:cs="Arial"/>
          <w:b/>
          <w:color w:val="auto"/>
          <w:kern w:val="2"/>
          <w:szCs w:val="21"/>
          <w:highlight w:val="none"/>
        </w:rPr>
      </w:pPr>
      <w:bookmarkStart w:id="317" w:name="_Toc7755"/>
      <w:bookmarkStart w:id="318" w:name="_Toc6186"/>
      <w:bookmarkStart w:id="319" w:name="_Toc30427"/>
      <w:bookmarkStart w:id="320" w:name="_Toc1574"/>
      <w:r>
        <w:rPr>
          <w:rFonts w:hint="eastAsia" w:ascii="Times New Roman" w:cs="Arial"/>
          <w:b/>
          <w:color w:val="auto"/>
          <w:kern w:val="2"/>
          <w:szCs w:val="21"/>
          <w:highlight w:val="none"/>
          <w:lang w:eastAsia="zh-CN"/>
        </w:rPr>
        <w:t>（一）</w:t>
      </w:r>
      <w:r>
        <w:rPr>
          <w:rFonts w:hint="eastAsia" w:ascii="Times New Roman" w:cs="Arial"/>
          <w:b/>
          <w:color w:val="auto"/>
          <w:kern w:val="2"/>
          <w:szCs w:val="21"/>
          <w:highlight w:val="none"/>
        </w:rPr>
        <w:t>项目目的</w:t>
      </w:r>
      <w:bookmarkEnd w:id="317"/>
      <w:bookmarkEnd w:id="318"/>
      <w:bookmarkEnd w:id="319"/>
      <w:bookmarkEnd w:id="320"/>
    </w:p>
    <w:p>
      <w:pPr>
        <w:tabs>
          <w:tab w:val="left" w:pos="426"/>
        </w:tabs>
        <w:ind w:firstLine="420" w:firstLineChars="200"/>
        <w:rPr>
          <w:color w:val="auto"/>
          <w:szCs w:val="21"/>
          <w:highlight w:val="none"/>
        </w:rPr>
      </w:pPr>
      <w:r>
        <w:rPr>
          <w:rFonts w:hint="eastAsia"/>
          <w:szCs w:val="21"/>
        </w:rPr>
        <w:t>作为</w:t>
      </w:r>
      <w:r>
        <w:rPr>
          <w:szCs w:val="21"/>
        </w:rPr>
        <w:t>“</w:t>
      </w:r>
      <w:r>
        <w:rPr>
          <w:rFonts w:hint="eastAsia"/>
          <w:szCs w:val="21"/>
        </w:rPr>
        <w:t>智慧前海</w:t>
      </w:r>
      <w:r>
        <w:rPr>
          <w:szCs w:val="21"/>
        </w:rPr>
        <w:t>”</w:t>
      </w:r>
      <w:r>
        <w:rPr>
          <w:rFonts w:hint="eastAsia"/>
          <w:szCs w:val="21"/>
        </w:rPr>
        <w:t>的重要实现手段</w:t>
      </w:r>
      <w:r>
        <w:rPr>
          <w:szCs w:val="21"/>
        </w:rPr>
        <w:t>，</w:t>
      </w:r>
      <w:r>
        <w:rPr>
          <w:rFonts w:hint="eastAsia"/>
          <w:szCs w:val="21"/>
        </w:rPr>
        <w:t>建设高效统一、覆盖全区、全天候监控的社会视频监控系统，切实提高前海合作区社会治安、城市管理及安全生产管理水平，保证社会秩序的稳定，增强</w:t>
      </w:r>
      <w:r>
        <w:rPr>
          <w:szCs w:val="21"/>
        </w:rPr>
        <w:t>群众的</w:t>
      </w:r>
      <w:r>
        <w:rPr>
          <w:rFonts w:hint="eastAsia"/>
          <w:szCs w:val="21"/>
        </w:rPr>
        <w:t>安全感，</w:t>
      </w:r>
      <w:r>
        <w:rPr>
          <w:szCs w:val="21"/>
        </w:rPr>
        <w:t>不断提升前海的信息化水平和综合竞争力，</w:t>
      </w:r>
      <w:r>
        <w:rPr>
          <w:rFonts w:hint="eastAsia"/>
          <w:szCs w:val="21"/>
        </w:rPr>
        <w:t>把前海打造成国际一流、国内领先的现代化国际化城区。</w:t>
      </w:r>
    </w:p>
    <w:p>
      <w:pPr>
        <w:tabs>
          <w:tab w:val="left" w:pos="426"/>
        </w:tabs>
        <w:spacing w:before="160" w:beforeLines="0" w:after="160" w:afterLines="0"/>
        <w:ind w:firstLine="422" w:firstLineChars="200"/>
        <w:outlineLvl w:val="1"/>
        <w:rPr>
          <w:rFonts w:hint="eastAsia" w:cs="Arial"/>
          <w:b/>
          <w:color w:val="auto"/>
          <w:szCs w:val="21"/>
          <w:highlight w:val="none"/>
        </w:rPr>
      </w:pPr>
      <w:bookmarkStart w:id="321" w:name="_Toc8549"/>
      <w:bookmarkStart w:id="322" w:name="_Toc23323"/>
      <w:bookmarkStart w:id="323" w:name="_Toc14882"/>
      <w:bookmarkStart w:id="324" w:name="_Toc21588"/>
      <w:r>
        <w:rPr>
          <w:rFonts w:hint="eastAsia" w:cs="Arial"/>
          <w:b/>
          <w:color w:val="auto"/>
          <w:szCs w:val="21"/>
          <w:highlight w:val="none"/>
          <w:lang w:eastAsia="zh-CN"/>
        </w:rPr>
        <w:t>（二）</w:t>
      </w:r>
      <w:r>
        <w:rPr>
          <w:rFonts w:hint="eastAsia" w:cs="Arial"/>
          <w:b/>
          <w:color w:val="auto"/>
          <w:szCs w:val="21"/>
          <w:highlight w:val="none"/>
        </w:rPr>
        <w:t>建设目标</w:t>
      </w:r>
      <w:bookmarkEnd w:id="321"/>
      <w:bookmarkEnd w:id="322"/>
      <w:bookmarkEnd w:id="323"/>
      <w:bookmarkEnd w:id="324"/>
    </w:p>
    <w:p>
      <w:pPr>
        <w:tabs>
          <w:tab w:val="left" w:pos="426"/>
        </w:tabs>
        <w:ind w:firstLine="420" w:firstLineChars="200"/>
        <w:rPr>
          <w:rFonts w:hint="eastAsia"/>
          <w:szCs w:val="21"/>
        </w:rPr>
      </w:pPr>
      <w:r>
        <w:rPr>
          <w:rFonts w:hint="eastAsia"/>
          <w:szCs w:val="21"/>
        </w:rPr>
        <w:t>智慧前海视频云平台项目按照“全域覆盖、全网共享、全时可用、全程可控”为目标进行建设。</w:t>
      </w:r>
    </w:p>
    <w:p>
      <w:pPr>
        <w:tabs>
          <w:tab w:val="left" w:pos="426"/>
        </w:tabs>
        <w:ind w:firstLine="420" w:firstLineChars="200"/>
        <w:rPr>
          <w:rFonts w:hint="eastAsia"/>
          <w:szCs w:val="21"/>
          <w:lang w:val="en-US"/>
        </w:rPr>
      </w:pPr>
      <w:r>
        <w:rPr>
          <w:rFonts w:hint="eastAsia"/>
          <w:szCs w:val="21"/>
          <w:lang w:val="en-US" w:eastAsia="zh-CN"/>
        </w:rPr>
        <w:t>本项目位于桂湾、前湾、妈湾片区，为加强重要路口、重点区域治安管理，支撑城市管理、重大活动应急保障等需求，对现有盲区进行补盲，同时升级后台应用系统。本项目由前端建设、前端线路配套、智慧城市视频管理应用、智能显控系统、计算存储资源等组成。主要建设内容包括：</w:t>
      </w:r>
    </w:p>
    <w:p>
      <w:pPr>
        <w:tabs>
          <w:tab w:val="left" w:pos="426"/>
        </w:tabs>
        <w:ind w:firstLine="420" w:firstLineChars="200"/>
        <w:rPr>
          <w:rFonts w:hint="eastAsia"/>
          <w:szCs w:val="21"/>
          <w:highlight w:val="none"/>
          <w:lang w:val="en-US"/>
        </w:rPr>
      </w:pPr>
      <w:r>
        <w:rPr>
          <w:rFonts w:hint="eastAsia"/>
          <w:szCs w:val="21"/>
          <w:highlight w:val="none"/>
          <w:lang w:val="en-US" w:eastAsia="zh-CN"/>
        </w:rPr>
        <w:t>（1）前端及配套建设：安装摄像机280台，其中高清球机130台，高清枪机79台，AR制高点摄像机7台，智能人脸抓拍机49台、智能卡口摄像机14台（包含补光灯14台）、临时布控球1套，以及前端线路配套建设，包括管道铺设、电缆光缆敷设、绿化、人行道、机动车道开挖与恢复等，主要针对前海安全生产、前海市政道路、前海出入口及前海合作区内重点部位进行监控。</w:t>
      </w:r>
    </w:p>
    <w:p>
      <w:pPr>
        <w:tabs>
          <w:tab w:val="left" w:pos="426"/>
        </w:tabs>
        <w:ind w:firstLine="420" w:firstLineChars="200"/>
        <w:rPr>
          <w:rFonts w:hint="eastAsia"/>
          <w:szCs w:val="21"/>
          <w:highlight w:val="none"/>
          <w:lang w:val="en-US"/>
        </w:rPr>
      </w:pPr>
      <w:r>
        <w:rPr>
          <w:rFonts w:hint="eastAsia"/>
          <w:szCs w:val="21"/>
          <w:highlight w:val="none"/>
          <w:lang w:val="en-US" w:eastAsia="zh-CN"/>
        </w:rPr>
        <w:t>（2）智慧城市视频管理应用建设：</w:t>
      </w:r>
      <w:r>
        <w:rPr>
          <w:rFonts w:hint="eastAsia" w:ascii="Times New Roman" w:hAnsi="Times New Roman" w:eastAsia="宋体" w:cs="Times New Roman"/>
          <w:kern w:val="2"/>
          <w:sz w:val="21"/>
          <w:szCs w:val="24"/>
          <w:highlight w:val="none"/>
          <w:lang w:val="en-US" w:eastAsia="zh-CN" w:bidi="ar"/>
        </w:rPr>
        <w:t>安装布控报警</w:t>
      </w:r>
      <w:r>
        <w:rPr>
          <w:rFonts w:hint="default" w:ascii="Times New Roman" w:hAnsi="Times New Roman" w:eastAsia="宋体" w:cs="Times New Roman"/>
          <w:kern w:val="2"/>
          <w:sz w:val="21"/>
          <w:szCs w:val="24"/>
          <w:highlight w:val="none"/>
          <w:lang w:val="en-US" w:eastAsia="zh-CN" w:bidi="ar"/>
        </w:rPr>
        <w:t>1</w:t>
      </w:r>
      <w:r>
        <w:rPr>
          <w:rFonts w:hint="eastAsia" w:ascii="Times New Roman" w:hAnsi="Times New Roman" w:eastAsia="宋体" w:cs="Times New Roman"/>
          <w:kern w:val="2"/>
          <w:sz w:val="21"/>
          <w:szCs w:val="24"/>
          <w:highlight w:val="none"/>
          <w:lang w:val="en-US" w:eastAsia="zh-CN" w:bidi="ar"/>
        </w:rPr>
        <w:t>套、智能搜索</w:t>
      </w:r>
      <w:r>
        <w:rPr>
          <w:rFonts w:hint="default" w:ascii="Times New Roman" w:hAnsi="Times New Roman" w:eastAsia="宋体" w:cs="Times New Roman"/>
          <w:kern w:val="2"/>
          <w:sz w:val="21"/>
          <w:szCs w:val="24"/>
          <w:highlight w:val="none"/>
          <w:lang w:val="en-US" w:eastAsia="zh-CN" w:bidi="ar"/>
        </w:rPr>
        <w:t>1</w:t>
      </w:r>
      <w:r>
        <w:rPr>
          <w:rFonts w:hint="eastAsia" w:ascii="Times New Roman" w:hAnsi="Times New Roman" w:eastAsia="宋体" w:cs="Times New Roman"/>
          <w:kern w:val="2"/>
          <w:sz w:val="21"/>
          <w:szCs w:val="24"/>
          <w:highlight w:val="none"/>
          <w:lang w:val="en-US" w:eastAsia="zh-CN" w:bidi="ar"/>
        </w:rPr>
        <w:t>套、人脸应用</w:t>
      </w:r>
      <w:r>
        <w:rPr>
          <w:rFonts w:hint="default" w:ascii="Times New Roman" w:hAnsi="Times New Roman" w:eastAsia="宋体" w:cs="Times New Roman"/>
          <w:kern w:val="2"/>
          <w:sz w:val="21"/>
          <w:szCs w:val="24"/>
          <w:highlight w:val="none"/>
          <w:lang w:val="en-US" w:eastAsia="zh-CN" w:bidi="ar"/>
        </w:rPr>
        <w:t>1</w:t>
      </w:r>
      <w:r>
        <w:rPr>
          <w:rFonts w:hint="eastAsia" w:ascii="Times New Roman" w:hAnsi="Times New Roman" w:eastAsia="宋体" w:cs="Times New Roman"/>
          <w:kern w:val="2"/>
          <w:sz w:val="21"/>
          <w:szCs w:val="24"/>
          <w:highlight w:val="none"/>
          <w:lang w:val="en-US" w:eastAsia="zh-CN" w:bidi="ar"/>
        </w:rPr>
        <w:t>套、车辆应用</w:t>
      </w:r>
      <w:r>
        <w:rPr>
          <w:rFonts w:hint="default" w:ascii="Times New Roman" w:hAnsi="Times New Roman" w:eastAsia="宋体" w:cs="Times New Roman"/>
          <w:kern w:val="2"/>
          <w:sz w:val="21"/>
          <w:szCs w:val="24"/>
          <w:highlight w:val="none"/>
          <w:lang w:val="en-US" w:eastAsia="zh-CN" w:bidi="ar"/>
        </w:rPr>
        <w:t>1</w:t>
      </w:r>
      <w:r>
        <w:rPr>
          <w:rFonts w:hint="eastAsia" w:ascii="Times New Roman" w:hAnsi="Times New Roman" w:eastAsia="宋体" w:cs="Times New Roman"/>
          <w:kern w:val="2"/>
          <w:sz w:val="21"/>
          <w:szCs w:val="24"/>
          <w:highlight w:val="none"/>
          <w:lang w:val="en-US" w:eastAsia="zh-CN" w:bidi="ar"/>
        </w:rPr>
        <w:t>套、城管智能巡查应用</w:t>
      </w:r>
      <w:r>
        <w:rPr>
          <w:rFonts w:hint="default" w:ascii="Times New Roman" w:hAnsi="Times New Roman" w:eastAsia="宋体" w:cs="Times New Roman"/>
          <w:kern w:val="2"/>
          <w:sz w:val="21"/>
          <w:szCs w:val="24"/>
          <w:highlight w:val="none"/>
          <w:lang w:val="en-US" w:eastAsia="zh-CN" w:bidi="ar"/>
        </w:rPr>
        <w:t>1</w:t>
      </w:r>
      <w:r>
        <w:rPr>
          <w:rFonts w:hint="eastAsia" w:ascii="Times New Roman" w:hAnsi="Times New Roman" w:eastAsia="宋体" w:cs="Times New Roman"/>
          <w:kern w:val="2"/>
          <w:sz w:val="21"/>
          <w:szCs w:val="24"/>
          <w:highlight w:val="none"/>
          <w:lang w:val="en-US" w:eastAsia="zh-CN" w:bidi="ar"/>
        </w:rPr>
        <w:t>套、</w:t>
      </w:r>
      <w:r>
        <w:rPr>
          <w:rFonts w:hint="default" w:ascii="Times New Roman" w:hAnsi="Times New Roman" w:eastAsia="宋体" w:cs="Times New Roman"/>
          <w:kern w:val="2"/>
          <w:sz w:val="21"/>
          <w:szCs w:val="24"/>
          <w:highlight w:val="none"/>
          <w:lang w:val="en-US" w:eastAsia="zh-CN" w:bidi="ar"/>
        </w:rPr>
        <w:t>AR</w:t>
      </w:r>
      <w:r>
        <w:rPr>
          <w:rFonts w:hint="eastAsia" w:ascii="Times New Roman" w:hAnsi="Times New Roman" w:eastAsia="宋体" w:cs="Times New Roman"/>
          <w:kern w:val="2"/>
          <w:sz w:val="21"/>
          <w:szCs w:val="24"/>
          <w:highlight w:val="none"/>
          <w:lang w:val="en-US" w:eastAsia="zh-CN" w:bidi="ar"/>
        </w:rPr>
        <w:t>实景地图应用</w:t>
      </w:r>
      <w:r>
        <w:rPr>
          <w:rFonts w:hint="default" w:ascii="Times New Roman" w:hAnsi="Times New Roman" w:eastAsia="宋体" w:cs="Times New Roman"/>
          <w:kern w:val="2"/>
          <w:sz w:val="21"/>
          <w:szCs w:val="24"/>
          <w:highlight w:val="none"/>
          <w:lang w:val="en-US" w:eastAsia="zh-CN" w:bidi="ar"/>
        </w:rPr>
        <w:t>1</w:t>
      </w:r>
      <w:r>
        <w:rPr>
          <w:rFonts w:hint="eastAsia" w:ascii="Times New Roman" w:hAnsi="Times New Roman" w:eastAsia="宋体" w:cs="Times New Roman"/>
          <w:kern w:val="2"/>
          <w:sz w:val="21"/>
          <w:szCs w:val="24"/>
          <w:highlight w:val="none"/>
          <w:lang w:val="en-US" w:eastAsia="zh-CN" w:bidi="ar"/>
        </w:rPr>
        <w:t>套。升级平台功能，提升人脸识别、车辆识别和智能快速搜索功能；通过对平台整合的高清视频资源进行智能分析处理，针对影响市容环境、环境卫生等不良行为进行分析和自动告警，并能够根据素材进行不断的机器学习和完善优化。</w:t>
      </w:r>
    </w:p>
    <w:p>
      <w:pPr>
        <w:tabs>
          <w:tab w:val="left" w:pos="426"/>
        </w:tabs>
        <w:ind w:firstLine="420" w:firstLineChars="200"/>
        <w:rPr>
          <w:rFonts w:hint="eastAsia"/>
          <w:szCs w:val="21"/>
          <w:highlight w:val="none"/>
          <w:lang w:val="en-US"/>
        </w:rPr>
      </w:pPr>
      <w:r>
        <w:rPr>
          <w:rFonts w:hint="eastAsia"/>
          <w:szCs w:val="21"/>
          <w:highlight w:val="none"/>
          <w:lang w:val="en-US" w:eastAsia="zh-CN"/>
        </w:rPr>
        <w:t>（3）智能显控系统建设：安装数据沙盘1套，对接现有管理平台的数据以及其他各类业务系统数据，提供数据可视化平台。</w:t>
      </w:r>
    </w:p>
    <w:p>
      <w:pPr>
        <w:tabs>
          <w:tab w:val="left" w:pos="426"/>
        </w:tabs>
        <w:ind w:firstLine="420" w:firstLineChars="200"/>
        <w:rPr>
          <w:rFonts w:hint="eastAsia"/>
          <w:szCs w:val="21"/>
          <w:highlight w:val="none"/>
        </w:rPr>
      </w:pPr>
      <w:r>
        <w:rPr>
          <w:rFonts w:hint="eastAsia"/>
          <w:szCs w:val="21"/>
          <w:highlight w:val="none"/>
          <w:lang w:val="en-US" w:eastAsia="zh-CN"/>
        </w:rPr>
        <w:t>（4）计算存储资源扩容：安装服务器8台、交换机2台、智慧城管分析一体机1台、视频云存储设备8台</w:t>
      </w:r>
      <w:r>
        <w:rPr>
          <w:rFonts w:hint="eastAsia" w:ascii="Times New Roman" w:hAnsi="Times New Roman" w:eastAsia="宋体" w:cs="Times New Roman"/>
          <w:kern w:val="2"/>
          <w:sz w:val="21"/>
          <w:szCs w:val="24"/>
          <w:highlight w:val="none"/>
          <w:lang w:val="en-US" w:eastAsia="zh-CN" w:bidi="ar"/>
        </w:rPr>
        <w:t>，支撑前端摄像头视频资源存储及相关应用建设</w:t>
      </w:r>
      <w:r>
        <w:rPr>
          <w:rFonts w:hint="eastAsia"/>
          <w:szCs w:val="21"/>
          <w:highlight w:val="none"/>
          <w:lang w:val="en-US" w:eastAsia="zh-CN"/>
        </w:rPr>
        <w:t>。</w:t>
      </w:r>
    </w:p>
    <w:p>
      <w:pPr>
        <w:tabs>
          <w:tab w:val="left" w:pos="426"/>
        </w:tabs>
        <w:ind w:firstLine="420" w:firstLineChars="200"/>
        <w:rPr>
          <w:color w:val="auto"/>
          <w:highlight w:val="none"/>
        </w:rPr>
      </w:pPr>
      <w:r>
        <w:rPr>
          <w:rFonts w:hint="eastAsia"/>
          <w:szCs w:val="21"/>
          <w:highlight w:val="none"/>
        </w:rPr>
        <w:t>（</w:t>
      </w:r>
      <w:r>
        <w:rPr>
          <w:rFonts w:hint="eastAsia"/>
          <w:szCs w:val="21"/>
          <w:highlight w:val="none"/>
          <w:lang w:val="en-US" w:eastAsia="zh-CN"/>
        </w:rPr>
        <w:t>5</w:t>
      </w:r>
      <w:r>
        <w:rPr>
          <w:rFonts w:hint="eastAsia"/>
          <w:szCs w:val="21"/>
          <w:highlight w:val="none"/>
        </w:rPr>
        <w:t>）</w:t>
      </w:r>
      <w:r>
        <w:rPr>
          <w:rFonts w:hint="eastAsia"/>
          <w:szCs w:val="21"/>
          <w:highlight w:val="none"/>
          <w:lang w:eastAsia="zh-CN"/>
        </w:rPr>
        <w:t>根据需要，</w:t>
      </w:r>
      <w:r>
        <w:rPr>
          <w:rFonts w:hint="eastAsia"/>
          <w:szCs w:val="21"/>
          <w:highlight w:val="none"/>
        </w:rPr>
        <w:t>与前海已有的视频需求资源对接</w:t>
      </w:r>
      <w:r>
        <w:rPr>
          <w:rFonts w:hint="eastAsia"/>
          <w:szCs w:val="21"/>
          <w:highlight w:val="none"/>
          <w:lang w:eastAsia="zh-CN"/>
        </w:rPr>
        <w:t>，配合完成与其他政府部门视频联网对接，以及与前海管理局其他业务系统对接</w:t>
      </w:r>
      <w:r>
        <w:rPr>
          <w:rFonts w:hint="eastAsia"/>
          <w:szCs w:val="21"/>
          <w:highlight w:val="none"/>
        </w:rPr>
        <w:t>。</w:t>
      </w:r>
    </w:p>
    <w:p>
      <w:pPr>
        <w:pStyle w:val="3"/>
        <w:rPr>
          <w:rFonts w:hint="eastAsia" w:ascii="黑体" w:hAnsi="宋体"/>
          <w:bCs w:val="0"/>
          <w:color w:val="auto"/>
          <w:kern w:val="0"/>
          <w:highlight w:val="none"/>
        </w:rPr>
      </w:pPr>
      <w:bookmarkStart w:id="325" w:name="_Toc29964"/>
      <w:bookmarkStart w:id="326" w:name="_Toc4697"/>
      <w:bookmarkStart w:id="327" w:name="_Toc5148"/>
      <w:bookmarkStart w:id="328" w:name="_Toc22475"/>
      <w:r>
        <w:rPr>
          <w:rFonts w:hint="eastAsia" w:ascii="黑体" w:hAnsi="宋体"/>
          <w:bCs w:val="0"/>
          <w:color w:val="auto"/>
          <w:kern w:val="0"/>
          <w:highlight w:val="none"/>
          <w:lang w:eastAsia="zh-CN"/>
        </w:rPr>
        <w:t>三、</w:t>
      </w:r>
      <w:r>
        <w:rPr>
          <w:rFonts w:hint="eastAsia" w:ascii="黑体" w:hAnsi="宋体"/>
          <w:bCs w:val="0"/>
          <w:color w:val="auto"/>
          <w:kern w:val="0"/>
          <w:highlight w:val="none"/>
        </w:rPr>
        <w:t>项目所依据及参考的标准</w:t>
      </w:r>
      <w:bookmarkEnd w:id="325"/>
      <w:bookmarkEnd w:id="326"/>
      <w:bookmarkEnd w:id="327"/>
      <w:bookmarkEnd w:id="328"/>
    </w:p>
    <w:p>
      <w:pPr>
        <w:pStyle w:val="25"/>
        <w:widowControl w:val="0"/>
        <w:numPr>
          <w:ilvl w:val="0"/>
          <w:numId w:val="5"/>
        </w:numPr>
        <w:shd w:val="clear" w:color="auto" w:fill="auto"/>
        <w:tabs>
          <w:tab w:val="left" w:pos="426"/>
        </w:tabs>
        <w:ind w:left="0" w:firstLine="420" w:firstLineChars="200"/>
        <w:jc w:val="both"/>
        <w:rPr>
          <w:rFonts w:ascii="宋体" w:hAnsi="宋体"/>
          <w:color w:val="auto"/>
          <w:szCs w:val="21"/>
          <w:highlight w:val="none"/>
        </w:rPr>
      </w:pPr>
      <w:r>
        <w:rPr>
          <w:rFonts w:hint="eastAsia" w:ascii="宋体" w:hAnsi="宋体"/>
          <w:color w:val="auto"/>
          <w:szCs w:val="21"/>
          <w:highlight w:val="none"/>
        </w:rPr>
        <w:t>《建设工程监理规范》（</w:t>
      </w:r>
      <w:r>
        <w:rPr>
          <w:rFonts w:ascii="宋体" w:hAnsi="宋体"/>
          <w:bCs/>
          <w:color w:val="auto"/>
          <w:szCs w:val="21"/>
          <w:highlight w:val="none"/>
        </w:rPr>
        <w:t>GB/T50319-2013</w:t>
      </w:r>
      <w:r>
        <w:rPr>
          <w:rFonts w:hint="eastAsia" w:ascii="宋体" w:hAnsi="宋体"/>
          <w:color w:val="auto"/>
          <w:szCs w:val="21"/>
          <w:highlight w:val="none"/>
        </w:rPr>
        <w:t>）</w:t>
      </w:r>
    </w:p>
    <w:p>
      <w:pPr>
        <w:pStyle w:val="25"/>
        <w:widowControl w:val="0"/>
        <w:numPr>
          <w:ilvl w:val="0"/>
          <w:numId w:val="5"/>
        </w:numPr>
        <w:shd w:val="clear" w:color="auto" w:fill="auto"/>
        <w:tabs>
          <w:tab w:val="left" w:pos="426"/>
        </w:tabs>
        <w:ind w:left="0" w:firstLine="420" w:firstLineChars="200"/>
        <w:jc w:val="both"/>
        <w:rPr>
          <w:rFonts w:ascii="宋体" w:hAnsi="宋体"/>
          <w:color w:val="auto"/>
          <w:szCs w:val="21"/>
          <w:highlight w:val="none"/>
        </w:rPr>
      </w:pPr>
      <w:r>
        <w:rPr>
          <w:rFonts w:hint="eastAsia" w:ascii="宋体" w:hAnsi="宋体"/>
          <w:color w:val="auto"/>
          <w:szCs w:val="21"/>
          <w:highlight w:val="none"/>
        </w:rPr>
        <w:t>《前海管理局《前海管理局202</w:t>
      </w:r>
      <w:r>
        <w:rPr>
          <w:rFonts w:hint="eastAsia" w:ascii="宋体" w:hAnsi="宋体"/>
          <w:color w:val="auto"/>
          <w:szCs w:val="21"/>
          <w:highlight w:val="none"/>
          <w:lang w:val="en-US" w:eastAsia="zh-CN"/>
        </w:rPr>
        <w:t>2</w:t>
      </w:r>
      <w:r>
        <w:rPr>
          <w:rFonts w:hint="eastAsia" w:ascii="宋体" w:hAnsi="宋体"/>
          <w:color w:val="auto"/>
          <w:szCs w:val="21"/>
          <w:highlight w:val="none"/>
        </w:rPr>
        <w:t>年政府投资项目计划》及《深圳市前海管理局关于</w:t>
      </w:r>
      <w:r>
        <w:rPr>
          <w:rFonts w:hint="eastAsia" w:ascii="宋体" w:hAnsi="宋体"/>
          <w:color w:val="auto"/>
          <w:szCs w:val="21"/>
          <w:highlight w:val="none"/>
          <w:lang w:eastAsia="zh-CN"/>
        </w:rPr>
        <w:t>智慧前海视频云平台二期</w:t>
      </w:r>
      <w:r>
        <w:rPr>
          <w:rFonts w:hint="eastAsia" w:ascii="宋体" w:hAnsi="宋体"/>
          <w:color w:val="auto"/>
          <w:szCs w:val="21"/>
          <w:highlight w:val="none"/>
        </w:rPr>
        <w:t>项目总概算的批复》</w:t>
      </w:r>
    </w:p>
    <w:p>
      <w:pPr>
        <w:pStyle w:val="25"/>
        <w:widowControl w:val="0"/>
        <w:numPr>
          <w:ilvl w:val="0"/>
          <w:numId w:val="5"/>
        </w:numPr>
        <w:shd w:val="clear" w:color="auto" w:fill="auto"/>
        <w:tabs>
          <w:tab w:val="left" w:pos="426"/>
        </w:tabs>
        <w:ind w:left="0" w:firstLine="420" w:firstLineChars="200"/>
        <w:jc w:val="both"/>
        <w:rPr>
          <w:rFonts w:ascii="宋体" w:hAnsi="宋体"/>
          <w:color w:val="auto"/>
          <w:szCs w:val="21"/>
          <w:highlight w:val="none"/>
        </w:rPr>
      </w:pPr>
      <w:r>
        <w:rPr>
          <w:rFonts w:hint="eastAsia" w:ascii="宋体" w:hAnsi="宋体"/>
          <w:color w:val="auto"/>
          <w:szCs w:val="21"/>
          <w:highlight w:val="none"/>
        </w:rPr>
        <w:t>招标单位与承建单位签订的承包合同；</w:t>
      </w:r>
    </w:p>
    <w:p>
      <w:pPr>
        <w:pStyle w:val="25"/>
        <w:widowControl w:val="0"/>
        <w:numPr>
          <w:ilvl w:val="0"/>
          <w:numId w:val="5"/>
        </w:numPr>
        <w:shd w:val="clear" w:color="auto" w:fill="auto"/>
        <w:tabs>
          <w:tab w:val="left" w:pos="426"/>
        </w:tabs>
        <w:ind w:left="0" w:firstLine="420" w:firstLineChars="200"/>
        <w:jc w:val="both"/>
        <w:rPr>
          <w:rFonts w:ascii="宋体" w:hAnsi="宋体"/>
          <w:color w:val="auto"/>
          <w:szCs w:val="21"/>
          <w:highlight w:val="none"/>
        </w:rPr>
      </w:pPr>
      <w:r>
        <w:rPr>
          <w:rFonts w:hint="eastAsia" w:ascii="宋体" w:hAnsi="宋体"/>
          <w:color w:val="auto"/>
          <w:szCs w:val="21"/>
          <w:highlight w:val="none"/>
        </w:rPr>
        <w:t>招标单位与中标单位签订的委托监理合同；</w:t>
      </w:r>
    </w:p>
    <w:p>
      <w:pPr>
        <w:pStyle w:val="25"/>
        <w:widowControl w:val="0"/>
        <w:numPr>
          <w:ilvl w:val="0"/>
          <w:numId w:val="5"/>
        </w:numPr>
        <w:shd w:val="clear" w:color="auto" w:fill="auto"/>
        <w:tabs>
          <w:tab w:val="left" w:pos="426"/>
        </w:tabs>
        <w:ind w:left="0" w:firstLine="420" w:firstLineChars="200"/>
        <w:jc w:val="both"/>
        <w:rPr>
          <w:rFonts w:ascii="宋体" w:hAnsi="宋体"/>
          <w:color w:val="auto"/>
          <w:szCs w:val="21"/>
          <w:highlight w:val="none"/>
        </w:rPr>
      </w:pPr>
      <w:r>
        <w:rPr>
          <w:rFonts w:hint="eastAsia" w:ascii="宋体" w:hAnsi="宋体"/>
          <w:color w:val="auto"/>
          <w:szCs w:val="21"/>
          <w:highlight w:val="none"/>
        </w:rPr>
        <w:t>本项目招标书、招标过程文件、各中标单位的投标书；</w:t>
      </w:r>
    </w:p>
    <w:p>
      <w:pPr>
        <w:pStyle w:val="25"/>
        <w:widowControl w:val="0"/>
        <w:numPr>
          <w:ilvl w:val="0"/>
          <w:numId w:val="5"/>
        </w:numPr>
        <w:shd w:val="clear" w:color="auto" w:fill="auto"/>
        <w:tabs>
          <w:tab w:val="left" w:pos="426"/>
        </w:tabs>
        <w:ind w:left="0" w:firstLine="420" w:firstLineChars="200"/>
        <w:jc w:val="both"/>
        <w:rPr>
          <w:rFonts w:ascii="宋体" w:hAnsi="宋体"/>
          <w:color w:val="auto"/>
          <w:szCs w:val="21"/>
          <w:highlight w:val="none"/>
        </w:rPr>
      </w:pPr>
      <w:r>
        <w:rPr>
          <w:rFonts w:hint="eastAsia" w:ascii="宋体" w:hAnsi="宋体"/>
          <w:color w:val="auto"/>
          <w:szCs w:val="21"/>
          <w:highlight w:val="none"/>
        </w:rPr>
        <w:t>国家有关合同、招投标、政府采购的法律法规；</w:t>
      </w:r>
    </w:p>
    <w:p>
      <w:pPr>
        <w:pStyle w:val="25"/>
        <w:widowControl w:val="0"/>
        <w:numPr>
          <w:ilvl w:val="0"/>
          <w:numId w:val="5"/>
        </w:numPr>
        <w:shd w:val="clear" w:color="auto" w:fill="auto"/>
        <w:tabs>
          <w:tab w:val="left" w:pos="426"/>
          <w:tab w:val="left" w:pos="567"/>
        </w:tabs>
        <w:ind w:left="0" w:firstLine="420" w:firstLineChars="200"/>
        <w:jc w:val="both"/>
        <w:rPr>
          <w:rFonts w:ascii="宋体" w:hAnsi="宋体"/>
          <w:color w:val="auto"/>
          <w:szCs w:val="21"/>
          <w:highlight w:val="none"/>
        </w:rPr>
      </w:pPr>
      <w:r>
        <w:rPr>
          <w:rFonts w:hint="eastAsia" w:ascii="宋体" w:hAnsi="宋体"/>
          <w:color w:val="auto"/>
          <w:szCs w:val="21"/>
          <w:highlight w:val="none"/>
        </w:rPr>
        <w:t>各级政府的信息工程、信息工程监理的管理办法和规定；</w:t>
      </w:r>
    </w:p>
    <w:p>
      <w:pPr>
        <w:pStyle w:val="25"/>
        <w:widowControl w:val="0"/>
        <w:numPr>
          <w:ilvl w:val="0"/>
          <w:numId w:val="5"/>
        </w:numPr>
        <w:shd w:val="clear" w:color="auto" w:fill="auto"/>
        <w:tabs>
          <w:tab w:val="left" w:pos="426"/>
          <w:tab w:val="left" w:pos="567"/>
        </w:tabs>
        <w:ind w:left="0" w:firstLine="420" w:firstLineChars="200"/>
        <w:jc w:val="both"/>
        <w:rPr>
          <w:rFonts w:ascii="宋体" w:hAnsi="宋体"/>
          <w:color w:val="auto"/>
          <w:szCs w:val="21"/>
          <w:highlight w:val="none"/>
        </w:rPr>
      </w:pPr>
      <w:r>
        <w:rPr>
          <w:rFonts w:hint="eastAsia" w:ascii="宋体" w:hAnsi="宋体"/>
          <w:color w:val="auto"/>
          <w:szCs w:val="21"/>
          <w:highlight w:val="none"/>
        </w:rPr>
        <w:t>建设工程和信息工程相关的国家、行业标准和规范；</w:t>
      </w:r>
    </w:p>
    <w:p>
      <w:pPr>
        <w:pStyle w:val="25"/>
        <w:widowControl w:val="0"/>
        <w:numPr>
          <w:ilvl w:val="0"/>
          <w:numId w:val="5"/>
        </w:numPr>
        <w:shd w:val="clear" w:color="auto" w:fill="auto"/>
        <w:tabs>
          <w:tab w:val="left" w:pos="426"/>
          <w:tab w:val="left" w:pos="567"/>
        </w:tabs>
        <w:ind w:left="0" w:firstLine="420" w:firstLineChars="200"/>
        <w:jc w:val="both"/>
        <w:rPr>
          <w:rFonts w:ascii="宋体" w:hAnsi="宋体"/>
          <w:color w:val="auto"/>
          <w:szCs w:val="21"/>
          <w:highlight w:val="none"/>
        </w:rPr>
      </w:pPr>
      <w:r>
        <w:rPr>
          <w:rFonts w:hint="eastAsia" w:ascii="宋体" w:hAnsi="宋体"/>
          <w:color w:val="auto"/>
          <w:szCs w:val="21"/>
          <w:highlight w:val="none"/>
        </w:rPr>
        <w:t>建设工程和信息工程技术监督、工程验收规范；</w:t>
      </w:r>
    </w:p>
    <w:p>
      <w:pPr>
        <w:pStyle w:val="25"/>
        <w:widowControl w:val="0"/>
        <w:numPr>
          <w:ilvl w:val="0"/>
          <w:numId w:val="5"/>
        </w:numPr>
        <w:shd w:val="clear" w:color="auto" w:fill="auto"/>
        <w:tabs>
          <w:tab w:val="left" w:pos="426"/>
          <w:tab w:val="left" w:pos="567"/>
        </w:tabs>
        <w:ind w:left="0" w:firstLine="420" w:firstLineChars="200"/>
        <w:jc w:val="both"/>
        <w:rPr>
          <w:rFonts w:ascii="宋体" w:hAnsi="宋体"/>
          <w:color w:val="auto"/>
          <w:szCs w:val="21"/>
          <w:highlight w:val="none"/>
        </w:rPr>
      </w:pPr>
      <w:r>
        <w:rPr>
          <w:rFonts w:hint="eastAsia" w:ascii="宋体" w:hAnsi="宋体"/>
          <w:color w:val="auto"/>
          <w:szCs w:val="21"/>
          <w:highlight w:val="none"/>
        </w:rPr>
        <w:t>与项目相关的技术资料；</w:t>
      </w:r>
    </w:p>
    <w:p>
      <w:pPr>
        <w:pStyle w:val="25"/>
        <w:widowControl w:val="0"/>
        <w:numPr>
          <w:ilvl w:val="0"/>
          <w:numId w:val="5"/>
        </w:numPr>
        <w:shd w:val="clear" w:color="auto" w:fill="auto"/>
        <w:tabs>
          <w:tab w:val="left" w:pos="426"/>
          <w:tab w:val="left" w:pos="567"/>
        </w:tabs>
        <w:ind w:left="0" w:firstLine="420" w:firstLineChars="200"/>
        <w:jc w:val="both"/>
        <w:rPr>
          <w:rFonts w:ascii="宋体" w:hAnsi="宋体"/>
          <w:color w:val="auto"/>
          <w:szCs w:val="21"/>
          <w:highlight w:val="none"/>
        </w:rPr>
      </w:pPr>
      <w:r>
        <w:rPr>
          <w:rFonts w:hint="eastAsia" w:ascii="宋体" w:hAnsi="宋体"/>
          <w:color w:val="auto"/>
          <w:szCs w:val="21"/>
          <w:highlight w:val="none"/>
        </w:rPr>
        <w:t>其他与本项目适用的法律、法规和标准；</w:t>
      </w:r>
    </w:p>
    <w:p>
      <w:pPr>
        <w:pStyle w:val="25"/>
        <w:widowControl w:val="0"/>
        <w:numPr>
          <w:ilvl w:val="0"/>
          <w:numId w:val="5"/>
        </w:numPr>
        <w:shd w:val="clear" w:color="auto" w:fill="auto"/>
        <w:tabs>
          <w:tab w:val="left" w:pos="426"/>
          <w:tab w:val="left" w:pos="567"/>
        </w:tabs>
        <w:ind w:left="0" w:firstLine="420" w:firstLineChars="200"/>
        <w:jc w:val="both"/>
        <w:rPr>
          <w:rFonts w:ascii="宋体" w:hAnsi="宋体"/>
          <w:color w:val="auto"/>
          <w:szCs w:val="21"/>
          <w:highlight w:val="none"/>
        </w:rPr>
      </w:pPr>
      <w:r>
        <w:rPr>
          <w:rFonts w:hint="eastAsia" w:ascii="宋体" w:hAnsi="宋体"/>
          <w:color w:val="auto"/>
          <w:szCs w:val="21"/>
          <w:highlight w:val="none"/>
        </w:rPr>
        <w:t>国家、地方及行业相关的技术标准。</w:t>
      </w:r>
    </w:p>
    <w:p>
      <w:pPr>
        <w:pStyle w:val="3"/>
        <w:rPr>
          <w:rFonts w:hint="eastAsia" w:ascii="黑体" w:hAnsi="宋体" w:eastAsia="黑体"/>
          <w:bCs w:val="0"/>
          <w:color w:val="auto"/>
          <w:kern w:val="0"/>
          <w:highlight w:val="none"/>
          <w:u w:val="none"/>
          <w:lang w:eastAsia="zh-CN"/>
        </w:rPr>
      </w:pPr>
      <w:bookmarkStart w:id="329" w:name="_Toc17241"/>
      <w:bookmarkStart w:id="330" w:name="_Toc22749"/>
      <w:bookmarkStart w:id="331" w:name="_Toc4454"/>
      <w:bookmarkStart w:id="332" w:name="_Toc2213"/>
      <w:r>
        <w:rPr>
          <w:rFonts w:hint="eastAsia" w:ascii="黑体" w:hAnsi="宋体"/>
          <w:bCs w:val="0"/>
          <w:color w:val="auto"/>
          <w:kern w:val="0"/>
          <w:highlight w:val="none"/>
          <w:lang w:eastAsia="zh-CN"/>
        </w:rPr>
        <w:t>四、技术要求</w:t>
      </w:r>
      <w:bookmarkEnd w:id="329"/>
      <w:bookmarkEnd w:id="330"/>
      <w:bookmarkEnd w:id="331"/>
      <w:bookmarkEnd w:id="332"/>
    </w:p>
    <w:p>
      <w:pPr>
        <w:tabs>
          <w:tab w:val="left" w:pos="426"/>
        </w:tabs>
        <w:spacing w:beforeLines="0" w:afterLines="0"/>
        <w:ind w:firstLine="420" w:firstLineChars="200"/>
        <w:rPr>
          <w:color w:val="auto"/>
          <w:szCs w:val="21"/>
          <w:highlight w:val="none"/>
        </w:rPr>
      </w:pPr>
      <w:r>
        <w:rPr>
          <w:rFonts w:hint="eastAsia"/>
          <w:color w:val="auto"/>
          <w:szCs w:val="21"/>
          <w:highlight w:val="none"/>
        </w:rPr>
        <w:t>为了确保项目监理能够取得预期效果，深圳市前海深港现代服务业合作区管理局确定通过</w:t>
      </w:r>
      <w:r>
        <w:rPr>
          <w:rFonts w:hint="eastAsia"/>
          <w:color w:val="auto"/>
          <w:szCs w:val="21"/>
          <w:highlight w:val="none"/>
          <w:lang w:val="en-US" w:eastAsia="zh-CN"/>
        </w:rPr>
        <w:t>简易</w:t>
      </w:r>
      <w:r>
        <w:rPr>
          <w:rFonts w:hint="eastAsia"/>
          <w:color w:val="auto"/>
          <w:szCs w:val="21"/>
          <w:highlight w:val="none"/>
        </w:rPr>
        <w:t>招标的方式，选择一家有实力的，同时具有相关资质、经验和业绩的公司对该项目实施过程进行监理，帮助项目招标单位实现预期的建设目标，全面维护项目招标单位的合法利益。</w:t>
      </w:r>
    </w:p>
    <w:p>
      <w:pPr>
        <w:tabs>
          <w:tab w:val="left" w:pos="426"/>
        </w:tabs>
        <w:spacing w:beforeLines="0" w:afterLines="0"/>
        <w:ind w:firstLine="420" w:firstLineChars="200"/>
        <w:rPr>
          <w:color w:val="auto"/>
          <w:szCs w:val="21"/>
          <w:highlight w:val="none"/>
        </w:rPr>
      </w:pPr>
      <w:r>
        <w:rPr>
          <w:rFonts w:hint="eastAsia"/>
          <w:color w:val="auto"/>
          <w:szCs w:val="21"/>
          <w:highlight w:val="none"/>
        </w:rPr>
        <w:t>中标单位与招标单位签订监理合同后，须根据合同的要求，在采购文件、投标文件及合同的基础上编制详细的《项目监理实施细则》，进一步明确监理工作的职责和监理工作程序，指定监理项目部和执行服务的监理工程师，履行监理单位的职责和义务，全面维护招标单位的合法利益。</w:t>
      </w:r>
    </w:p>
    <w:p>
      <w:pPr>
        <w:tabs>
          <w:tab w:val="left" w:pos="426"/>
        </w:tabs>
        <w:spacing w:before="160" w:beforeLines="0" w:after="160" w:afterLines="0"/>
        <w:ind w:left="0" w:firstLine="422" w:firstLineChars="200"/>
        <w:outlineLvl w:val="1"/>
        <w:rPr>
          <w:rFonts w:hint="eastAsia" w:ascii="Times New Roman" w:eastAsia="宋体" w:cs="Arial"/>
          <w:b/>
          <w:color w:val="auto"/>
          <w:sz w:val="21"/>
          <w:szCs w:val="21"/>
          <w:highlight w:val="none"/>
        </w:rPr>
      </w:pPr>
      <w:bookmarkStart w:id="333" w:name="_Toc11228"/>
      <w:bookmarkStart w:id="334" w:name="_Toc15172"/>
      <w:bookmarkStart w:id="335" w:name="_Toc29830"/>
      <w:bookmarkStart w:id="336" w:name="_Toc17493"/>
      <w:r>
        <w:rPr>
          <w:rFonts w:hint="eastAsia" w:ascii="Times New Roman" w:eastAsia="宋体" w:cs="Arial"/>
          <w:b/>
          <w:color w:val="auto"/>
          <w:sz w:val="21"/>
          <w:szCs w:val="21"/>
          <w:highlight w:val="none"/>
          <w:lang w:eastAsia="zh-CN"/>
        </w:rPr>
        <w:t>（一）</w:t>
      </w:r>
      <w:r>
        <w:rPr>
          <w:rFonts w:hint="eastAsia" w:ascii="Times New Roman" w:eastAsia="宋体" w:cs="Arial"/>
          <w:b/>
          <w:color w:val="auto"/>
          <w:sz w:val="21"/>
          <w:szCs w:val="21"/>
          <w:highlight w:val="none"/>
        </w:rPr>
        <w:t>监理的服务范围</w:t>
      </w:r>
      <w:bookmarkEnd w:id="333"/>
      <w:bookmarkEnd w:id="334"/>
      <w:bookmarkEnd w:id="335"/>
      <w:bookmarkEnd w:id="336"/>
    </w:p>
    <w:p>
      <w:pPr>
        <w:tabs>
          <w:tab w:val="left" w:pos="426"/>
        </w:tabs>
        <w:ind w:firstLine="420" w:firstLineChars="200"/>
        <w:rPr>
          <w:rFonts w:hint="eastAsia"/>
          <w:szCs w:val="21"/>
          <w:highlight w:val="none"/>
          <w:lang w:val="en-US"/>
        </w:rPr>
      </w:pPr>
      <w:r>
        <w:rPr>
          <w:rFonts w:hint="eastAsia"/>
          <w:szCs w:val="21"/>
          <w:highlight w:val="none"/>
          <w:lang w:val="en-US" w:eastAsia="zh-CN"/>
        </w:rPr>
        <w:t>本项目位于桂湾、前湾、妈湾片区，为加强重要路口、重点区域治安管理，支撑城市管理、重大活动应急保障等需求，对现有盲区进行补盲，同时升级后台应用系统。本项目由前端建设、前端线路配套、智慧城市视频管理应用、智能显控系统、计算存储资源等组成。主要建设内容包括：</w:t>
      </w:r>
    </w:p>
    <w:p>
      <w:pPr>
        <w:tabs>
          <w:tab w:val="left" w:pos="426"/>
        </w:tabs>
        <w:ind w:firstLine="420" w:firstLineChars="200"/>
        <w:rPr>
          <w:rFonts w:hint="eastAsia"/>
          <w:szCs w:val="21"/>
          <w:highlight w:val="none"/>
          <w:lang w:val="en-US"/>
        </w:rPr>
      </w:pPr>
      <w:r>
        <w:rPr>
          <w:rFonts w:hint="eastAsia"/>
          <w:szCs w:val="21"/>
          <w:highlight w:val="none"/>
          <w:lang w:val="en-US" w:eastAsia="zh-CN"/>
        </w:rPr>
        <w:t>（1）前端及配套建设：安装摄像机280台，其中高清球机130台，高清枪机79台，AR制高点摄像机7台，智能人脸抓拍机49台、智能卡口摄像机14台（包含补光灯14台）、临时布控球1套，以及前端线路配套建设，包括管道铺设、电缆光缆敷设、绿化、人行道、机动车道开挖与恢复等，主要针对前海安全生产、前海市政道路、前海出入口及前海合作区内重点部位进行监控。</w:t>
      </w:r>
    </w:p>
    <w:p>
      <w:pPr>
        <w:tabs>
          <w:tab w:val="left" w:pos="426"/>
        </w:tabs>
        <w:ind w:firstLine="420" w:firstLineChars="200"/>
        <w:rPr>
          <w:rFonts w:hint="eastAsia"/>
          <w:szCs w:val="21"/>
          <w:highlight w:val="none"/>
          <w:lang w:val="en-US"/>
        </w:rPr>
      </w:pPr>
      <w:r>
        <w:rPr>
          <w:rFonts w:hint="eastAsia"/>
          <w:szCs w:val="21"/>
          <w:highlight w:val="none"/>
          <w:lang w:val="en-US" w:eastAsia="zh-CN"/>
        </w:rPr>
        <w:t>（2）智慧城市视频管理应用建设：</w:t>
      </w:r>
      <w:r>
        <w:rPr>
          <w:rFonts w:hint="eastAsia" w:ascii="Times New Roman" w:hAnsi="Times New Roman" w:eastAsia="宋体" w:cs="Times New Roman"/>
          <w:kern w:val="2"/>
          <w:sz w:val="21"/>
          <w:szCs w:val="24"/>
          <w:highlight w:val="none"/>
          <w:lang w:val="en-US" w:eastAsia="zh-CN" w:bidi="ar"/>
        </w:rPr>
        <w:t>安装布控报警</w:t>
      </w:r>
      <w:r>
        <w:rPr>
          <w:rFonts w:hint="default" w:ascii="Times New Roman" w:hAnsi="Times New Roman" w:eastAsia="宋体" w:cs="Times New Roman"/>
          <w:kern w:val="2"/>
          <w:sz w:val="21"/>
          <w:szCs w:val="24"/>
          <w:highlight w:val="none"/>
          <w:lang w:val="en-US" w:eastAsia="zh-CN" w:bidi="ar"/>
        </w:rPr>
        <w:t>1</w:t>
      </w:r>
      <w:r>
        <w:rPr>
          <w:rFonts w:hint="eastAsia" w:ascii="Times New Roman" w:hAnsi="Times New Roman" w:eastAsia="宋体" w:cs="Times New Roman"/>
          <w:kern w:val="2"/>
          <w:sz w:val="21"/>
          <w:szCs w:val="24"/>
          <w:highlight w:val="none"/>
          <w:lang w:val="en-US" w:eastAsia="zh-CN" w:bidi="ar"/>
        </w:rPr>
        <w:t>套、智能搜索</w:t>
      </w:r>
      <w:r>
        <w:rPr>
          <w:rFonts w:hint="default" w:ascii="Times New Roman" w:hAnsi="Times New Roman" w:eastAsia="宋体" w:cs="Times New Roman"/>
          <w:kern w:val="2"/>
          <w:sz w:val="21"/>
          <w:szCs w:val="24"/>
          <w:highlight w:val="none"/>
          <w:lang w:val="en-US" w:eastAsia="zh-CN" w:bidi="ar"/>
        </w:rPr>
        <w:t>1</w:t>
      </w:r>
      <w:r>
        <w:rPr>
          <w:rFonts w:hint="eastAsia" w:ascii="Times New Roman" w:hAnsi="Times New Roman" w:eastAsia="宋体" w:cs="Times New Roman"/>
          <w:kern w:val="2"/>
          <w:sz w:val="21"/>
          <w:szCs w:val="24"/>
          <w:highlight w:val="none"/>
          <w:lang w:val="en-US" w:eastAsia="zh-CN" w:bidi="ar"/>
        </w:rPr>
        <w:t>套、人脸应用</w:t>
      </w:r>
      <w:r>
        <w:rPr>
          <w:rFonts w:hint="default" w:ascii="Times New Roman" w:hAnsi="Times New Roman" w:eastAsia="宋体" w:cs="Times New Roman"/>
          <w:kern w:val="2"/>
          <w:sz w:val="21"/>
          <w:szCs w:val="24"/>
          <w:highlight w:val="none"/>
          <w:lang w:val="en-US" w:eastAsia="zh-CN" w:bidi="ar"/>
        </w:rPr>
        <w:t>1</w:t>
      </w:r>
      <w:r>
        <w:rPr>
          <w:rFonts w:hint="eastAsia" w:ascii="Times New Roman" w:hAnsi="Times New Roman" w:eastAsia="宋体" w:cs="Times New Roman"/>
          <w:kern w:val="2"/>
          <w:sz w:val="21"/>
          <w:szCs w:val="24"/>
          <w:highlight w:val="none"/>
          <w:lang w:val="en-US" w:eastAsia="zh-CN" w:bidi="ar"/>
        </w:rPr>
        <w:t>套、车辆应用</w:t>
      </w:r>
      <w:r>
        <w:rPr>
          <w:rFonts w:hint="default" w:ascii="Times New Roman" w:hAnsi="Times New Roman" w:eastAsia="宋体" w:cs="Times New Roman"/>
          <w:kern w:val="2"/>
          <w:sz w:val="21"/>
          <w:szCs w:val="24"/>
          <w:highlight w:val="none"/>
          <w:lang w:val="en-US" w:eastAsia="zh-CN" w:bidi="ar"/>
        </w:rPr>
        <w:t>1</w:t>
      </w:r>
      <w:r>
        <w:rPr>
          <w:rFonts w:hint="eastAsia" w:ascii="Times New Roman" w:hAnsi="Times New Roman" w:eastAsia="宋体" w:cs="Times New Roman"/>
          <w:kern w:val="2"/>
          <w:sz w:val="21"/>
          <w:szCs w:val="24"/>
          <w:highlight w:val="none"/>
          <w:lang w:val="en-US" w:eastAsia="zh-CN" w:bidi="ar"/>
        </w:rPr>
        <w:t>套、城管智能巡查应用</w:t>
      </w:r>
      <w:r>
        <w:rPr>
          <w:rFonts w:hint="default" w:ascii="Times New Roman" w:hAnsi="Times New Roman" w:eastAsia="宋体" w:cs="Times New Roman"/>
          <w:kern w:val="2"/>
          <w:sz w:val="21"/>
          <w:szCs w:val="24"/>
          <w:highlight w:val="none"/>
          <w:lang w:val="en-US" w:eastAsia="zh-CN" w:bidi="ar"/>
        </w:rPr>
        <w:t>1</w:t>
      </w:r>
      <w:r>
        <w:rPr>
          <w:rFonts w:hint="eastAsia" w:ascii="Times New Roman" w:hAnsi="Times New Roman" w:eastAsia="宋体" w:cs="Times New Roman"/>
          <w:kern w:val="2"/>
          <w:sz w:val="21"/>
          <w:szCs w:val="24"/>
          <w:highlight w:val="none"/>
          <w:lang w:val="en-US" w:eastAsia="zh-CN" w:bidi="ar"/>
        </w:rPr>
        <w:t>套、</w:t>
      </w:r>
      <w:r>
        <w:rPr>
          <w:rFonts w:hint="default" w:ascii="Times New Roman" w:hAnsi="Times New Roman" w:eastAsia="宋体" w:cs="Times New Roman"/>
          <w:kern w:val="2"/>
          <w:sz w:val="21"/>
          <w:szCs w:val="24"/>
          <w:highlight w:val="none"/>
          <w:lang w:val="en-US" w:eastAsia="zh-CN" w:bidi="ar"/>
        </w:rPr>
        <w:t>AR</w:t>
      </w:r>
      <w:r>
        <w:rPr>
          <w:rFonts w:hint="eastAsia" w:ascii="Times New Roman" w:hAnsi="Times New Roman" w:eastAsia="宋体" w:cs="Times New Roman"/>
          <w:kern w:val="2"/>
          <w:sz w:val="21"/>
          <w:szCs w:val="24"/>
          <w:highlight w:val="none"/>
          <w:lang w:val="en-US" w:eastAsia="zh-CN" w:bidi="ar"/>
        </w:rPr>
        <w:t>实景地图应用</w:t>
      </w:r>
      <w:r>
        <w:rPr>
          <w:rFonts w:hint="default" w:ascii="Times New Roman" w:hAnsi="Times New Roman" w:eastAsia="宋体" w:cs="Times New Roman"/>
          <w:kern w:val="2"/>
          <w:sz w:val="21"/>
          <w:szCs w:val="24"/>
          <w:highlight w:val="none"/>
          <w:lang w:val="en-US" w:eastAsia="zh-CN" w:bidi="ar"/>
        </w:rPr>
        <w:t>1</w:t>
      </w:r>
      <w:r>
        <w:rPr>
          <w:rFonts w:hint="eastAsia" w:ascii="Times New Roman" w:hAnsi="Times New Roman" w:eastAsia="宋体" w:cs="Times New Roman"/>
          <w:kern w:val="2"/>
          <w:sz w:val="21"/>
          <w:szCs w:val="24"/>
          <w:highlight w:val="none"/>
          <w:lang w:val="en-US" w:eastAsia="zh-CN" w:bidi="ar"/>
        </w:rPr>
        <w:t>套。升级平台功能，提升人脸识别、车辆识别和智能快速搜索功能；通过对平台整合的高清视频资源进行智能分析处理，针对影响市容环境、环境卫生等不良行为进行分析和自动告警，并能够根据素材进行不断的机器学习和完善优化。</w:t>
      </w:r>
    </w:p>
    <w:p>
      <w:pPr>
        <w:tabs>
          <w:tab w:val="left" w:pos="426"/>
        </w:tabs>
        <w:ind w:firstLine="420" w:firstLineChars="200"/>
        <w:rPr>
          <w:rFonts w:hint="eastAsia"/>
          <w:szCs w:val="21"/>
          <w:highlight w:val="none"/>
          <w:lang w:val="en-US"/>
        </w:rPr>
      </w:pPr>
      <w:r>
        <w:rPr>
          <w:rFonts w:hint="eastAsia"/>
          <w:szCs w:val="21"/>
          <w:highlight w:val="none"/>
          <w:lang w:val="en-US" w:eastAsia="zh-CN"/>
        </w:rPr>
        <w:t>（3）智能显控系统建设：安装数据沙盘1套，对接现有管理平台的数据以及其他各类业务系统数据，提供数据可视化平台。</w:t>
      </w:r>
    </w:p>
    <w:p>
      <w:pPr>
        <w:tabs>
          <w:tab w:val="left" w:pos="426"/>
        </w:tabs>
        <w:ind w:firstLine="420" w:firstLineChars="200"/>
        <w:rPr>
          <w:rFonts w:hint="eastAsia"/>
          <w:szCs w:val="21"/>
          <w:highlight w:val="none"/>
        </w:rPr>
      </w:pPr>
      <w:r>
        <w:rPr>
          <w:rFonts w:hint="eastAsia"/>
          <w:szCs w:val="21"/>
          <w:highlight w:val="none"/>
          <w:lang w:val="en-US" w:eastAsia="zh-CN"/>
        </w:rPr>
        <w:t>（4）计算存储资源扩容：安装服务器8台、交换机2台、智慧城管分析一体机1台、视频云存储设备8台</w:t>
      </w:r>
      <w:r>
        <w:rPr>
          <w:rFonts w:hint="eastAsia" w:ascii="Times New Roman" w:hAnsi="Times New Roman" w:eastAsia="宋体" w:cs="Times New Roman"/>
          <w:kern w:val="2"/>
          <w:sz w:val="21"/>
          <w:szCs w:val="24"/>
          <w:highlight w:val="none"/>
          <w:lang w:val="en-US" w:eastAsia="zh-CN" w:bidi="ar"/>
        </w:rPr>
        <w:t>，支撑前端摄像头视频资源存储及相关应用建设</w:t>
      </w:r>
      <w:r>
        <w:rPr>
          <w:rFonts w:hint="eastAsia"/>
          <w:szCs w:val="21"/>
          <w:highlight w:val="none"/>
          <w:lang w:val="en-US" w:eastAsia="zh-CN"/>
        </w:rPr>
        <w:t>。</w:t>
      </w:r>
    </w:p>
    <w:p>
      <w:pPr>
        <w:shd w:val="clear" w:color="auto" w:fill="FFFFFF"/>
        <w:tabs>
          <w:tab w:val="left" w:pos="426"/>
        </w:tabs>
        <w:spacing w:beforeLines="0" w:afterLines="0"/>
        <w:ind w:firstLine="420" w:firstLineChars="200"/>
        <w:rPr>
          <w:rFonts w:hint="eastAsia" w:ascii="黑体" w:eastAsia="黑体"/>
          <w:color w:val="auto"/>
          <w:sz w:val="24"/>
          <w:highlight w:val="none"/>
        </w:rPr>
      </w:pPr>
      <w:r>
        <w:rPr>
          <w:rFonts w:hint="eastAsia"/>
          <w:szCs w:val="21"/>
          <w:highlight w:val="none"/>
        </w:rPr>
        <w:t>（</w:t>
      </w:r>
      <w:r>
        <w:rPr>
          <w:rFonts w:hint="eastAsia"/>
          <w:szCs w:val="21"/>
          <w:highlight w:val="none"/>
          <w:lang w:val="en-US" w:eastAsia="zh-CN"/>
        </w:rPr>
        <w:t>5</w:t>
      </w:r>
      <w:r>
        <w:rPr>
          <w:rFonts w:hint="eastAsia"/>
          <w:szCs w:val="21"/>
          <w:highlight w:val="none"/>
        </w:rPr>
        <w:t>）</w:t>
      </w:r>
      <w:r>
        <w:rPr>
          <w:rFonts w:hint="eastAsia"/>
          <w:szCs w:val="21"/>
          <w:highlight w:val="none"/>
          <w:lang w:eastAsia="zh-CN"/>
        </w:rPr>
        <w:t>根据需要，</w:t>
      </w:r>
      <w:r>
        <w:rPr>
          <w:rFonts w:hint="eastAsia"/>
          <w:szCs w:val="21"/>
          <w:highlight w:val="none"/>
        </w:rPr>
        <w:t>与前海已有的视频需求资源对接</w:t>
      </w:r>
      <w:r>
        <w:rPr>
          <w:rFonts w:hint="eastAsia"/>
          <w:szCs w:val="21"/>
          <w:highlight w:val="none"/>
          <w:lang w:eastAsia="zh-CN"/>
        </w:rPr>
        <w:t>，配合完成与其他政府部门视频联网对接，以及与前海管理局其他业务系统对接</w:t>
      </w:r>
      <w:r>
        <w:rPr>
          <w:rFonts w:hint="eastAsia"/>
          <w:szCs w:val="21"/>
          <w:highlight w:val="none"/>
        </w:rPr>
        <w:t>。</w:t>
      </w:r>
    </w:p>
    <w:p>
      <w:pPr>
        <w:tabs>
          <w:tab w:val="left" w:pos="426"/>
        </w:tabs>
        <w:spacing w:before="160" w:beforeLines="0" w:after="160" w:afterLines="0"/>
        <w:ind w:left="0" w:firstLine="422" w:firstLineChars="200"/>
        <w:outlineLvl w:val="1"/>
        <w:rPr>
          <w:rFonts w:hint="eastAsia" w:ascii="Times New Roman" w:eastAsia="宋体" w:cs="Arial"/>
          <w:b/>
          <w:color w:val="auto"/>
          <w:sz w:val="21"/>
          <w:szCs w:val="21"/>
          <w:highlight w:val="none"/>
        </w:rPr>
      </w:pPr>
      <w:bookmarkStart w:id="337" w:name="_Toc8650"/>
      <w:bookmarkStart w:id="338" w:name="_Toc29551"/>
      <w:bookmarkStart w:id="339" w:name="_Toc17908"/>
      <w:bookmarkStart w:id="340" w:name="_Toc11676"/>
      <w:r>
        <w:rPr>
          <w:rFonts w:hint="eastAsia" w:ascii="Times New Roman" w:eastAsia="宋体" w:cs="Arial"/>
          <w:b/>
          <w:color w:val="auto"/>
          <w:sz w:val="21"/>
          <w:szCs w:val="21"/>
          <w:highlight w:val="none"/>
          <w:lang w:eastAsia="zh-CN"/>
        </w:rPr>
        <w:t>（二）</w:t>
      </w:r>
      <w:r>
        <w:rPr>
          <w:rFonts w:hint="eastAsia" w:ascii="Times New Roman" w:eastAsia="宋体" w:cs="Arial"/>
          <w:b/>
          <w:color w:val="auto"/>
          <w:sz w:val="21"/>
          <w:szCs w:val="21"/>
          <w:highlight w:val="none"/>
        </w:rPr>
        <w:t>监理的服务内容</w:t>
      </w:r>
      <w:bookmarkEnd w:id="337"/>
      <w:bookmarkEnd w:id="338"/>
      <w:bookmarkEnd w:id="339"/>
      <w:bookmarkEnd w:id="340"/>
    </w:p>
    <w:p>
      <w:pPr>
        <w:tabs>
          <w:tab w:val="left" w:pos="426"/>
        </w:tabs>
        <w:spacing w:beforeLines="0" w:afterLines="0"/>
        <w:ind w:firstLine="420" w:firstLineChars="200"/>
        <w:rPr>
          <w:color w:val="auto"/>
          <w:szCs w:val="21"/>
          <w:highlight w:val="none"/>
        </w:rPr>
      </w:pPr>
      <w:r>
        <w:rPr>
          <w:rFonts w:hint="eastAsia"/>
          <w:color w:val="auto"/>
          <w:szCs w:val="21"/>
          <w:highlight w:val="none"/>
        </w:rPr>
        <w:t>监理人应按投标时的承诺与合同的约定，派出监理工作需要的监理机构及监理人员，向委托人报送委派的总监理工程师及其监理机构主要成员名单、监理规划，完成监理合同专用条件中约定的监理工程范围内的监理业务。监理人应依据本合同所授权限，承担施工承包合同和监理规范中规定或涉及的全部现场监理工作。各阶段监理还包括但不限于以下内容：</w:t>
      </w:r>
    </w:p>
    <w:p>
      <w:pPr>
        <w:tabs>
          <w:tab w:val="left" w:pos="426"/>
        </w:tabs>
        <w:spacing w:beforeLines="0" w:afterLines="0"/>
        <w:ind w:firstLine="420" w:firstLineChars="200"/>
        <w:rPr>
          <w:color w:val="auto"/>
          <w:szCs w:val="21"/>
          <w:highlight w:val="none"/>
        </w:rPr>
      </w:pPr>
      <w:r>
        <w:rPr>
          <w:rFonts w:hint="eastAsia"/>
          <w:color w:val="auto"/>
          <w:szCs w:val="21"/>
          <w:highlight w:val="none"/>
        </w:rPr>
        <w:t>1、施工阶段</w:t>
      </w:r>
    </w:p>
    <w:p>
      <w:pPr>
        <w:tabs>
          <w:tab w:val="left" w:pos="426"/>
        </w:tabs>
        <w:spacing w:beforeLines="0" w:afterLines="0"/>
        <w:ind w:firstLine="420" w:firstLineChars="200"/>
        <w:rPr>
          <w:color w:val="auto"/>
          <w:szCs w:val="21"/>
          <w:highlight w:val="none"/>
        </w:rPr>
      </w:pPr>
      <w:r>
        <w:rPr>
          <w:rFonts w:hint="eastAsia"/>
          <w:color w:val="auto"/>
          <w:szCs w:val="21"/>
          <w:highlight w:val="none"/>
        </w:rPr>
        <w:t>施工过程中的质量、进度、费用控制，安全生产监督管理、合同、信息等方面的协调管理。</w:t>
      </w:r>
    </w:p>
    <w:p>
      <w:pPr>
        <w:tabs>
          <w:tab w:val="left" w:pos="426"/>
        </w:tabs>
        <w:spacing w:beforeLines="0" w:afterLines="0"/>
        <w:ind w:firstLine="420" w:firstLineChars="200"/>
        <w:rPr>
          <w:color w:val="auto"/>
          <w:szCs w:val="21"/>
          <w:highlight w:val="none"/>
        </w:rPr>
      </w:pPr>
      <w:r>
        <w:rPr>
          <w:rFonts w:hint="eastAsia"/>
          <w:color w:val="auto"/>
          <w:szCs w:val="21"/>
          <w:highlight w:val="none"/>
        </w:rPr>
        <w:t>⑴ 审核承建商编写的开工报告，核查建设工程办理计划立项、规划许可、招标投标、工程质量监督、施工安全监督、施工许可等情况，审查承建商及其从业人员资质，督促工程建设依法进行；</w:t>
      </w:r>
    </w:p>
    <w:p>
      <w:pPr>
        <w:tabs>
          <w:tab w:val="left" w:pos="426"/>
        </w:tabs>
        <w:spacing w:beforeLines="0" w:afterLines="0"/>
        <w:ind w:firstLine="420" w:firstLineChars="200"/>
        <w:rPr>
          <w:color w:val="auto"/>
          <w:szCs w:val="21"/>
          <w:highlight w:val="none"/>
        </w:rPr>
      </w:pPr>
      <w:r>
        <w:rPr>
          <w:rFonts w:hint="eastAsia"/>
          <w:color w:val="auto"/>
          <w:szCs w:val="21"/>
          <w:highlight w:val="none"/>
        </w:rPr>
        <w:t xml:space="preserve">⑵组织施工图纸会审； </w:t>
      </w:r>
    </w:p>
    <w:p>
      <w:pPr>
        <w:tabs>
          <w:tab w:val="left" w:pos="426"/>
        </w:tabs>
        <w:spacing w:beforeLines="0" w:afterLines="0"/>
        <w:ind w:firstLine="420" w:firstLineChars="200"/>
        <w:rPr>
          <w:color w:val="auto"/>
          <w:szCs w:val="21"/>
          <w:highlight w:val="none"/>
        </w:rPr>
      </w:pPr>
      <w:r>
        <w:rPr>
          <w:rFonts w:hint="eastAsia"/>
          <w:color w:val="auto"/>
          <w:szCs w:val="21"/>
          <w:highlight w:val="none"/>
        </w:rPr>
        <w:t>⑶审核承建商提出的施工组织设计、施工技术方案、施工进度计划、施工质量保证体系和施工安全保证体系；</w:t>
      </w:r>
    </w:p>
    <w:p>
      <w:pPr>
        <w:tabs>
          <w:tab w:val="left" w:pos="426"/>
        </w:tabs>
        <w:spacing w:beforeLines="0" w:afterLines="0"/>
        <w:ind w:firstLine="420" w:firstLineChars="200"/>
        <w:rPr>
          <w:color w:val="auto"/>
          <w:szCs w:val="21"/>
          <w:highlight w:val="none"/>
        </w:rPr>
      </w:pPr>
      <w:r>
        <w:rPr>
          <w:rFonts w:hint="eastAsia"/>
          <w:color w:val="auto"/>
          <w:szCs w:val="21"/>
          <w:highlight w:val="none"/>
        </w:rPr>
        <w:t xml:space="preserve">⑷督促、检查承建商严格执行工程承包合同和国家强制性技术标准； </w:t>
      </w:r>
    </w:p>
    <w:p>
      <w:pPr>
        <w:tabs>
          <w:tab w:val="left" w:pos="426"/>
        </w:tabs>
        <w:spacing w:beforeLines="0" w:afterLines="0"/>
        <w:ind w:firstLine="420" w:firstLineChars="200"/>
        <w:rPr>
          <w:color w:val="auto"/>
          <w:szCs w:val="21"/>
          <w:highlight w:val="none"/>
        </w:rPr>
      </w:pPr>
      <w:r>
        <w:rPr>
          <w:rFonts w:hint="eastAsia"/>
          <w:color w:val="auto"/>
          <w:szCs w:val="21"/>
          <w:highlight w:val="none"/>
        </w:rPr>
        <w:t>⑸查验承建商或者建设单位提供的材料、配件和设备的数量及质量；</w:t>
      </w:r>
    </w:p>
    <w:p>
      <w:pPr>
        <w:tabs>
          <w:tab w:val="left" w:pos="426"/>
        </w:tabs>
        <w:spacing w:beforeLines="0" w:afterLines="0"/>
        <w:ind w:firstLine="420" w:firstLineChars="200"/>
        <w:rPr>
          <w:color w:val="auto"/>
          <w:szCs w:val="21"/>
          <w:highlight w:val="none"/>
        </w:rPr>
      </w:pPr>
      <w:r>
        <w:rPr>
          <w:rFonts w:hint="eastAsia"/>
          <w:color w:val="auto"/>
          <w:szCs w:val="21"/>
          <w:highlight w:val="none"/>
        </w:rPr>
        <w:t xml:space="preserve">⑹控制工程进度、质量和投资，督促承建商落实施工安全保证措施； </w:t>
      </w:r>
    </w:p>
    <w:p>
      <w:pPr>
        <w:tabs>
          <w:tab w:val="left" w:pos="426"/>
        </w:tabs>
        <w:spacing w:beforeLines="0" w:afterLines="0"/>
        <w:ind w:firstLine="420" w:firstLineChars="200"/>
        <w:rPr>
          <w:color w:val="auto"/>
          <w:szCs w:val="21"/>
          <w:highlight w:val="none"/>
        </w:rPr>
      </w:pPr>
      <w:r>
        <w:rPr>
          <w:rFonts w:hint="eastAsia"/>
          <w:color w:val="auto"/>
          <w:szCs w:val="21"/>
          <w:highlight w:val="none"/>
        </w:rPr>
        <w:t>⑺组织分部、分项工程和隐蔽工程的检查、验收；</w:t>
      </w:r>
    </w:p>
    <w:p>
      <w:pPr>
        <w:tabs>
          <w:tab w:val="left" w:pos="426"/>
        </w:tabs>
        <w:spacing w:beforeLines="0" w:afterLines="0"/>
        <w:ind w:firstLine="420" w:firstLineChars="200"/>
        <w:rPr>
          <w:color w:val="auto"/>
          <w:szCs w:val="21"/>
          <w:highlight w:val="none"/>
        </w:rPr>
      </w:pPr>
      <w:r>
        <w:rPr>
          <w:rFonts w:hint="eastAsia"/>
          <w:color w:val="auto"/>
          <w:szCs w:val="21"/>
          <w:highlight w:val="none"/>
        </w:rPr>
        <w:t>⑻负责施工现场签证，处理工程变更的其他事宜；</w:t>
      </w:r>
    </w:p>
    <w:p>
      <w:pPr>
        <w:tabs>
          <w:tab w:val="left" w:pos="426"/>
        </w:tabs>
        <w:spacing w:beforeLines="0" w:afterLines="0"/>
        <w:ind w:firstLine="420" w:firstLineChars="200"/>
        <w:rPr>
          <w:color w:val="auto"/>
          <w:szCs w:val="21"/>
          <w:highlight w:val="none"/>
        </w:rPr>
      </w:pPr>
      <w:r>
        <w:rPr>
          <w:rFonts w:hint="eastAsia"/>
          <w:color w:val="auto"/>
          <w:szCs w:val="21"/>
          <w:highlight w:val="none"/>
        </w:rPr>
        <w:t>⑼签发工程付款凭证；</w:t>
      </w:r>
    </w:p>
    <w:p>
      <w:pPr>
        <w:tabs>
          <w:tab w:val="left" w:pos="426"/>
        </w:tabs>
        <w:spacing w:beforeLines="0" w:afterLines="0"/>
        <w:ind w:firstLine="420" w:firstLineChars="200"/>
        <w:rPr>
          <w:color w:val="auto"/>
          <w:szCs w:val="21"/>
          <w:highlight w:val="none"/>
        </w:rPr>
      </w:pPr>
      <w:r>
        <w:rPr>
          <w:rFonts w:hint="eastAsia"/>
          <w:color w:val="auto"/>
          <w:szCs w:val="21"/>
          <w:highlight w:val="none"/>
        </w:rPr>
        <w:t>⑽督促承建商整理合同文件和技术档案资料；</w:t>
      </w:r>
    </w:p>
    <w:p>
      <w:pPr>
        <w:tabs>
          <w:tab w:val="left" w:pos="426"/>
        </w:tabs>
        <w:spacing w:beforeLines="0" w:afterLines="0"/>
        <w:ind w:firstLine="420" w:firstLineChars="200"/>
        <w:rPr>
          <w:color w:val="auto"/>
          <w:szCs w:val="21"/>
          <w:highlight w:val="none"/>
        </w:rPr>
      </w:pPr>
      <w:r>
        <w:rPr>
          <w:rFonts w:hint="eastAsia"/>
          <w:color w:val="auto"/>
          <w:szCs w:val="21"/>
          <w:highlight w:val="none"/>
        </w:rPr>
        <w:t>⑾组织工程竣工初步验收；</w:t>
      </w:r>
    </w:p>
    <w:p>
      <w:pPr>
        <w:tabs>
          <w:tab w:val="left" w:pos="426"/>
        </w:tabs>
        <w:spacing w:beforeLines="0" w:afterLines="0"/>
        <w:ind w:firstLine="420" w:firstLineChars="200"/>
        <w:rPr>
          <w:color w:val="auto"/>
          <w:szCs w:val="21"/>
          <w:highlight w:val="none"/>
        </w:rPr>
      </w:pPr>
      <w:r>
        <w:rPr>
          <w:rFonts w:hint="eastAsia"/>
          <w:color w:val="auto"/>
          <w:szCs w:val="21"/>
          <w:highlight w:val="none"/>
        </w:rPr>
        <w:t>⑿督促建设工程办理竣工验收及其备案手续。</w:t>
      </w:r>
    </w:p>
    <w:p>
      <w:pPr>
        <w:tabs>
          <w:tab w:val="left" w:pos="426"/>
        </w:tabs>
        <w:spacing w:beforeLines="0" w:afterLines="0"/>
        <w:ind w:firstLine="420" w:firstLineChars="200"/>
        <w:rPr>
          <w:color w:val="auto"/>
          <w:szCs w:val="21"/>
          <w:highlight w:val="none"/>
        </w:rPr>
      </w:pPr>
      <w:r>
        <w:rPr>
          <w:rFonts w:hint="eastAsia"/>
          <w:color w:val="auto"/>
          <w:szCs w:val="21"/>
          <w:highlight w:val="none"/>
        </w:rPr>
        <w:t>⒀协助</w:t>
      </w:r>
      <w:r>
        <w:rPr>
          <w:rFonts w:hint="eastAsia"/>
          <w:color w:val="auto"/>
          <w:szCs w:val="21"/>
          <w:highlight w:val="none"/>
          <w:lang w:val="en-US" w:eastAsia="zh-CN"/>
        </w:rPr>
        <w:t>委托人</w:t>
      </w:r>
      <w:r>
        <w:rPr>
          <w:rFonts w:hint="eastAsia"/>
          <w:color w:val="auto"/>
          <w:szCs w:val="21"/>
          <w:highlight w:val="none"/>
        </w:rPr>
        <w:t>办理审计手续。</w:t>
      </w:r>
    </w:p>
    <w:p>
      <w:pPr>
        <w:tabs>
          <w:tab w:val="left" w:pos="426"/>
        </w:tabs>
        <w:spacing w:beforeLines="0" w:afterLines="0"/>
        <w:ind w:firstLine="420" w:firstLineChars="200"/>
        <w:rPr>
          <w:color w:val="auto"/>
          <w:szCs w:val="21"/>
          <w:highlight w:val="none"/>
        </w:rPr>
      </w:pPr>
      <w:r>
        <w:rPr>
          <w:rFonts w:hint="eastAsia"/>
          <w:color w:val="auto"/>
          <w:szCs w:val="21"/>
          <w:highlight w:val="none"/>
        </w:rPr>
        <w:t>2、保修阶段</w:t>
      </w:r>
    </w:p>
    <w:p>
      <w:pPr>
        <w:tabs>
          <w:tab w:val="left" w:pos="426"/>
        </w:tabs>
        <w:spacing w:beforeLines="0" w:afterLines="0"/>
        <w:ind w:firstLine="420" w:firstLineChars="200"/>
        <w:rPr>
          <w:color w:val="auto"/>
          <w:szCs w:val="21"/>
          <w:highlight w:val="none"/>
        </w:rPr>
      </w:pPr>
      <w:r>
        <w:rPr>
          <w:rFonts w:hint="eastAsia"/>
          <w:color w:val="auto"/>
          <w:szCs w:val="21"/>
          <w:highlight w:val="none"/>
        </w:rPr>
        <w:t>⑴ 督促承建商回访；</w:t>
      </w:r>
    </w:p>
    <w:p>
      <w:pPr>
        <w:tabs>
          <w:tab w:val="left" w:pos="426"/>
        </w:tabs>
        <w:spacing w:beforeLines="0" w:afterLines="0"/>
        <w:ind w:firstLine="420" w:firstLineChars="200"/>
        <w:rPr>
          <w:color w:val="auto"/>
          <w:szCs w:val="21"/>
          <w:highlight w:val="none"/>
        </w:rPr>
      </w:pPr>
      <w:r>
        <w:rPr>
          <w:rFonts w:hint="eastAsia"/>
          <w:color w:val="auto"/>
          <w:szCs w:val="21"/>
          <w:highlight w:val="none"/>
        </w:rPr>
        <w:t>⑵ 参与鉴定质量责任；</w:t>
      </w:r>
    </w:p>
    <w:p>
      <w:pPr>
        <w:tabs>
          <w:tab w:val="left" w:pos="426"/>
        </w:tabs>
        <w:spacing w:beforeLines="0" w:afterLines="0"/>
        <w:ind w:firstLine="420" w:firstLineChars="200"/>
        <w:rPr>
          <w:color w:val="auto"/>
          <w:szCs w:val="21"/>
          <w:highlight w:val="none"/>
        </w:rPr>
      </w:pPr>
      <w:r>
        <w:rPr>
          <w:rFonts w:hint="eastAsia"/>
          <w:color w:val="auto"/>
          <w:szCs w:val="21"/>
          <w:highlight w:val="none"/>
        </w:rPr>
        <w:t>⑶ 监督工程保修直至达到规定的质量标准。</w:t>
      </w:r>
    </w:p>
    <w:p>
      <w:pPr>
        <w:tabs>
          <w:tab w:val="left" w:pos="426"/>
        </w:tabs>
        <w:spacing w:beforeLines="0" w:afterLines="0"/>
        <w:ind w:firstLine="420" w:firstLineChars="200"/>
        <w:rPr>
          <w:color w:val="auto"/>
          <w:szCs w:val="21"/>
          <w:highlight w:val="none"/>
        </w:rPr>
      </w:pPr>
      <w:r>
        <w:rPr>
          <w:rFonts w:hint="eastAsia"/>
          <w:color w:val="auto"/>
          <w:szCs w:val="21"/>
          <w:highlight w:val="none"/>
        </w:rPr>
        <w:t>⑷ 协助承建商办理终验手续。</w:t>
      </w:r>
    </w:p>
    <w:p>
      <w:pPr>
        <w:tabs>
          <w:tab w:val="left" w:pos="426"/>
        </w:tabs>
        <w:spacing w:before="160" w:beforeLines="0" w:after="160" w:afterLines="0"/>
        <w:ind w:left="0" w:firstLine="422" w:firstLineChars="200"/>
        <w:outlineLvl w:val="1"/>
        <w:rPr>
          <w:rFonts w:hint="eastAsia" w:ascii="Times New Roman" w:eastAsia="宋体" w:cs="Arial"/>
          <w:b/>
          <w:color w:val="auto"/>
          <w:sz w:val="21"/>
          <w:szCs w:val="21"/>
          <w:highlight w:val="none"/>
        </w:rPr>
      </w:pPr>
      <w:bookmarkStart w:id="341" w:name="_Toc24913"/>
      <w:bookmarkStart w:id="342" w:name="_Toc5602"/>
      <w:bookmarkStart w:id="343" w:name="_Toc17079"/>
      <w:bookmarkStart w:id="344" w:name="_Toc23866"/>
      <w:r>
        <w:rPr>
          <w:rFonts w:hint="eastAsia" w:ascii="Times New Roman" w:eastAsia="宋体" w:cs="Arial"/>
          <w:b/>
          <w:color w:val="auto"/>
          <w:sz w:val="21"/>
          <w:szCs w:val="21"/>
          <w:highlight w:val="none"/>
          <w:lang w:eastAsia="zh-CN"/>
        </w:rPr>
        <w:t>（三）</w:t>
      </w:r>
      <w:r>
        <w:rPr>
          <w:rFonts w:hint="eastAsia" w:ascii="Times New Roman" w:eastAsia="宋体" w:cs="Arial"/>
          <w:b/>
          <w:color w:val="auto"/>
          <w:sz w:val="21"/>
          <w:szCs w:val="21"/>
          <w:highlight w:val="none"/>
        </w:rPr>
        <w:t>项目管理要求</w:t>
      </w:r>
      <w:bookmarkEnd w:id="341"/>
      <w:bookmarkEnd w:id="342"/>
      <w:bookmarkEnd w:id="343"/>
      <w:bookmarkEnd w:id="344"/>
    </w:p>
    <w:p>
      <w:pPr>
        <w:tabs>
          <w:tab w:val="left" w:pos="426"/>
        </w:tabs>
        <w:spacing w:beforeLines="0" w:afterLines="0"/>
        <w:ind w:firstLine="420" w:firstLineChars="200"/>
        <w:rPr>
          <w:color w:val="auto"/>
          <w:szCs w:val="21"/>
          <w:highlight w:val="none"/>
        </w:rPr>
      </w:pPr>
      <w:r>
        <w:rPr>
          <w:rFonts w:hint="eastAsia"/>
          <w:color w:val="auto"/>
          <w:szCs w:val="21"/>
          <w:highlight w:val="none"/>
        </w:rPr>
        <w:t>1、项目人员安排要求</w:t>
      </w:r>
    </w:p>
    <w:p>
      <w:pPr>
        <w:tabs>
          <w:tab w:val="left" w:pos="426"/>
        </w:tabs>
        <w:spacing w:beforeLines="0" w:afterLines="0"/>
        <w:ind w:firstLine="420" w:firstLineChars="200"/>
        <w:rPr>
          <w:color w:val="auto"/>
          <w:szCs w:val="21"/>
          <w:highlight w:val="none"/>
        </w:rPr>
      </w:pPr>
      <w:r>
        <w:rPr>
          <w:rFonts w:hint="eastAsia"/>
          <w:color w:val="auto"/>
          <w:szCs w:val="21"/>
          <w:highlight w:val="none"/>
        </w:rPr>
        <w:t>1.1人员数量要求：</w:t>
      </w:r>
      <w:r>
        <w:rPr>
          <w:rFonts w:hint="eastAsia"/>
          <w:szCs w:val="21"/>
        </w:rPr>
        <w:t>中标单位在本项目必须有2名常驻现场监理工程师，总监理工程师必须保证每天到项目现场；中标单位应设置1名机动监理人员，根据项目进度安排及招标单位要求进场开展监理工作。</w:t>
      </w:r>
    </w:p>
    <w:p>
      <w:pPr>
        <w:tabs>
          <w:tab w:val="left" w:pos="426"/>
        </w:tabs>
        <w:spacing w:beforeLines="0" w:afterLines="0"/>
        <w:ind w:firstLine="420" w:firstLineChars="200"/>
        <w:rPr>
          <w:color w:val="auto"/>
          <w:szCs w:val="21"/>
          <w:highlight w:val="none"/>
        </w:rPr>
      </w:pPr>
      <w:r>
        <w:rPr>
          <w:rFonts w:hint="eastAsia"/>
          <w:color w:val="auto"/>
          <w:szCs w:val="21"/>
          <w:highlight w:val="none"/>
        </w:rPr>
        <w:t>1.2投标单位拟投入本项目的项目负责人及项目团队成员应具有相关工作经验，其职称、学位、证书、资历等相关情况将作为评分的重要因素。</w:t>
      </w:r>
    </w:p>
    <w:p>
      <w:pPr>
        <w:tabs>
          <w:tab w:val="left" w:pos="426"/>
        </w:tabs>
        <w:spacing w:beforeLines="0" w:afterLines="0"/>
        <w:ind w:firstLine="420" w:firstLineChars="200"/>
        <w:rPr>
          <w:color w:val="auto"/>
          <w:szCs w:val="21"/>
          <w:highlight w:val="none"/>
        </w:rPr>
      </w:pPr>
      <w:r>
        <w:rPr>
          <w:rFonts w:hint="eastAsia"/>
          <w:color w:val="auto"/>
          <w:szCs w:val="21"/>
          <w:highlight w:val="none"/>
        </w:rPr>
        <w:t>1.3未经招标单位同意，中标单位不得随意更换总监理工程师和现场监理工程师。</w:t>
      </w:r>
    </w:p>
    <w:p>
      <w:pPr>
        <w:tabs>
          <w:tab w:val="left" w:pos="426"/>
        </w:tabs>
        <w:spacing w:beforeLines="0" w:afterLines="0"/>
        <w:ind w:firstLine="420" w:firstLineChars="200"/>
        <w:rPr>
          <w:color w:val="auto"/>
          <w:szCs w:val="21"/>
          <w:highlight w:val="none"/>
        </w:rPr>
      </w:pPr>
      <w:r>
        <w:rPr>
          <w:rFonts w:hint="eastAsia"/>
          <w:color w:val="auto"/>
          <w:szCs w:val="21"/>
          <w:highlight w:val="none"/>
        </w:rPr>
        <w:t>当监理工程师发生以下所列行为之一的，经招标单位要求，可以更换监理工程师：</w:t>
      </w:r>
    </w:p>
    <w:p>
      <w:pPr>
        <w:tabs>
          <w:tab w:val="left" w:pos="426"/>
        </w:tabs>
        <w:spacing w:beforeLines="0" w:afterLines="0"/>
        <w:ind w:firstLine="420" w:firstLineChars="200"/>
        <w:rPr>
          <w:color w:val="auto"/>
          <w:szCs w:val="21"/>
          <w:highlight w:val="none"/>
        </w:rPr>
      </w:pPr>
      <w:r>
        <w:rPr>
          <w:rFonts w:hint="eastAsia"/>
          <w:color w:val="auto"/>
          <w:szCs w:val="21"/>
          <w:highlight w:val="none"/>
        </w:rPr>
        <w:t>1）在项目管理中不到岗或未认真履行岗位职责；</w:t>
      </w:r>
    </w:p>
    <w:p>
      <w:pPr>
        <w:tabs>
          <w:tab w:val="left" w:pos="426"/>
        </w:tabs>
        <w:spacing w:beforeLines="0" w:afterLines="0"/>
        <w:ind w:firstLine="420" w:firstLineChars="200"/>
        <w:rPr>
          <w:color w:val="auto"/>
          <w:szCs w:val="21"/>
          <w:highlight w:val="none"/>
        </w:rPr>
      </w:pPr>
      <w:r>
        <w:rPr>
          <w:rFonts w:hint="eastAsia"/>
          <w:color w:val="auto"/>
          <w:szCs w:val="21"/>
          <w:highlight w:val="none"/>
        </w:rPr>
        <w:t>2）管理的项目发生重大质量、安全责任事故；</w:t>
      </w:r>
    </w:p>
    <w:p>
      <w:pPr>
        <w:tabs>
          <w:tab w:val="left" w:pos="426"/>
        </w:tabs>
        <w:spacing w:beforeLines="0" w:afterLines="0"/>
        <w:ind w:firstLine="420" w:firstLineChars="200"/>
        <w:rPr>
          <w:color w:val="auto"/>
          <w:szCs w:val="21"/>
          <w:highlight w:val="none"/>
        </w:rPr>
      </w:pPr>
      <w:r>
        <w:rPr>
          <w:rFonts w:hint="eastAsia"/>
          <w:color w:val="auto"/>
          <w:szCs w:val="21"/>
          <w:highlight w:val="none"/>
        </w:rPr>
        <w:t>3）严重违法违规行为；</w:t>
      </w:r>
    </w:p>
    <w:p>
      <w:pPr>
        <w:tabs>
          <w:tab w:val="left" w:pos="426"/>
        </w:tabs>
        <w:spacing w:beforeLines="0" w:afterLines="0"/>
        <w:ind w:firstLine="420" w:firstLineChars="200"/>
        <w:rPr>
          <w:color w:val="auto"/>
          <w:szCs w:val="21"/>
          <w:highlight w:val="none"/>
        </w:rPr>
      </w:pPr>
      <w:r>
        <w:rPr>
          <w:rFonts w:hint="eastAsia"/>
          <w:color w:val="auto"/>
          <w:szCs w:val="21"/>
          <w:highlight w:val="none"/>
        </w:rPr>
        <w:t>4）因身体原因（应有市级及以上医院证明）不能胜任项目管理工作的；</w:t>
      </w:r>
    </w:p>
    <w:p>
      <w:pPr>
        <w:tabs>
          <w:tab w:val="left" w:pos="426"/>
        </w:tabs>
        <w:spacing w:beforeLines="0" w:afterLines="0"/>
        <w:ind w:firstLine="420" w:firstLineChars="200"/>
        <w:rPr>
          <w:color w:val="auto"/>
          <w:szCs w:val="21"/>
          <w:highlight w:val="none"/>
        </w:rPr>
      </w:pPr>
      <w:r>
        <w:rPr>
          <w:rFonts w:hint="eastAsia"/>
          <w:color w:val="auto"/>
          <w:szCs w:val="21"/>
          <w:highlight w:val="none"/>
        </w:rPr>
        <w:t>5）其它不可抗拒的原因。</w:t>
      </w:r>
    </w:p>
    <w:p>
      <w:pPr>
        <w:tabs>
          <w:tab w:val="left" w:pos="426"/>
        </w:tabs>
        <w:spacing w:beforeLines="0" w:afterLines="0"/>
        <w:ind w:firstLine="420" w:firstLineChars="200"/>
        <w:rPr>
          <w:color w:val="auto"/>
          <w:szCs w:val="21"/>
          <w:highlight w:val="none"/>
        </w:rPr>
      </w:pPr>
      <w:r>
        <w:rPr>
          <w:rFonts w:hint="eastAsia"/>
          <w:color w:val="auto"/>
          <w:szCs w:val="21"/>
          <w:highlight w:val="none"/>
        </w:rPr>
        <w:t>2、项目其他要求</w:t>
      </w:r>
    </w:p>
    <w:p>
      <w:pPr>
        <w:tabs>
          <w:tab w:val="left" w:pos="426"/>
        </w:tabs>
        <w:spacing w:beforeLines="0" w:afterLines="0"/>
        <w:ind w:firstLine="420" w:firstLineChars="200"/>
        <w:rPr>
          <w:color w:val="auto"/>
          <w:szCs w:val="21"/>
          <w:highlight w:val="none"/>
        </w:rPr>
      </w:pPr>
      <w:r>
        <w:rPr>
          <w:rFonts w:hint="eastAsia"/>
          <w:color w:val="auto"/>
          <w:szCs w:val="21"/>
          <w:highlight w:val="none"/>
        </w:rPr>
        <w:t>2.1项目监理重点难点分析</w:t>
      </w:r>
    </w:p>
    <w:p>
      <w:pPr>
        <w:tabs>
          <w:tab w:val="left" w:pos="426"/>
        </w:tabs>
        <w:spacing w:beforeLines="0" w:afterLines="0"/>
        <w:ind w:firstLine="420" w:firstLineChars="200"/>
        <w:rPr>
          <w:color w:val="auto"/>
          <w:szCs w:val="21"/>
          <w:highlight w:val="none"/>
        </w:rPr>
      </w:pPr>
      <w:r>
        <w:rPr>
          <w:rFonts w:hint="eastAsia"/>
          <w:color w:val="auto"/>
          <w:szCs w:val="21"/>
          <w:highlight w:val="none"/>
        </w:rPr>
        <w:t>投标单位应根据建设工程涉及面广、涉及部门多、建设规模大、建设内容多、建设难度大的特点，从实际出发分析本项目监理工作的重点、难点，并根据分析的结果制定相应的监理工作规划、对策和策略，以便日后有针对性的开展信息系统工程的监理服务工作。</w:t>
      </w:r>
    </w:p>
    <w:p>
      <w:pPr>
        <w:tabs>
          <w:tab w:val="left" w:pos="426"/>
        </w:tabs>
        <w:spacing w:beforeLines="0" w:afterLines="0"/>
        <w:ind w:firstLine="420" w:firstLineChars="200"/>
        <w:rPr>
          <w:color w:val="auto"/>
          <w:szCs w:val="21"/>
          <w:highlight w:val="none"/>
        </w:rPr>
      </w:pPr>
      <w:r>
        <w:rPr>
          <w:rFonts w:hint="eastAsia"/>
          <w:color w:val="auto"/>
          <w:szCs w:val="21"/>
          <w:highlight w:val="none"/>
        </w:rPr>
        <w:t>2.2监理工作验收</w:t>
      </w:r>
    </w:p>
    <w:p>
      <w:pPr>
        <w:tabs>
          <w:tab w:val="left" w:pos="426"/>
        </w:tabs>
        <w:spacing w:beforeLines="0" w:afterLines="0"/>
        <w:ind w:firstLine="420" w:firstLineChars="200"/>
        <w:rPr>
          <w:color w:val="auto"/>
          <w:szCs w:val="21"/>
          <w:highlight w:val="none"/>
        </w:rPr>
      </w:pPr>
      <w:r>
        <w:rPr>
          <w:rFonts w:hint="eastAsia"/>
          <w:color w:val="auto"/>
          <w:szCs w:val="21"/>
          <w:highlight w:val="none"/>
        </w:rPr>
        <w:t>1）通过审核监理单位应提交的各类监理文档和最终监理总结报告，综合评估监理单位在项目建设进度、质量把关、重难点问题解决、项目投资等方面的监理情况。在文档齐全，项目建设过程中没有出现重大质量事故，项目整体通过验收前提下予以验收。</w:t>
      </w:r>
    </w:p>
    <w:p>
      <w:pPr>
        <w:tabs>
          <w:tab w:val="left" w:pos="426"/>
        </w:tabs>
        <w:spacing w:beforeLines="0" w:afterLines="0"/>
        <w:ind w:firstLine="420" w:firstLineChars="200"/>
        <w:rPr>
          <w:color w:val="auto"/>
          <w:szCs w:val="21"/>
          <w:highlight w:val="none"/>
        </w:rPr>
      </w:pPr>
      <w:r>
        <w:rPr>
          <w:rFonts w:hint="eastAsia"/>
          <w:color w:val="auto"/>
          <w:szCs w:val="21"/>
          <w:highlight w:val="none"/>
        </w:rPr>
        <w:t>2）本监理工作的最终验收由双方联合组织验收小组验收。</w:t>
      </w:r>
    </w:p>
    <w:p>
      <w:pPr>
        <w:tabs>
          <w:tab w:val="left" w:pos="426"/>
        </w:tabs>
        <w:spacing w:before="160" w:beforeLines="0" w:after="160" w:afterLines="0"/>
        <w:ind w:left="0" w:firstLine="422" w:firstLineChars="200"/>
        <w:outlineLvl w:val="1"/>
        <w:rPr>
          <w:rFonts w:hint="eastAsia" w:ascii="Times New Roman" w:eastAsia="宋体" w:cs="Arial"/>
          <w:b/>
          <w:color w:val="auto"/>
          <w:sz w:val="21"/>
          <w:szCs w:val="21"/>
          <w:highlight w:val="none"/>
        </w:rPr>
      </w:pPr>
      <w:bookmarkStart w:id="345" w:name="_Toc12718"/>
      <w:bookmarkStart w:id="346" w:name="_Toc25794"/>
      <w:bookmarkStart w:id="347" w:name="_Toc13177"/>
      <w:bookmarkStart w:id="348" w:name="_Toc30865"/>
      <w:r>
        <w:rPr>
          <w:rFonts w:hint="eastAsia" w:ascii="Times New Roman" w:eastAsia="宋体" w:cs="Arial"/>
          <w:b/>
          <w:color w:val="auto"/>
          <w:sz w:val="21"/>
          <w:szCs w:val="21"/>
          <w:highlight w:val="none"/>
          <w:lang w:eastAsia="zh-CN"/>
        </w:rPr>
        <w:t>（四）</w:t>
      </w:r>
      <w:r>
        <w:rPr>
          <w:rFonts w:hint="eastAsia" w:ascii="Times New Roman" w:eastAsia="宋体" w:cs="Arial"/>
          <w:b/>
          <w:color w:val="auto"/>
          <w:sz w:val="21"/>
          <w:szCs w:val="21"/>
          <w:highlight w:val="none"/>
        </w:rPr>
        <w:t>项目技术要求</w:t>
      </w:r>
      <w:bookmarkEnd w:id="345"/>
      <w:bookmarkEnd w:id="346"/>
      <w:bookmarkEnd w:id="347"/>
      <w:bookmarkEnd w:id="348"/>
    </w:p>
    <w:p>
      <w:pPr>
        <w:tabs>
          <w:tab w:val="left" w:pos="426"/>
        </w:tabs>
        <w:spacing w:beforeLines="0" w:afterLines="0"/>
        <w:ind w:firstLine="420" w:firstLineChars="200"/>
        <w:rPr>
          <w:color w:val="auto"/>
          <w:szCs w:val="21"/>
          <w:highlight w:val="none"/>
        </w:rPr>
      </w:pPr>
      <w:r>
        <w:rPr>
          <w:rFonts w:hint="eastAsia"/>
          <w:color w:val="auto"/>
          <w:szCs w:val="21"/>
          <w:highlight w:val="none"/>
        </w:rPr>
        <w:t>以项目建设合同、监理委托合同、国家有关法规、技术规范与标准、项目招标单位需求为依据，协助招标单位全面地进行深化设计、项目管理、技术咨询和技术监督，对项目全过程进行咨询、监督、管理、指导、评价，并采取相应的组织措施、技术措施、经济措施和合同措施，确保建设行为合法、合理、科学、经济，使建设进度、投资、质量达到建设合同规定的目标。主要包括：</w:t>
      </w:r>
    </w:p>
    <w:p>
      <w:pPr>
        <w:tabs>
          <w:tab w:val="left" w:pos="426"/>
        </w:tabs>
        <w:spacing w:beforeLines="0" w:afterLines="0"/>
        <w:ind w:firstLine="420" w:firstLineChars="200"/>
        <w:rPr>
          <w:color w:val="auto"/>
          <w:szCs w:val="21"/>
          <w:highlight w:val="none"/>
        </w:rPr>
      </w:pPr>
      <w:r>
        <w:rPr>
          <w:rFonts w:hint="eastAsia"/>
          <w:color w:val="auto"/>
          <w:szCs w:val="21"/>
          <w:highlight w:val="none"/>
        </w:rPr>
        <w:t>1、投资目标</w:t>
      </w:r>
    </w:p>
    <w:p>
      <w:pPr>
        <w:tabs>
          <w:tab w:val="left" w:pos="426"/>
        </w:tabs>
        <w:spacing w:beforeLines="0" w:afterLines="0"/>
        <w:ind w:firstLine="420" w:firstLineChars="200"/>
        <w:rPr>
          <w:color w:val="auto"/>
          <w:szCs w:val="21"/>
          <w:highlight w:val="none"/>
        </w:rPr>
      </w:pPr>
      <w:r>
        <w:rPr>
          <w:rFonts w:hint="eastAsia"/>
          <w:color w:val="auto"/>
          <w:szCs w:val="21"/>
          <w:highlight w:val="none"/>
        </w:rPr>
        <w:t>通过对项目实施方案的优化，确保投资控制在合理、性价比高的范围内，并为招标单位付款提供足够的依据；协助招标单位做好项目支付预算的现金流量表，将付款进度与项目质量和进度结合起来；制定相关的变更控制流程，严格控制系统建设过程中各类设计变更，保证招标单位投资的效果；当发现资金使用严重偏离计划时，应及时指出，并提出对策建议，同时督促承建单位尽快采取措施。</w:t>
      </w:r>
    </w:p>
    <w:p>
      <w:pPr>
        <w:tabs>
          <w:tab w:val="left" w:pos="426"/>
        </w:tabs>
        <w:spacing w:beforeLines="0" w:afterLines="0"/>
        <w:ind w:firstLine="420" w:firstLineChars="200"/>
        <w:rPr>
          <w:color w:val="auto"/>
          <w:szCs w:val="21"/>
          <w:highlight w:val="none"/>
        </w:rPr>
      </w:pPr>
      <w:r>
        <w:rPr>
          <w:rFonts w:hint="eastAsia"/>
          <w:color w:val="auto"/>
          <w:szCs w:val="21"/>
          <w:highlight w:val="none"/>
        </w:rPr>
        <w:t>2、质量目标</w:t>
      </w:r>
    </w:p>
    <w:p>
      <w:pPr>
        <w:tabs>
          <w:tab w:val="left" w:pos="426"/>
        </w:tabs>
        <w:spacing w:beforeLines="0" w:afterLines="0"/>
        <w:ind w:firstLine="420" w:firstLineChars="200"/>
        <w:rPr>
          <w:color w:val="auto"/>
          <w:szCs w:val="21"/>
          <w:highlight w:val="none"/>
        </w:rPr>
      </w:pPr>
      <w:r>
        <w:rPr>
          <w:rFonts w:hint="eastAsia"/>
          <w:color w:val="auto"/>
          <w:szCs w:val="21"/>
          <w:highlight w:val="none"/>
        </w:rPr>
        <w:t>确保</w:t>
      </w:r>
      <w:r>
        <w:rPr>
          <w:rFonts w:hint="eastAsia"/>
          <w:color w:val="auto"/>
          <w:szCs w:val="21"/>
          <w:highlight w:val="none"/>
          <w:lang w:eastAsia="zh-CN"/>
        </w:rPr>
        <w:t>智慧前海视频云平台二期项目</w:t>
      </w:r>
      <w:r>
        <w:rPr>
          <w:rFonts w:hint="eastAsia"/>
          <w:color w:val="auto"/>
          <w:szCs w:val="21"/>
          <w:highlight w:val="none"/>
        </w:rPr>
        <w:t>监理质量能达到实际服务要求的质量目标,确保项目建设质量达到项目合同中规定的质量目标；要求监理在整个项目实施过程中做好对质量的事前控制，事中监督和事后评估，以确保项目质量合格；投标单位应针对本项目建设提出信息系统工程监理的质量控制原则、方法、措施、工作流程和目标。</w:t>
      </w:r>
    </w:p>
    <w:p>
      <w:pPr>
        <w:tabs>
          <w:tab w:val="left" w:pos="426"/>
        </w:tabs>
        <w:spacing w:beforeLines="0" w:afterLines="0"/>
        <w:ind w:firstLine="420" w:firstLineChars="200"/>
        <w:rPr>
          <w:color w:val="auto"/>
          <w:szCs w:val="21"/>
          <w:highlight w:val="none"/>
        </w:rPr>
      </w:pPr>
      <w:r>
        <w:rPr>
          <w:rFonts w:hint="eastAsia"/>
          <w:color w:val="auto"/>
          <w:szCs w:val="21"/>
          <w:highlight w:val="none"/>
        </w:rPr>
        <w:t>包括但不限于以下工作：</w:t>
      </w:r>
    </w:p>
    <w:p>
      <w:pPr>
        <w:tabs>
          <w:tab w:val="left" w:pos="426"/>
        </w:tabs>
        <w:spacing w:beforeLines="0" w:afterLines="0"/>
        <w:ind w:firstLine="420" w:firstLineChars="200"/>
        <w:rPr>
          <w:color w:val="auto"/>
          <w:szCs w:val="21"/>
          <w:highlight w:val="none"/>
        </w:rPr>
      </w:pPr>
      <w:r>
        <w:rPr>
          <w:rFonts w:hint="eastAsia"/>
          <w:color w:val="auto"/>
          <w:szCs w:val="21"/>
          <w:highlight w:val="none"/>
        </w:rPr>
        <w:t>协助招标单位进行详细需求设计方案的审核和确认；</w:t>
      </w:r>
    </w:p>
    <w:p>
      <w:pPr>
        <w:tabs>
          <w:tab w:val="left" w:pos="426"/>
        </w:tabs>
        <w:spacing w:beforeLines="0" w:afterLines="0"/>
        <w:ind w:firstLine="420" w:firstLineChars="200"/>
        <w:rPr>
          <w:color w:val="auto"/>
          <w:szCs w:val="21"/>
          <w:highlight w:val="none"/>
        </w:rPr>
      </w:pPr>
      <w:r>
        <w:rPr>
          <w:rFonts w:hint="eastAsia"/>
          <w:color w:val="auto"/>
          <w:szCs w:val="21"/>
          <w:highlight w:val="none"/>
        </w:rPr>
        <w:t>协助招标单位审核硬件与支撑软件选型方案、质量进行检验、测试和验收审核；</w:t>
      </w:r>
    </w:p>
    <w:p>
      <w:pPr>
        <w:tabs>
          <w:tab w:val="left" w:pos="426"/>
        </w:tabs>
        <w:spacing w:beforeLines="0" w:afterLines="0"/>
        <w:ind w:firstLine="420" w:firstLineChars="200"/>
        <w:rPr>
          <w:color w:val="auto"/>
          <w:szCs w:val="21"/>
          <w:highlight w:val="none"/>
        </w:rPr>
      </w:pPr>
      <w:r>
        <w:rPr>
          <w:rFonts w:hint="eastAsia"/>
          <w:color w:val="auto"/>
          <w:szCs w:val="21"/>
          <w:highlight w:val="none"/>
        </w:rPr>
        <w:t>对承建单位的建设质量进行审核；</w:t>
      </w:r>
    </w:p>
    <w:p>
      <w:pPr>
        <w:tabs>
          <w:tab w:val="left" w:pos="426"/>
        </w:tabs>
        <w:spacing w:beforeLines="0" w:afterLines="0"/>
        <w:ind w:firstLine="420" w:firstLineChars="200"/>
        <w:rPr>
          <w:color w:val="auto"/>
          <w:szCs w:val="21"/>
          <w:highlight w:val="none"/>
        </w:rPr>
      </w:pPr>
      <w:r>
        <w:rPr>
          <w:rFonts w:hint="eastAsia"/>
          <w:color w:val="auto"/>
          <w:szCs w:val="21"/>
          <w:highlight w:val="none"/>
        </w:rPr>
        <w:t>对承建单位技术培训质量的控制，审核确认承建单位的培训计划、培训总结报告。</w:t>
      </w:r>
    </w:p>
    <w:p>
      <w:pPr>
        <w:tabs>
          <w:tab w:val="left" w:pos="426"/>
        </w:tabs>
        <w:spacing w:beforeLines="0" w:afterLines="0"/>
        <w:ind w:firstLine="420" w:firstLineChars="200"/>
        <w:rPr>
          <w:color w:val="auto"/>
          <w:szCs w:val="21"/>
          <w:highlight w:val="none"/>
        </w:rPr>
      </w:pPr>
      <w:r>
        <w:rPr>
          <w:rFonts w:hint="eastAsia"/>
          <w:color w:val="auto"/>
          <w:szCs w:val="21"/>
          <w:highlight w:val="none"/>
        </w:rPr>
        <w:t>3、进度目标</w:t>
      </w:r>
    </w:p>
    <w:p>
      <w:pPr>
        <w:tabs>
          <w:tab w:val="left" w:pos="426"/>
        </w:tabs>
        <w:spacing w:beforeLines="0" w:afterLines="0"/>
        <w:ind w:firstLine="420" w:firstLineChars="200"/>
        <w:rPr>
          <w:color w:val="auto"/>
          <w:szCs w:val="21"/>
          <w:highlight w:val="none"/>
        </w:rPr>
      </w:pPr>
      <w:r>
        <w:rPr>
          <w:rFonts w:hint="eastAsia"/>
          <w:color w:val="auto"/>
          <w:szCs w:val="21"/>
          <w:highlight w:val="none"/>
        </w:rPr>
        <w:t>确保</w:t>
      </w:r>
      <w:r>
        <w:rPr>
          <w:rFonts w:hint="eastAsia"/>
          <w:color w:val="auto"/>
          <w:szCs w:val="21"/>
          <w:highlight w:val="none"/>
          <w:lang w:eastAsia="zh-CN"/>
        </w:rPr>
        <w:t>智慧前海视频云平台二期项目</w:t>
      </w:r>
      <w:r>
        <w:rPr>
          <w:rFonts w:hint="eastAsia"/>
          <w:color w:val="auto"/>
          <w:szCs w:val="21"/>
          <w:highlight w:val="none"/>
        </w:rPr>
        <w:t>按项目承包合同规定的工期完工；</w:t>
      </w:r>
    </w:p>
    <w:p>
      <w:pPr>
        <w:tabs>
          <w:tab w:val="left" w:pos="426"/>
        </w:tabs>
        <w:spacing w:beforeLines="0" w:afterLines="0"/>
        <w:ind w:firstLine="420" w:firstLineChars="200"/>
        <w:rPr>
          <w:color w:val="auto"/>
          <w:szCs w:val="21"/>
          <w:highlight w:val="none"/>
        </w:rPr>
      </w:pPr>
      <w:r>
        <w:rPr>
          <w:rFonts w:hint="eastAsia"/>
          <w:color w:val="auto"/>
          <w:szCs w:val="21"/>
          <w:highlight w:val="none"/>
        </w:rPr>
        <w:t>对项目实施进度进行实时跟踪，必要时要求承建单位对进度计划进行动态调整，以确保项目的阶段和总体进度目标的实施；当工期严重偏离计划时，应及时指出，并提出对策建议，同时督促承建单位尽快采取措施。</w:t>
      </w:r>
    </w:p>
    <w:p>
      <w:pPr>
        <w:tabs>
          <w:tab w:val="left" w:pos="426"/>
        </w:tabs>
        <w:spacing w:beforeLines="0" w:afterLines="0"/>
        <w:ind w:firstLine="420" w:firstLineChars="200"/>
        <w:rPr>
          <w:color w:val="auto"/>
          <w:szCs w:val="21"/>
          <w:highlight w:val="none"/>
        </w:rPr>
      </w:pPr>
      <w:r>
        <w:rPr>
          <w:rFonts w:hint="eastAsia"/>
          <w:color w:val="auto"/>
          <w:szCs w:val="21"/>
          <w:highlight w:val="none"/>
        </w:rPr>
        <w:t>4、合同管理目标</w:t>
      </w:r>
    </w:p>
    <w:p>
      <w:pPr>
        <w:tabs>
          <w:tab w:val="left" w:pos="426"/>
        </w:tabs>
        <w:spacing w:beforeLines="0" w:afterLines="0"/>
        <w:ind w:firstLine="420" w:firstLineChars="200"/>
        <w:rPr>
          <w:color w:val="auto"/>
          <w:szCs w:val="21"/>
          <w:highlight w:val="none"/>
        </w:rPr>
      </w:pPr>
      <w:r>
        <w:rPr>
          <w:rFonts w:hint="eastAsia"/>
          <w:color w:val="auto"/>
          <w:szCs w:val="21"/>
          <w:highlight w:val="none"/>
        </w:rPr>
        <w:t>对项目的合同、各种文档提供可靠的审核和质量保证。保障与项目建设有关的其他合同顺利履行，确保工程建设各项目标的达成。并考虑合同管理的目的和效率，明确工作范围管理、人员管理、费用管理、工作计划管理、工作实施管理等。</w:t>
      </w:r>
    </w:p>
    <w:p>
      <w:pPr>
        <w:tabs>
          <w:tab w:val="left" w:pos="426"/>
        </w:tabs>
        <w:spacing w:beforeLines="0" w:afterLines="0"/>
        <w:ind w:firstLine="420" w:firstLineChars="200"/>
        <w:rPr>
          <w:color w:val="auto"/>
          <w:szCs w:val="21"/>
          <w:highlight w:val="none"/>
        </w:rPr>
      </w:pPr>
      <w:r>
        <w:rPr>
          <w:rFonts w:hint="eastAsia"/>
          <w:color w:val="auto"/>
          <w:szCs w:val="21"/>
          <w:highlight w:val="none"/>
        </w:rPr>
        <w:t>5、文档管理目标</w:t>
      </w:r>
    </w:p>
    <w:p>
      <w:pPr>
        <w:tabs>
          <w:tab w:val="left" w:pos="426"/>
        </w:tabs>
        <w:spacing w:beforeLines="0" w:afterLines="0"/>
        <w:ind w:firstLine="420" w:firstLineChars="200"/>
        <w:rPr>
          <w:color w:val="auto"/>
          <w:szCs w:val="21"/>
          <w:highlight w:val="none"/>
        </w:rPr>
      </w:pPr>
      <w:r>
        <w:rPr>
          <w:rFonts w:hint="eastAsia"/>
          <w:color w:val="auto"/>
          <w:szCs w:val="21"/>
          <w:highlight w:val="none"/>
        </w:rPr>
        <w:t>对项目文档进行标准化、规范化的制作和管理，确保建设项目实施过程中产生的全部文档及时、完整、有效。</w:t>
      </w:r>
    </w:p>
    <w:p>
      <w:pPr>
        <w:tabs>
          <w:tab w:val="left" w:pos="426"/>
        </w:tabs>
        <w:spacing w:before="160" w:beforeLines="0" w:after="160" w:afterLines="0"/>
        <w:ind w:left="0" w:firstLine="422" w:firstLineChars="200"/>
        <w:outlineLvl w:val="1"/>
        <w:rPr>
          <w:rFonts w:hint="eastAsia" w:ascii="Times New Roman" w:eastAsia="宋体" w:cs="Arial"/>
          <w:b/>
          <w:color w:val="auto"/>
          <w:sz w:val="21"/>
          <w:szCs w:val="21"/>
          <w:highlight w:val="none"/>
        </w:rPr>
      </w:pPr>
      <w:bookmarkStart w:id="349" w:name="_Toc18653"/>
      <w:bookmarkStart w:id="350" w:name="_Toc30533"/>
      <w:bookmarkStart w:id="351" w:name="_Toc26458"/>
      <w:bookmarkStart w:id="352" w:name="_Toc15751"/>
      <w:r>
        <w:rPr>
          <w:rFonts w:hint="eastAsia" w:ascii="Times New Roman" w:eastAsia="宋体" w:cs="Arial"/>
          <w:b/>
          <w:color w:val="auto"/>
          <w:sz w:val="21"/>
          <w:szCs w:val="21"/>
          <w:highlight w:val="none"/>
          <w:lang w:eastAsia="zh-CN"/>
        </w:rPr>
        <w:t>（五）</w:t>
      </w:r>
      <w:r>
        <w:rPr>
          <w:rFonts w:hint="eastAsia" w:ascii="Times New Roman" w:eastAsia="宋体" w:cs="Arial"/>
          <w:b/>
          <w:color w:val="auto"/>
          <w:sz w:val="21"/>
          <w:szCs w:val="21"/>
          <w:highlight w:val="none"/>
        </w:rPr>
        <w:t>服务要求</w:t>
      </w:r>
      <w:bookmarkEnd w:id="349"/>
      <w:bookmarkEnd w:id="350"/>
      <w:bookmarkEnd w:id="351"/>
      <w:bookmarkEnd w:id="352"/>
    </w:p>
    <w:p>
      <w:pPr>
        <w:tabs>
          <w:tab w:val="left" w:pos="426"/>
        </w:tabs>
        <w:spacing w:beforeLines="0" w:afterLines="0"/>
        <w:ind w:firstLine="420" w:firstLineChars="200"/>
        <w:rPr>
          <w:color w:val="auto"/>
          <w:szCs w:val="21"/>
          <w:highlight w:val="none"/>
        </w:rPr>
      </w:pPr>
      <w:r>
        <w:rPr>
          <w:rFonts w:hint="eastAsia"/>
          <w:color w:val="auto"/>
          <w:szCs w:val="21"/>
          <w:highlight w:val="none"/>
        </w:rPr>
        <w:t>1、项目监理要点</w:t>
      </w:r>
    </w:p>
    <w:p>
      <w:pPr>
        <w:tabs>
          <w:tab w:val="left" w:pos="426"/>
        </w:tabs>
        <w:spacing w:beforeLines="0" w:afterLines="0"/>
        <w:ind w:firstLine="420" w:firstLineChars="200"/>
        <w:rPr>
          <w:color w:val="auto"/>
          <w:szCs w:val="21"/>
          <w:highlight w:val="none"/>
        </w:rPr>
      </w:pPr>
      <w:r>
        <w:rPr>
          <w:rFonts w:hint="eastAsia"/>
          <w:color w:val="auto"/>
          <w:szCs w:val="21"/>
          <w:highlight w:val="none"/>
        </w:rPr>
        <w:t>1.1材料控制</w:t>
      </w:r>
    </w:p>
    <w:p>
      <w:pPr>
        <w:tabs>
          <w:tab w:val="left" w:pos="426"/>
        </w:tabs>
        <w:spacing w:beforeLines="0" w:afterLines="0"/>
        <w:ind w:firstLine="420" w:firstLineChars="200"/>
        <w:rPr>
          <w:color w:val="auto"/>
          <w:szCs w:val="21"/>
          <w:highlight w:val="none"/>
        </w:rPr>
      </w:pPr>
      <w:r>
        <w:rPr>
          <w:rFonts w:hint="eastAsia"/>
          <w:color w:val="auto"/>
          <w:szCs w:val="21"/>
          <w:highlight w:val="none"/>
        </w:rPr>
        <w:t>协助招标单位管理好采购合同，对采购计划进行监督与控制，审核、验收、移交符合合同和相关标准的材料。主要工作为以下内容：</w:t>
      </w:r>
    </w:p>
    <w:p>
      <w:pPr>
        <w:tabs>
          <w:tab w:val="left" w:pos="426"/>
        </w:tabs>
        <w:spacing w:beforeLines="0" w:afterLines="0"/>
        <w:ind w:firstLine="420" w:firstLineChars="200"/>
        <w:rPr>
          <w:color w:val="auto"/>
          <w:szCs w:val="21"/>
          <w:highlight w:val="none"/>
        </w:rPr>
      </w:pPr>
      <w:r>
        <w:rPr>
          <w:rFonts w:hint="eastAsia"/>
          <w:color w:val="auto"/>
          <w:szCs w:val="21"/>
          <w:highlight w:val="none"/>
        </w:rPr>
        <w:t>1）审核承建单位的材料采购计划和材料采购清单；</w:t>
      </w:r>
    </w:p>
    <w:p>
      <w:pPr>
        <w:tabs>
          <w:tab w:val="left" w:pos="426"/>
        </w:tabs>
        <w:spacing w:beforeLines="0" w:afterLines="0"/>
        <w:ind w:firstLine="420" w:firstLineChars="200"/>
        <w:rPr>
          <w:color w:val="auto"/>
          <w:szCs w:val="21"/>
          <w:highlight w:val="none"/>
        </w:rPr>
      </w:pPr>
      <w:r>
        <w:rPr>
          <w:rFonts w:hint="eastAsia"/>
          <w:color w:val="auto"/>
          <w:szCs w:val="21"/>
          <w:highlight w:val="none"/>
        </w:rPr>
        <w:t>2）审核材料的质量和到货时间；</w:t>
      </w:r>
    </w:p>
    <w:p>
      <w:pPr>
        <w:tabs>
          <w:tab w:val="left" w:pos="426"/>
        </w:tabs>
        <w:spacing w:beforeLines="0" w:afterLines="0"/>
        <w:ind w:firstLine="420" w:firstLineChars="200"/>
        <w:rPr>
          <w:color w:val="auto"/>
          <w:szCs w:val="21"/>
          <w:highlight w:val="none"/>
        </w:rPr>
      </w:pPr>
      <w:r>
        <w:rPr>
          <w:rFonts w:hint="eastAsia"/>
          <w:color w:val="auto"/>
          <w:szCs w:val="21"/>
          <w:highlight w:val="none"/>
        </w:rPr>
        <w:t>3）组织到货验收，三方现场开箱；发现短缺或破损，及时要求材料提供商补发或免费更换；</w:t>
      </w:r>
    </w:p>
    <w:p>
      <w:pPr>
        <w:tabs>
          <w:tab w:val="left" w:pos="426"/>
        </w:tabs>
        <w:spacing w:beforeLines="0" w:afterLines="0"/>
        <w:ind w:firstLine="420" w:firstLineChars="200"/>
        <w:rPr>
          <w:color w:val="auto"/>
          <w:szCs w:val="21"/>
          <w:highlight w:val="none"/>
        </w:rPr>
      </w:pPr>
      <w:r>
        <w:rPr>
          <w:rFonts w:hint="eastAsia"/>
          <w:color w:val="auto"/>
          <w:szCs w:val="21"/>
          <w:highlight w:val="none"/>
        </w:rPr>
        <w:t>4）审核材料到货清单是否与材料采购清单相符、到货材料是否与合同所规定的规格相符，做好记录；审核到货材料的合格证明、渠道、供应商保证书等证明文件是否齐全、真实，必要时利用测试工具进行评估和测试；</w:t>
      </w:r>
    </w:p>
    <w:p>
      <w:pPr>
        <w:tabs>
          <w:tab w:val="left" w:pos="426"/>
        </w:tabs>
        <w:spacing w:beforeLines="0" w:afterLines="0"/>
        <w:ind w:firstLine="420" w:firstLineChars="200"/>
        <w:rPr>
          <w:color w:val="auto"/>
          <w:szCs w:val="21"/>
          <w:highlight w:val="none"/>
        </w:rPr>
      </w:pPr>
      <w:r>
        <w:rPr>
          <w:rFonts w:hint="eastAsia"/>
          <w:color w:val="auto"/>
          <w:szCs w:val="21"/>
          <w:highlight w:val="none"/>
        </w:rPr>
        <w:t>5）审核材料移交、提交材料到货验收报告；</w:t>
      </w:r>
    </w:p>
    <w:p>
      <w:pPr>
        <w:tabs>
          <w:tab w:val="left" w:pos="426"/>
        </w:tabs>
        <w:spacing w:beforeLines="0" w:afterLines="0"/>
        <w:ind w:firstLine="420" w:firstLineChars="200"/>
        <w:rPr>
          <w:color w:val="auto"/>
          <w:szCs w:val="21"/>
          <w:highlight w:val="none"/>
        </w:rPr>
      </w:pPr>
      <w:r>
        <w:rPr>
          <w:rFonts w:hint="eastAsia"/>
          <w:color w:val="auto"/>
          <w:szCs w:val="21"/>
          <w:highlight w:val="none"/>
        </w:rPr>
        <w:t>注：此阶段要求承建单位提前三天通知招标单位和中标单位材料到达时间和地点，并提交交货清单。</w:t>
      </w:r>
    </w:p>
    <w:p>
      <w:pPr>
        <w:tabs>
          <w:tab w:val="left" w:pos="426"/>
        </w:tabs>
        <w:spacing w:beforeLines="0" w:afterLines="0"/>
        <w:ind w:firstLine="420" w:firstLineChars="200"/>
        <w:rPr>
          <w:color w:val="auto"/>
          <w:szCs w:val="21"/>
          <w:highlight w:val="none"/>
        </w:rPr>
      </w:pPr>
      <w:r>
        <w:rPr>
          <w:rFonts w:hint="eastAsia"/>
          <w:color w:val="auto"/>
          <w:szCs w:val="21"/>
          <w:highlight w:val="none"/>
        </w:rPr>
        <w:t>1.2质量控制</w:t>
      </w:r>
    </w:p>
    <w:p>
      <w:pPr>
        <w:tabs>
          <w:tab w:val="left" w:pos="426"/>
        </w:tabs>
        <w:spacing w:beforeLines="0" w:afterLines="0"/>
        <w:ind w:firstLine="420" w:firstLineChars="200"/>
        <w:rPr>
          <w:color w:val="auto"/>
          <w:szCs w:val="21"/>
          <w:highlight w:val="none"/>
        </w:rPr>
      </w:pPr>
      <w:r>
        <w:rPr>
          <w:color w:val="auto"/>
          <w:szCs w:val="21"/>
          <w:highlight w:val="none"/>
        </w:rPr>
        <w:tab/>
      </w:r>
      <w:r>
        <w:rPr>
          <w:rFonts w:hint="eastAsia"/>
          <w:color w:val="auto"/>
          <w:szCs w:val="21"/>
          <w:highlight w:val="none"/>
        </w:rPr>
        <w:t>1）依据有关的招标文件、投标文件、合同和设计单位制定的技术规范书，审查、监督、控制项目建设的质量；</w:t>
      </w:r>
    </w:p>
    <w:p>
      <w:pPr>
        <w:tabs>
          <w:tab w:val="left" w:pos="426"/>
        </w:tabs>
        <w:spacing w:beforeLines="0" w:afterLines="0"/>
        <w:ind w:firstLine="420" w:firstLineChars="200"/>
        <w:rPr>
          <w:color w:val="auto"/>
          <w:szCs w:val="21"/>
          <w:highlight w:val="none"/>
        </w:rPr>
      </w:pPr>
      <w:r>
        <w:rPr>
          <w:rFonts w:hint="eastAsia"/>
          <w:color w:val="auto"/>
          <w:szCs w:val="21"/>
          <w:highlight w:val="none"/>
        </w:rPr>
        <w:t>2）采取事前预防、事中控制、事后纠正的监理方式，依据国家法律、法规、标准以及项目合同、设计方案、监理规划、监理实施细则等文件控制工程质量；</w:t>
      </w:r>
    </w:p>
    <w:p>
      <w:pPr>
        <w:tabs>
          <w:tab w:val="left" w:pos="426"/>
        </w:tabs>
        <w:spacing w:beforeLines="0" w:afterLines="0"/>
        <w:ind w:firstLine="420" w:firstLineChars="200"/>
        <w:rPr>
          <w:color w:val="auto"/>
          <w:szCs w:val="21"/>
          <w:highlight w:val="none"/>
        </w:rPr>
      </w:pPr>
      <w:r>
        <w:rPr>
          <w:rFonts w:hint="eastAsia"/>
          <w:color w:val="auto"/>
          <w:szCs w:val="21"/>
          <w:highlight w:val="none"/>
        </w:rPr>
        <w:t>3）组织项目质量事故的原因调查、问题分析、问题评估、事故处理；</w:t>
      </w:r>
    </w:p>
    <w:p>
      <w:pPr>
        <w:tabs>
          <w:tab w:val="left" w:pos="426"/>
        </w:tabs>
        <w:spacing w:beforeLines="0" w:afterLines="0"/>
        <w:ind w:firstLine="420" w:firstLineChars="200"/>
        <w:rPr>
          <w:color w:val="auto"/>
          <w:szCs w:val="21"/>
          <w:highlight w:val="none"/>
        </w:rPr>
      </w:pPr>
      <w:r>
        <w:rPr>
          <w:rFonts w:hint="eastAsia"/>
          <w:color w:val="auto"/>
          <w:szCs w:val="21"/>
          <w:highlight w:val="none"/>
        </w:rPr>
        <w:t>4）监督系统项目需求管理、配置管理的执行和控制情况，督促整改存在的问题；</w:t>
      </w:r>
    </w:p>
    <w:p>
      <w:pPr>
        <w:tabs>
          <w:tab w:val="left" w:pos="426"/>
        </w:tabs>
        <w:spacing w:beforeLines="0" w:afterLines="0"/>
        <w:ind w:firstLine="420" w:firstLineChars="200"/>
        <w:rPr>
          <w:color w:val="auto"/>
          <w:szCs w:val="21"/>
          <w:highlight w:val="none"/>
        </w:rPr>
      </w:pPr>
      <w:r>
        <w:rPr>
          <w:rFonts w:hint="eastAsia"/>
          <w:color w:val="auto"/>
          <w:szCs w:val="21"/>
          <w:highlight w:val="none"/>
        </w:rPr>
        <w:t>5）跟踪各子项目在质保期内的运行状况，督促实施方做好售后及</w:t>
      </w:r>
      <w:r>
        <w:rPr>
          <w:color w:val="auto"/>
          <w:szCs w:val="21"/>
          <w:highlight w:val="none"/>
        </w:rPr>
        <w:t>保修</w:t>
      </w:r>
      <w:r>
        <w:rPr>
          <w:rFonts w:hint="eastAsia"/>
          <w:color w:val="auto"/>
          <w:szCs w:val="21"/>
          <w:highlight w:val="none"/>
        </w:rPr>
        <w:t>服务。</w:t>
      </w:r>
    </w:p>
    <w:p>
      <w:pPr>
        <w:tabs>
          <w:tab w:val="left" w:pos="426"/>
        </w:tabs>
        <w:spacing w:beforeLines="0" w:afterLines="0"/>
        <w:ind w:firstLine="420" w:firstLineChars="200"/>
        <w:rPr>
          <w:color w:val="auto"/>
          <w:szCs w:val="21"/>
          <w:highlight w:val="none"/>
        </w:rPr>
      </w:pPr>
      <w:r>
        <w:rPr>
          <w:rFonts w:hint="eastAsia"/>
          <w:color w:val="auto"/>
          <w:szCs w:val="21"/>
          <w:highlight w:val="none"/>
        </w:rPr>
        <w:t>1.3进度控制</w:t>
      </w:r>
    </w:p>
    <w:p>
      <w:pPr>
        <w:tabs>
          <w:tab w:val="left" w:pos="426"/>
        </w:tabs>
        <w:spacing w:beforeLines="0" w:afterLines="0"/>
        <w:ind w:firstLine="420" w:firstLineChars="200"/>
        <w:rPr>
          <w:color w:val="auto"/>
          <w:szCs w:val="21"/>
          <w:highlight w:val="none"/>
        </w:rPr>
      </w:pPr>
      <w:r>
        <w:rPr>
          <w:rFonts w:hint="eastAsia"/>
          <w:color w:val="auto"/>
          <w:szCs w:val="21"/>
          <w:highlight w:val="none"/>
        </w:rPr>
        <w:t>1）协助进行项目建设周期总进度目标的分析、论证；</w:t>
      </w:r>
    </w:p>
    <w:p>
      <w:pPr>
        <w:tabs>
          <w:tab w:val="left" w:pos="426"/>
        </w:tabs>
        <w:spacing w:beforeLines="0" w:afterLines="0"/>
        <w:ind w:firstLine="420" w:firstLineChars="200"/>
        <w:rPr>
          <w:color w:val="auto"/>
          <w:szCs w:val="21"/>
          <w:highlight w:val="none"/>
        </w:rPr>
      </w:pPr>
      <w:r>
        <w:rPr>
          <w:rFonts w:hint="eastAsia"/>
          <w:color w:val="auto"/>
          <w:szCs w:val="21"/>
          <w:highlight w:val="none"/>
        </w:rPr>
        <w:t>2）审查各子项目的进度计划，并监督计划的执行；</w:t>
      </w:r>
    </w:p>
    <w:p>
      <w:pPr>
        <w:tabs>
          <w:tab w:val="left" w:pos="426"/>
        </w:tabs>
        <w:spacing w:beforeLines="0" w:afterLines="0"/>
        <w:ind w:firstLine="420" w:firstLineChars="200"/>
        <w:rPr>
          <w:color w:val="auto"/>
          <w:szCs w:val="21"/>
          <w:highlight w:val="none"/>
        </w:rPr>
      </w:pPr>
      <w:r>
        <w:rPr>
          <w:rFonts w:hint="eastAsia"/>
          <w:color w:val="auto"/>
          <w:szCs w:val="21"/>
          <w:highlight w:val="none"/>
        </w:rPr>
        <w:t>3）控制项目实施的进度；</w:t>
      </w:r>
    </w:p>
    <w:p>
      <w:pPr>
        <w:tabs>
          <w:tab w:val="left" w:pos="426"/>
        </w:tabs>
        <w:spacing w:beforeLines="0" w:afterLines="0"/>
        <w:ind w:firstLine="420" w:firstLineChars="200"/>
        <w:rPr>
          <w:color w:val="auto"/>
          <w:szCs w:val="21"/>
          <w:highlight w:val="none"/>
        </w:rPr>
      </w:pPr>
      <w:r>
        <w:rPr>
          <w:rFonts w:hint="eastAsia"/>
          <w:color w:val="auto"/>
          <w:szCs w:val="21"/>
          <w:highlight w:val="none"/>
        </w:rPr>
        <w:t>4）编制项目实施各阶段、各年、季、月度的进度监理计划，并控制其执行，必要时调整进度计划；</w:t>
      </w:r>
    </w:p>
    <w:p>
      <w:pPr>
        <w:tabs>
          <w:tab w:val="left" w:pos="426"/>
        </w:tabs>
        <w:spacing w:beforeLines="0" w:afterLines="0"/>
        <w:ind w:firstLine="420" w:firstLineChars="200"/>
        <w:rPr>
          <w:color w:val="auto"/>
          <w:szCs w:val="21"/>
          <w:highlight w:val="none"/>
        </w:rPr>
      </w:pPr>
      <w:r>
        <w:rPr>
          <w:rFonts w:hint="eastAsia"/>
          <w:color w:val="auto"/>
          <w:szCs w:val="21"/>
          <w:highlight w:val="none"/>
        </w:rPr>
        <w:t>5）审核设计方、承建单位和材料设备供货方提出的进度计划/供货计划，检查、督促和控制其执行；</w:t>
      </w:r>
    </w:p>
    <w:p>
      <w:pPr>
        <w:tabs>
          <w:tab w:val="left" w:pos="426"/>
        </w:tabs>
        <w:spacing w:beforeLines="0" w:afterLines="0"/>
        <w:ind w:firstLine="420" w:firstLineChars="200"/>
        <w:rPr>
          <w:color w:val="auto"/>
          <w:szCs w:val="21"/>
          <w:highlight w:val="none"/>
        </w:rPr>
      </w:pPr>
      <w:r>
        <w:rPr>
          <w:rFonts w:hint="eastAsia"/>
          <w:color w:val="auto"/>
          <w:szCs w:val="21"/>
          <w:highlight w:val="none"/>
        </w:rPr>
        <w:t>6）发现项目未能按计划进行时，要求项目承包商调整或修改计划，采取必要措施加快开发进度，以使实际项目进度符合合同的要求；</w:t>
      </w:r>
    </w:p>
    <w:p>
      <w:pPr>
        <w:tabs>
          <w:tab w:val="left" w:pos="426"/>
        </w:tabs>
        <w:spacing w:beforeLines="0" w:afterLines="0"/>
        <w:ind w:firstLine="420" w:firstLineChars="200"/>
        <w:rPr>
          <w:color w:val="auto"/>
          <w:szCs w:val="21"/>
          <w:highlight w:val="none"/>
        </w:rPr>
      </w:pPr>
      <w:r>
        <w:rPr>
          <w:rFonts w:hint="eastAsia"/>
          <w:color w:val="auto"/>
          <w:szCs w:val="21"/>
          <w:highlight w:val="none"/>
        </w:rPr>
        <w:t>7）在项目实施过程中，每月进行计划值与实际值的比较，每月、季、年度提交各种进度控制监理报告和报表。</w:t>
      </w:r>
    </w:p>
    <w:p>
      <w:pPr>
        <w:tabs>
          <w:tab w:val="left" w:pos="426"/>
        </w:tabs>
        <w:spacing w:beforeLines="0" w:afterLines="0"/>
        <w:ind w:firstLine="420" w:firstLineChars="200"/>
        <w:rPr>
          <w:color w:val="auto"/>
          <w:szCs w:val="21"/>
          <w:highlight w:val="none"/>
        </w:rPr>
      </w:pPr>
      <w:r>
        <w:rPr>
          <w:rFonts w:hint="eastAsia"/>
          <w:color w:val="auto"/>
          <w:szCs w:val="21"/>
          <w:highlight w:val="none"/>
        </w:rPr>
        <w:t>1.4变更控制</w:t>
      </w:r>
    </w:p>
    <w:p>
      <w:pPr>
        <w:tabs>
          <w:tab w:val="left" w:pos="426"/>
        </w:tabs>
        <w:spacing w:beforeLines="0" w:afterLines="0"/>
        <w:ind w:firstLine="420" w:firstLineChars="200"/>
        <w:rPr>
          <w:color w:val="auto"/>
          <w:szCs w:val="21"/>
          <w:highlight w:val="none"/>
        </w:rPr>
      </w:pPr>
      <w:r>
        <w:rPr>
          <w:rFonts w:hint="eastAsia"/>
          <w:color w:val="auto"/>
          <w:szCs w:val="21"/>
          <w:highlight w:val="none"/>
        </w:rPr>
        <w:t>1）对项目变更进行严格控制，不能随意地进行变更；</w:t>
      </w:r>
    </w:p>
    <w:p>
      <w:pPr>
        <w:tabs>
          <w:tab w:val="left" w:pos="426"/>
        </w:tabs>
        <w:spacing w:beforeLines="0" w:afterLines="0"/>
        <w:ind w:firstLine="420" w:firstLineChars="200"/>
        <w:rPr>
          <w:color w:val="auto"/>
          <w:szCs w:val="21"/>
          <w:highlight w:val="none"/>
        </w:rPr>
      </w:pPr>
      <w:r>
        <w:rPr>
          <w:rFonts w:hint="eastAsia"/>
          <w:color w:val="auto"/>
          <w:szCs w:val="21"/>
          <w:highlight w:val="none"/>
        </w:rPr>
        <w:t>2）监理对可能发生的风险以及可能引起的变更要保持预控能力，也应当具备快速反应能力；</w:t>
      </w:r>
    </w:p>
    <w:p>
      <w:pPr>
        <w:tabs>
          <w:tab w:val="left" w:pos="426"/>
        </w:tabs>
        <w:spacing w:beforeLines="0" w:afterLines="0"/>
        <w:ind w:firstLine="420" w:firstLineChars="200"/>
        <w:rPr>
          <w:color w:val="auto"/>
          <w:szCs w:val="21"/>
          <w:highlight w:val="none"/>
        </w:rPr>
      </w:pPr>
      <w:r>
        <w:rPr>
          <w:rFonts w:hint="eastAsia"/>
          <w:color w:val="auto"/>
          <w:szCs w:val="21"/>
          <w:highlight w:val="none"/>
        </w:rPr>
        <w:t>3）对变更申请快速响应；</w:t>
      </w:r>
    </w:p>
    <w:p>
      <w:pPr>
        <w:tabs>
          <w:tab w:val="left" w:pos="426"/>
        </w:tabs>
        <w:spacing w:beforeLines="0" w:afterLines="0"/>
        <w:ind w:firstLine="420" w:firstLineChars="200"/>
        <w:rPr>
          <w:color w:val="auto"/>
          <w:szCs w:val="21"/>
          <w:highlight w:val="none"/>
        </w:rPr>
      </w:pPr>
      <w:r>
        <w:rPr>
          <w:rFonts w:hint="eastAsia"/>
          <w:color w:val="auto"/>
          <w:szCs w:val="21"/>
          <w:highlight w:val="none"/>
        </w:rPr>
        <w:t>4）任何变更都要得到三方（招标单位、承建单位、中标单位）确认；</w:t>
      </w:r>
    </w:p>
    <w:p>
      <w:pPr>
        <w:tabs>
          <w:tab w:val="left" w:pos="426"/>
        </w:tabs>
        <w:spacing w:beforeLines="0" w:afterLines="0"/>
        <w:ind w:firstLine="420" w:firstLineChars="200"/>
        <w:rPr>
          <w:color w:val="auto"/>
          <w:szCs w:val="21"/>
          <w:highlight w:val="none"/>
        </w:rPr>
      </w:pPr>
      <w:r>
        <w:rPr>
          <w:rFonts w:hint="eastAsia"/>
          <w:color w:val="auto"/>
          <w:szCs w:val="21"/>
          <w:highlight w:val="none"/>
        </w:rPr>
        <w:t>5）明确界定项目变更的目标；</w:t>
      </w:r>
    </w:p>
    <w:p>
      <w:pPr>
        <w:tabs>
          <w:tab w:val="left" w:pos="426"/>
        </w:tabs>
        <w:spacing w:beforeLines="0" w:afterLines="0"/>
        <w:ind w:firstLine="420" w:firstLineChars="200"/>
        <w:rPr>
          <w:color w:val="auto"/>
          <w:szCs w:val="21"/>
          <w:highlight w:val="none"/>
        </w:rPr>
      </w:pPr>
      <w:r>
        <w:rPr>
          <w:rFonts w:hint="eastAsia"/>
          <w:color w:val="auto"/>
          <w:szCs w:val="21"/>
          <w:highlight w:val="none"/>
        </w:rPr>
        <w:t>6）加强变更风险及变更效果的评估；</w:t>
      </w:r>
    </w:p>
    <w:p>
      <w:pPr>
        <w:tabs>
          <w:tab w:val="left" w:pos="426"/>
        </w:tabs>
        <w:spacing w:beforeLines="0" w:afterLines="0"/>
        <w:ind w:firstLine="420" w:firstLineChars="200"/>
        <w:rPr>
          <w:color w:val="auto"/>
          <w:szCs w:val="21"/>
          <w:highlight w:val="none"/>
        </w:rPr>
      </w:pPr>
      <w:r>
        <w:rPr>
          <w:rFonts w:hint="eastAsia"/>
          <w:color w:val="auto"/>
          <w:szCs w:val="21"/>
          <w:highlight w:val="none"/>
        </w:rPr>
        <w:t>7）及时公布变更信息；</w:t>
      </w:r>
    </w:p>
    <w:p>
      <w:pPr>
        <w:tabs>
          <w:tab w:val="left" w:pos="426"/>
        </w:tabs>
        <w:spacing w:beforeLines="0" w:afterLines="0"/>
        <w:ind w:firstLine="420" w:firstLineChars="200"/>
        <w:rPr>
          <w:color w:val="auto"/>
          <w:szCs w:val="21"/>
          <w:highlight w:val="none"/>
        </w:rPr>
      </w:pPr>
      <w:r>
        <w:rPr>
          <w:rFonts w:hint="eastAsia"/>
          <w:color w:val="auto"/>
          <w:szCs w:val="21"/>
          <w:highlight w:val="none"/>
        </w:rPr>
        <w:t>8）选择冲击最小的方案；</w:t>
      </w:r>
    </w:p>
    <w:p>
      <w:pPr>
        <w:tabs>
          <w:tab w:val="left" w:pos="426"/>
        </w:tabs>
        <w:spacing w:beforeLines="0" w:afterLines="0"/>
        <w:ind w:firstLine="420" w:firstLineChars="200"/>
        <w:rPr>
          <w:color w:val="auto"/>
          <w:szCs w:val="21"/>
          <w:highlight w:val="none"/>
        </w:rPr>
      </w:pPr>
      <w:r>
        <w:rPr>
          <w:rFonts w:hint="eastAsia"/>
          <w:color w:val="auto"/>
          <w:szCs w:val="21"/>
          <w:highlight w:val="none"/>
        </w:rPr>
        <w:t>9）执行制定完成的变更程序，对变更进行严格的控制。</w:t>
      </w:r>
    </w:p>
    <w:p>
      <w:pPr>
        <w:tabs>
          <w:tab w:val="left" w:pos="426"/>
        </w:tabs>
        <w:spacing w:beforeLines="0" w:afterLines="0"/>
        <w:ind w:firstLine="420" w:firstLineChars="200"/>
        <w:rPr>
          <w:color w:val="auto"/>
          <w:szCs w:val="21"/>
          <w:highlight w:val="none"/>
        </w:rPr>
      </w:pPr>
      <w:r>
        <w:rPr>
          <w:rFonts w:hint="eastAsia"/>
          <w:color w:val="auto"/>
          <w:szCs w:val="21"/>
          <w:highlight w:val="none"/>
        </w:rPr>
        <w:t>1.5投资控制</w:t>
      </w:r>
    </w:p>
    <w:p>
      <w:pPr>
        <w:tabs>
          <w:tab w:val="left" w:pos="426"/>
        </w:tabs>
        <w:spacing w:beforeLines="0" w:afterLines="0"/>
        <w:ind w:firstLine="420" w:firstLineChars="200"/>
        <w:rPr>
          <w:color w:val="auto"/>
          <w:szCs w:val="21"/>
          <w:highlight w:val="none"/>
        </w:rPr>
      </w:pPr>
      <w:r>
        <w:rPr>
          <w:rFonts w:hint="eastAsia"/>
          <w:color w:val="auto"/>
          <w:szCs w:val="21"/>
          <w:highlight w:val="none"/>
        </w:rPr>
        <w:t>1）动态管理、跟踪项目费用，进行费用控制和分析；</w:t>
      </w:r>
    </w:p>
    <w:p>
      <w:pPr>
        <w:tabs>
          <w:tab w:val="left" w:pos="426"/>
        </w:tabs>
        <w:spacing w:beforeLines="0" w:afterLines="0"/>
        <w:ind w:firstLine="420" w:firstLineChars="200"/>
        <w:rPr>
          <w:color w:val="auto"/>
          <w:szCs w:val="21"/>
          <w:highlight w:val="none"/>
        </w:rPr>
      </w:pPr>
      <w:r>
        <w:rPr>
          <w:rFonts w:hint="eastAsia"/>
          <w:color w:val="auto"/>
          <w:szCs w:val="21"/>
          <w:highlight w:val="none"/>
        </w:rPr>
        <w:t>2）审查项目进度款申报；</w:t>
      </w:r>
    </w:p>
    <w:p>
      <w:pPr>
        <w:tabs>
          <w:tab w:val="left" w:pos="426"/>
        </w:tabs>
        <w:spacing w:beforeLines="0" w:afterLines="0"/>
        <w:ind w:firstLine="420" w:firstLineChars="200"/>
        <w:rPr>
          <w:color w:val="auto"/>
          <w:szCs w:val="21"/>
          <w:highlight w:val="none"/>
        </w:rPr>
      </w:pPr>
      <w:r>
        <w:rPr>
          <w:rFonts w:hint="eastAsia"/>
          <w:color w:val="auto"/>
          <w:szCs w:val="21"/>
          <w:highlight w:val="none"/>
        </w:rPr>
        <w:t>3）严格控制和审查项目需求变更，核算成本和变化量，报招标单位审批；</w:t>
      </w:r>
    </w:p>
    <w:p>
      <w:pPr>
        <w:tabs>
          <w:tab w:val="left" w:pos="426"/>
        </w:tabs>
        <w:spacing w:beforeLines="0" w:afterLines="0"/>
        <w:ind w:firstLine="420" w:firstLineChars="200"/>
        <w:rPr>
          <w:color w:val="auto"/>
          <w:szCs w:val="21"/>
          <w:highlight w:val="none"/>
        </w:rPr>
      </w:pPr>
      <w:r>
        <w:rPr>
          <w:rFonts w:hint="eastAsia"/>
          <w:color w:val="auto"/>
          <w:szCs w:val="21"/>
          <w:highlight w:val="none"/>
        </w:rPr>
        <w:t>4）审核承建单位的工程量清单和工程竣工结算。</w:t>
      </w:r>
    </w:p>
    <w:p>
      <w:pPr>
        <w:tabs>
          <w:tab w:val="left" w:pos="426"/>
        </w:tabs>
        <w:spacing w:beforeLines="0" w:afterLines="0"/>
        <w:ind w:firstLine="420" w:firstLineChars="200"/>
        <w:rPr>
          <w:color w:val="auto"/>
          <w:szCs w:val="21"/>
          <w:highlight w:val="none"/>
        </w:rPr>
      </w:pPr>
      <w:r>
        <w:rPr>
          <w:rFonts w:hint="eastAsia"/>
          <w:color w:val="auto"/>
          <w:szCs w:val="21"/>
          <w:highlight w:val="none"/>
        </w:rPr>
        <w:t>1.6合同管理</w:t>
      </w:r>
    </w:p>
    <w:p>
      <w:pPr>
        <w:tabs>
          <w:tab w:val="left" w:pos="426"/>
        </w:tabs>
        <w:spacing w:beforeLines="0" w:afterLines="0"/>
        <w:ind w:firstLine="420" w:firstLineChars="200"/>
        <w:rPr>
          <w:color w:val="auto"/>
          <w:szCs w:val="21"/>
          <w:highlight w:val="none"/>
        </w:rPr>
      </w:pPr>
      <w:r>
        <w:rPr>
          <w:rFonts w:hint="eastAsia"/>
          <w:color w:val="auto"/>
          <w:szCs w:val="21"/>
          <w:highlight w:val="none"/>
        </w:rPr>
        <w:t>1）协助招标单位确定项目实施的合同结构；</w:t>
      </w:r>
    </w:p>
    <w:p>
      <w:pPr>
        <w:tabs>
          <w:tab w:val="left" w:pos="426"/>
        </w:tabs>
        <w:spacing w:beforeLines="0" w:afterLines="0"/>
        <w:ind w:firstLine="420" w:firstLineChars="200"/>
        <w:rPr>
          <w:color w:val="auto"/>
          <w:szCs w:val="21"/>
          <w:highlight w:val="none"/>
        </w:rPr>
      </w:pPr>
      <w:r>
        <w:rPr>
          <w:rFonts w:hint="eastAsia"/>
          <w:color w:val="auto"/>
          <w:szCs w:val="21"/>
          <w:highlight w:val="none"/>
        </w:rPr>
        <w:t>2）协助招标单位起草与项目有关的各类合同（包括设计合同、集成合同、开发合同、施工合同、材料和设备定货与安装调试合同等）；</w:t>
      </w:r>
    </w:p>
    <w:p>
      <w:pPr>
        <w:tabs>
          <w:tab w:val="left" w:pos="426"/>
        </w:tabs>
        <w:spacing w:beforeLines="0" w:afterLines="0"/>
        <w:ind w:firstLine="420" w:firstLineChars="200"/>
        <w:rPr>
          <w:color w:val="auto"/>
          <w:szCs w:val="21"/>
          <w:highlight w:val="none"/>
        </w:rPr>
      </w:pPr>
      <w:r>
        <w:rPr>
          <w:rFonts w:hint="eastAsia"/>
          <w:color w:val="auto"/>
          <w:szCs w:val="21"/>
          <w:highlight w:val="none"/>
        </w:rPr>
        <w:t>3）参与合同谈判；</w:t>
      </w:r>
    </w:p>
    <w:p>
      <w:pPr>
        <w:tabs>
          <w:tab w:val="left" w:pos="426"/>
        </w:tabs>
        <w:spacing w:beforeLines="0" w:afterLines="0"/>
        <w:ind w:firstLine="420" w:firstLineChars="200"/>
        <w:rPr>
          <w:color w:val="auto"/>
          <w:szCs w:val="21"/>
          <w:highlight w:val="none"/>
        </w:rPr>
      </w:pPr>
      <w:r>
        <w:rPr>
          <w:rFonts w:hint="eastAsia"/>
          <w:color w:val="auto"/>
          <w:szCs w:val="21"/>
          <w:highlight w:val="none"/>
        </w:rPr>
        <w:t>4）监督检查承建单位合同，确保承建单位按时履约；</w:t>
      </w:r>
    </w:p>
    <w:p>
      <w:pPr>
        <w:tabs>
          <w:tab w:val="left" w:pos="426"/>
        </w:tabs>
        <w:spacing w:beforeLines="0" w:afterLines="0"/>
        <w:ind w:firstLine="420" w:firstLineChars="200"/>
        <w:rPr>
          <w:color w:val="auto"/>
          <w:szCs w:val="21"/>
          <w:highlight w:val="none"/>
        </w:rPr>
      </w:pPr>
      <w:r>
        <w:rPr>
          <w:rFonts w:hint="eastAsia"/>
          <w:color w:val="auto"/>
          <w:szCs w:val="21"/>
          <w:highlight w:val="none"/>
        </w:rPr>
        <w:t>5）合同的跟踪管理（检查各方执行情况，提交合同管理报表与报告）；</w:t>
      </w:r>
    </w:p>
    <w:p>
      <w:pPr>
        <w:tabs>
          <w:tab w:val="left" w:pos="426"/>
        </w:tabs>
        <w:spacing w:beforeLines="0" w:afterLines="0"/>
        <w:ind w:firstLine="420" w:firstLineChars="200"/>
        <w:rPr>
          <w:color w:val="auto"/>
          <w:szCs w:val="21"/>
          <w:highlight w:val="none"/>
        </w:rPr>
      </w:pPr>
      <w:r>
        <w:rPr>
          <w:rFonts w:hint="eastAsia"/>
          <w:color w:val="auto"/>
          <w:szCs w:val="21"/>
          <w:highlight w:val="none"/>
        </w:rPr>
        <w:t>6）协助招标单位处理各子项目实施的每个过程出现的违约、索赔、延期、分包、纠纷调解及仲裁等问题；</w:t>
      </w:r>
    </w:p>
    <w:p>
      <w:pPr>
        <w:tabs>
          <w:tab w:val="left" w:pos="426"/>
        </w:tabs>
        <w:spacing w:beforeLines="0" w:afterLines="0"/>
        <w:ind w:firstLine="420" w:firstLineChars="200"/>
        <w:rPr>
          <w:color w:val="auto"/>
          <w:szCs w:val="21"/>
          <w:highlight w:val="none"/>
        </w:rPr>
      </w:pPr>
      <w:r>
        <w:rPr>
          <w:rFonts w:hint="eastAsia"/>
          <w:color w:val="auto"/>
          <w:szCs w:val="21"/>
          <w:highlight w:val="none"/>
        </w:rPr>
        <w:t>7）合同整理与归档。</w:t>
      </w:r>
    </w:p>
    <w:p>
      <w:pPr>
        <w:tabs>
          <w:tab w:val="left" w:pos="426"/>
        </w:tabs>
        <w:spacing w:beforeLines="0" w:afterLines="0"/>
        <w:ind w:firstLine="420" w:firstLineChars="200"/>
        <w:rPr>
          <w:color w:val="auto"/>
          <w:szCs w:val="21"/>
          <w:highlight w:val="none"/>
        </w:rPr>
      </w:pPr>
      <w:r>
        <w:rPr>
          <w:rFonts w:hint="eastAsia"/>
          <w:color w:val="auto"/>
          <w:szCs w:val="21"/>
          <w:highlight w:val="none"/>
        </w:rPr>
        <w:t>1.7信息管理</w:t>
      </w:r>
    </w:p>
    <w:p>
      <w:pPr>
        <w:tabs>
          <w:tab w:val="left" w:pos="426"/>
        </w:tabs>
        <w:spacing w:beforeLines="0" w:afterLines="0"/>
        <w:ind w:firstLine="420" w:firstLineChars="200"/>
        <w:rPr>
          <w:color w:val="auto"/>
          <w:szCs w:val="21"/>
          <w:highlight w:val="none"/>
        </w:rPr>
      </w:pPr>
      <w:r>
        <w:rPr>
          <w:rFonts w:hint="eastAsia"/>
          <w:color w:val="auto"/>
          <w:szCs w:val="21"/>
          <w:highlight w:val="none"/>
        </w:rPr>
        <w:t>1）及时向招标单位提交反映各子项目的动态信息和监理工作情况的项目文档；</w:t>
      </w:r>
    </w:p>
    <w:p>
      <w:pPr>
        <w:tabs>
          <w:tab w:val="left" w:pos="426"/>
        </w:tabs>
        <w:spacing w:beforeLines="0" w:afterLines="0"/>
        <w:ind w:firstLine="420" w:firstLineChars="200"/>
        <w:rPr>
          <w:color w:val="auto"/>
          <w:szCs w:val="21"/>
          <w:highlight w:val="none"/>
        </w:rPr>
      </w:pPr>
      <w:r>
        <w:rPr>
          <w:rFonts w:hint="eastAsia"/>
          <w:color w:val="auto"/>
          <w:szCs w:val="21"/>
          <w:highlight w:val="none"/>
        </w:rPr>
        <w:t>2）建立全面、准确反映各子项目各阶段状况的图表、文档，收集、管理项目各类文档和资料；</w:t>
      </w:r>
    </w:p>
    <w:p>
      <w:pPr>
        <w:tabs>
          <w:tab w:val="left" w:pos="426"/>
        </w:tabs>
        <w:spacing w:beforeLines="0" w:afterLines="0"/>
        <w:ind w:firstLine="420" w:firstLineChars="200"/>
        <w:rPr>
          <w:color w:val="auto"/>
          <w:szCs w:val="21"/>
          <w:highlight w:val="none"/>
        </w:rPr>
      </w:pPr>
      <w:r>
        <w:rPr>
          <w:rFonts w:hint="eastAsia"/>
          <w:color w:val="auto"/>
          <w:szCs w:val="21"/>
          <w:highlight w:val="none"/>
        </w:rPr>
        <w:t>3）督促、检查承建单位及时完成各阶段设计文档、会议纪要、变更单、问题跟踪单、监理建议书、监理通知书等资料的整理和归档工作；</w:t>
      </w:r>
    </w:p>
    <w:p>
      <w:pPr>
        <w:tabs>
          <w:tab w:val="left" w:pos="426"/>
        </w:tabs>
        <w:spacing w:beforeLines="0" w:afterLines="0"/>
        <w:ind w:firstLine="420" w:firstLineChars="200"/>
        <w:rPr>
          <w:color w:val="auto"/>
          <w:szCs w:val="21"/>
          <w:highlight w:val="none"/>
        </w:rPr>
      </w:pPr>
      <w:r>
        <w:rPr>
          <w:rFonts w:hint="eastAsia"/>
          <w:color w:val="auto"/>
          <w:szCs w:val="21"/>
          <w:highlight w:val="none"/>
        </w:rPr>
        <w:t>4）审查承建单位的设计文档、变更单、问题跟踪单，审查承建单位与招标单位之间的业务联系单、备忘录、电子邮件、传真、电话记录等，并加具处理意见；</w:t>
      </w:r>
    </w:p>
    <w:p>
      <w:pPr>
        <w:tabs>
          <w:tab w:val="left" w:pos="426"/>
        </w:tabs>
        <w:spacing w:beforeLines="0" w:afterLines="0"/>
        <w:ind w:firstLine="420" w:firstLineChars="200"/>
        <w:rPr>
          <w:color w:val="auto"/>
          <w:szCs w:val="21"/>
          <w:highlight w:val="none"/>
        </w:rPr>
      </w:pPr>
      <w:r>
        <w:rPr>
          <w:rFonts w:hint="eastAsia"/>
          <w:color w:val="auto"/>
          <w:szCs w:val="21"/>
          <w:highlight w:val="none"/>
        </w:rPr>
        <w:t>5）当项目质量或工期出现问题或严重偏离计划时，应及时向招标单位报告，并提出对策建议，同时督促承建单位尽快采取措施。</w:t>
      </w:r>
    </w:p>
    <w:p>
      <w:pPr>
        <w:tabs>
          <w:tab w:val="left" w:pos="426"/>
        </w:tabs>
        <w:spacing w:beforeLines="0" w:afterLines="0"/>
        <w:ind w:firstLine="420" w:firstLineChars="200"/>
        <w:rPr>
          <w:color w:val="auto"/>
          <w:szCs w:val="21"/>
          <w:highlight w:val="none"/>
        </w:rPr>
      </w:pPr>
      <w:r>
        <w:rPr>
          <w:rFonts w:hint="eastAsia"/>
          <w:color w:val="auto"/>
          <w:szCs w:val="21"/>
          <w:highlight w:val="none"/>
        </w:rPr>
        <w:t>1.8组织协调</w:t>
      </w:r>
    </w:p>
    <w:p>
      <w:pPr>
        <w:tabs>
          <w:tab w:val="left" w:pos="426"/>
        </w:tabs>
        <w:spacing w:beforeLines="0" w:afterLines="0"/>
        <w:ind w:firstLine="420" w:firstLineChars="200"/>
        <w:rPr>
          <w:color w:val="auto"/>
          <w:szCs w:val="21"/>
          <w:highlight w:val="none"/>
        </w:rPr>
      </w:pPr>
      <w:r>
        <w:rPr>
          <w:rFonts w:hint="eastAsia"/>
          <w:color w:val="auto"/>
          <w:szCs w:val="21"/>
          <w:highlight w:val="none"/>
        </w:rPr>
        <w:t>1）帮助招标单位划分或澄清承建单位的工作范围和职责；</w:t>
      </w:r>
    </w:p>
    <w:p>
      <w:pPr>
        <w:tabs>
          <w:tab w:val="left" w:pos="426"/>
        </w:tabs>
        <w:spacing w:beforeLines="0" w:afterLines="0"/>
        <w:ind w:firstLine="420" w:firstLineChars="200"/>
        <w:rPr>
          <w:color w:val="auto"/>
          <w:szCs w:val="21"/>
          <w:highlight w:val="none"/>
        </w:rPr>
      </w:pPr>
      <w:r>
        <w:rPr>
          <w:rFonts w:hint="eastAsia"/>
          <w:color w:val="auto"/>
          <w:szCs w:val="21"/>
          <w:highlight w:val="none"/>
        </w:rPr>
        <w:t>2）监督本项目各方履行职责，协调各方的工作关系；</w:t>
      </w:r>
    </w:p>
    <w:p>
      <w:pPr>
        <w:tabs>
          <w:tab w:val="left" w:pos="426"/>
        </w:tabs>
        <w:spacing w:beforeLines="0" w:afterLines="0"/>
        <w:ind w:firstLine="420" w:firstLineChars="200"/>
        <w:rPr>
          <w:color w:val="auto"/>
          <w:szCs w:val="21"/>
          <w:highlight w:val="none"/>
        </w:rPr>
      </w:pPr>
      <w:r>
        <w:rPr>
          <w:rFonts w:hint="eastAsia"/>
          <w:color w:val="auto"/>
          <w:szCs w:val="21"/>
          <w:highlight w:val="none"/>
        </w:rPr>
        <w:t>3）建立畅通的沟通平台和沟通渠道，采取有效措施使项目信息在有关各方之间保持顺畅流通，积极协调本项目各方之间的关系，推动项目实施过程中问题的解决。</w:t>
      </w:r>
    </w:p>
    <w:p>
      <w:pPr>
        <w:tabs>
          <w:tab w:val="left" w:pos="426"/>
        </w:tabs>
        <w:spacing w:beforeLines="0" w:afterLines="0"/>
        <w:ind w:firstLine="420" w:firstLineChars="200"/>
        <w:rPr>
          <w:color w:val="auto"/>
          <w:szCs w:val="21"/>
          <w:highlight w:val="none"/>
        </w:rPr>
      </w:pPr>
      <w:r>
        <w:rPr>
          <w:rFonts w:hint="eastAsia"/>
          <w:color w:val="auto"/>
          <w:szCs w:val="21"/>
          <w:highlight w:val="none"/>
        </w:rPr>
        <w:t>1.9信息安全管理</w:t>
      </w:r>
    </w:p>
    <w:p>
      <w:pPr>
        <w:tabs>
          <w:tab w:val="left" w:pos="426"/>
        </w:tabs>
        <w:spacing w:beforeLines="0" w:afterLines="0"/>
        <w:ind w:firstLine="420" w:firstLineChars="200"/>
        <w:rPr>
          <w:color w:val="auto"/>
          <w:szCs w:val="21"/>
          <w:highlight w:val="none"/>
        </w:rPr>
      </w:pPr>
      <w:r>
        <w:rPr>
          <w:rFonts w:hint="eastAsia"/>
          <w:color w:val="auto"/>
          <w:szCs w:val="21"/>
          <w:highlight w:val="none"/>
        </w:rPr>
        <w:t>1）督促承建单位建立完善的信息安全管理制度，数据备份制度；</w:t>
      </w:r>
    </w:p>
    <w:p>
      <w:pPr>
        <w:tabs>
          <w:tab w:val="left" w:pos="426"/>
        </w:tabs>
        <w:spacing w:beforeLines="0" w:afterLines="0"/>
        <w:ind w:firstLine="420" w:firstLineChars="200"/>
        <w:rPr>
          <w:color w:val="auto"/>
          <w:szCs w:val="21"/>
          <w:highlight w:val="none"/>
        </w:rPr>
      </w:pPr>
      <w:r>
        <w:rPr>
          <w:rFonts w:hint="eastAsia"/>
          <w:color w:val="auto"/>
          <w:szCs w:val="21"/>
          <w:highlight w:val="none"/>
        </w:rPr>
        <w:t>2）组织信息安全事故的调查与处理；</w:t>
      </w:r>
    </w:p>
    <w:p>
      <w:pPr>
        <w:tabs>
          <w:tab w:val="left" w:pos="426"/>
        </w:tabs>
        <w:spacing w:beforeLines="0" w:afterLines="0"/>
        <w:ind w:firstLine="420" w:firstLineChars="200"/>
        <w:rPr>
          <w:color w:val="auto"/>
          <w:szCs w:val="21"/>
          <w:highlight w:val="none"/>
        </w:rPr>
      </w:pPr>
      <w:r>
        <w:rPr>
          <w:rFonts w:hint="eastAsia"/>
          <w:color w:val="auto"/>
          <w:szCs w:val="21"/>
          <w:highlight w:val="none"/>
        </w:rPr>
        <w:t>3）建立信息化工程监理的信息安全管理工作目标和管理流程。</w:t>
      </w:r>
    </w:p>
    <w:p>
      <w:pPr>
        <w:tabs>
          <w:tab w:val="left" w:pos="426"/>
        </w:tabs>
        <w:spacing w:beforeLines="0" w:afterLines="0"/>
        <w:ind w:firstLine="420" w:firstLineChars="200"/>
        <w:rPr>
          <w:color w:val="auto"/>
          <w:szCs w:val="21"/>
          <w:highlight w:val="none"/>
        </w:rPr>
      </w:pPr>
      <w:r>
        <w:rPr>
          <w:rFonts w:hint="eastAsia"/>
          <w:color w:val="auto"/>
          <w:szCs w:val="21"/>
          <w:highlight w:val="none"/>
        </w:rPr>
        <w:t>1.10项目文档管理</w:t>
      </w:r>
    </w:p>
    <w:p>
      <w:pPr>
        <w:tabs>
          <w:tab w:val="left" w:pos="426"/>
        </w:tabs>
        <w:spacing w:beforeLines="0" w:afterLines="0"/>
        <w:ind w:firstLine="420" w:firstLineChars="200"/>
        <w:rPr>
          <w:color w:val="auto"/>
          <w:szCs w:val="21"/>
          <w:highlight w:val="none"/>
        </w:rPr>
      </w:pPr>
      <w:r>
        <w:rPr>
          <w:rFonts w:hint="eastAsia"/>
          <w:color w:val="auto"/>
          <w:szCs w:val="21"/>
          <w:highlight w:val="none"/>
        </w:rPr>
        <w:t>1）督促检查承建单位及时完成各阶段设计文档、测试记录、变更记录、问题跟踪处理记录等文件的归档工作，按归档要求进行分类整理归档，按时完成竣工资料（包括监理工作方面的归档资料）验收。确保项目中各类文件传送的规范化、制度化，监理类文书资料管理的科学化、规范化；</w:t>
      </w:r>
    </w:p>
    <w:p>
      <w:pPr>
        <w:tabs>
          <w:tab w:val="left" w:pos="426"/>
        </w:tabs>
        <w:spacing w:beforeLines="0" w:afterLines="0"/>
        <w:ind w:firstLine="420" w:firstLineChars="200"/>
        <w:rPr>
          <w:color w:val="auto"/>
          <w:szCs w:val="21"/>
          <w:highlight w:val="none"/>
        </w:rPr>
      </w:pPr>
      <w:r>
        <w:rPr>
          <w:rFonts w:hint="eastAsia"/>
          <w:color w:val="auto"/>
          <w:szCs w:val="21"/>
          <w:highlight w:val="none"/>
        </w:rPr>
        <w:t>2）监理单位的文档管理人员，负责收集、管理监理工作各类文书资料，对监理工作文档、收发文签收登记等进行管理；</w:t>
      </w:r>
    </w:p>
    <w:p>
      <w:pPr>
        <w:tabs>
          <w:tab w:val="left" w:pos="426"/>
        </w:tabs>
        <w:spacing w:beforeLines="0" w:afterLines="0"/>
        <w:ind w:firstLine="420" w:firstLineChars="200"/>
        <w:rPr>
          <w:color w:val="auto"/>
          <w:szCs w:val="21"/>
          <w:highlight w:val="none"/>
        </w:rPr>
      </w:pPr>
      <w:r>
        <w:rPr>
          <w:rFonts w:hint="eastAsia"/>
          <w:color w:val="auto"/>
          <w:szCs w:val="21"/>
          <w:highlight w:val="none"/>
        </w:rPr>
        <w:t>3）现场监理人员须完成监理日志、隐蔽工程记录表、工程量复核资料等文档资料，并保证数据无误。</w:t>
      </w:r>
    </w:p>
    <w:p>
      <w:pPr>
        <w:tabs>
          <w:tab w:val="left" w:pos="426"/>
        </w:tabs>
        <w:spacing w:beforeLines="0" w:afterLines="0"/>
        <w:ind w:firstLine="420" w:firstLineChars="200"/>
        <w:rPr>
          <w:color w:val="auto"/>
          <w:szCs w:val="21"/>
          <w:highlight w:val="none"/>
        </w:rPr>
      </w:pPr>
      <w:r>
        <w:rPr>
          <w:rFonts w:hint="eastAsia"/>
          <w:color w:val="auto"/>
          <w:szCs w:val="21"/>
          <w:highlight w:val="none"/>
        </w:rPr>
        <w:t>2、项目日常监理</w:t>
      </w:r>
    </w:p>
    <w:p>
      <w:pPr>
        <w:tabs>
          <w:tab w:val="left" w:pos="426"/>
        </w:tabs>
        <w:spacing w:beforeLines="0" w:afterLines="0"/>
        <w:ind w:firstLine="420" w:firstLineChars="200"/>
        <w:rPr>
          <w:color w:val="auto"/>
          <w:szCs w:val="21"/>
          <w:highlight w:val="none"/>
        </w:rPr>
      </w:pPr>
      <w:r>
        <w:rPr>
          <w:rFonts w:hint="eastAsia"/>
          <w:color w:val="auto"/>
          <w:szCs w:val="21"/>
          <w:highlight w:val="none"/>
        </w:rPr>
        <w:t>2.1掌握监理范围内涉及的各种技术及相关标准；</w:t>
      </w:r>
    </w:p>
    <w:p>
      <w:pPr>
        <w:tabs>
          <w:tab w:val="left" w:pos="426"/>
        </w:tabs>
        <w:spacing w:beforeLines="0" w:afterLines="0"/>
        <w:ind w:firstLine="420" w:firstLineChars="200"/>
        <w:rPr>
          <w:color w:val="auto"/>
          <w:szCs w:val="21"/>
          <w:highlight w:val="none"/>
        </w:rPr>
      </w:pPr>
      <w:r>
        <w:rPr>
          <w:rFonts w:hint="eastAsia"/>
          <w:color w:val="auto"/>
          <w:szCs w:val="21"/>
          <w:highlight w:val="none"/>
        </w:rPr>
        <w:t>2.2安排足够的监理人员，按项目需要派驻相应的专业人员进行项目监理，至少保证1名监理项目师在现场，随时为招标单位提供服务，安排总监理工程师服务本项目；</w:t>
      </w:r>
    </w:p>
    <w:p>
      <w:pPr>
        <w:tabs>
          <w:tab w:val="left" w:pos="426"/>
        </w:tabs>
        <w:spacing w:beforeLines="0" w:afterLines="0"/>
        <w:ind w:firstLine="420" w:firstLineChars="200"/>
        <w:rPr>
          <w:color w:val="auto"/>
          <w:szCs w:val="21"/>
          <w:highlight w:val="none"/>
        </w:rPr>
      </w:pPr>
      <w:r>
        <w:rPr>
          <w:rFonts w:hint="eastAsia"/>
          <w:color w:val="auto"/>
          <w:szCs w:val="21"/>
          <w:highlight w:val="none"/>
        </w:rPr>
        <w:t>2.3制定工程管理的组织机构方案并协助招标单位组建相关机构，并提供相关培训；</w:t>
      </w:r>
    </w:p>
    <w:p>
      <w:pPr>
        <w:tabs>
          <w:tab w:val="left" w:pos="426"/>
        </w:tabs>
        <w:spacing w:beforeLines="0" w:afterLines="0"/>
        <w:ind w:firstLine="420" w:firstLineChars="200"/>
        <w:rPr>
          <w:color w:val="auto"/>
          <w:szCs w:val="21"/>
          <w:highlight w:val="none"/>
        </w:rPr>
      </w:pPr>
      <w:r>
        <w:rPr>
          <w:rFonts w:hint="eastAsia"/>
          <w:color w:val="auto"/>
          <w:szCs w:val="21"/>
          <w:highlight w:val="none"/>
        </w:rPr>
        <w:t>2.4熟悉了解本项目各子项目的业务需求，协助招标单位对项目的目标、范围和功能进行界定，参与并协助本项目各子项目的招标技术文件编制工作（包括各项目建设需求的整理编制工作）；</w:t>
      </w:r>
    </w:p>
    <w:p>
      <w:pPr>
        <w:tabs>
          <w:tab w:val="left" w:pos="426"/>
        </w:tabs>
        <w:spacing w:beforeLines="0" w:afterLines="0"/>
        <w:ind w:firstLine="420" w:firstLineChars="200"/>
        <w:rPr>
          <w:color w:val="auto"/>
          <w:szCs w:val="21"/>
          <w:highlight w:val="none"/>
        </w:rPr>
      </w:pPr>
      <w:r>
        <w:rPr>
          <w:rFonts w:hint="eastAsia"/>
          <w:color w:val="auto"/>
          <w:szCs w:val="21"/>
          <w:highlight w:val="none"/>
        </w:rPr>
        <w:t>2.5参与各项目的招投标工作，参与各项合同的起草、评审及谈判工作，并对合同的执行情况进行总体监督；</w:t>
      </w:r>
    </w:p>
    <w:p>
      <w:pPr>
        <w:tabs>
          <w:tab w:val="left" w:pos="426"/>
        </w:tabs>
        <w:spacing w:beforeLines="0" w:afterLines="0"/>
        <w:ind w:firstLine="420" w:firstLineChars="200"/>
        <w:rPr>
          <w:color w:val="auto"/>
          <w:szCs w:val="21"/>
          <w:highlight w:val="none"/>
        </w:rPr>
      </w:pPr>
      <w:r>
        <w:rPr>
          <w:rFonts w:hint="eastAsia"/>
          <w:color w:val="auto"/>
          <w:szCs w:val="21"/>
          <w:highlight w:val="none"/>
        </w:rPr>
        <w:t>2.6建立健全科学合理的会议制度，并予以贯彻落实；</w:t>
      </w:r>
    </w:p>
    <w:p>
      <w:pPr>
        <w:tabs>
          <w:tab w:val="left" w:pos="426"/>
        </w:tabs>
        <w:spacing w:beforeLines="0" w:afterLines="0"/>
        <w:ind w:firstLine="420" w:firstLineChars="200"/>
        <w:rPr>
          <w:color w:val="auto"/>
          <w:szCs w:val="21"/>
          <w:highlight w:val="none"/>
        </w:rPr>
      </w:pPr>
      <w:r>
        <w:rPr>
          <w:rFonts w:hint="eastAsia"/>
          <w:color w:val="auto"/>
          <w:szCs w:val="21"/>
          <w:highlight w:val="none"/>
        </w:rPr>
        <w:t>2.7建立健全科学合理的文档管理制度，制订实施过程中产生的各类文档制作、管理规范，并予以贯彻落实；</w:t>
      </w:r>
    </w:p>
    <w:p>
      <w:pPr>
        <w:tabs>
          <w:tab w:val="left" w:pos="426"/>
        </w:tabs>
        <w:spacing w:beforeLines="0" w:afterLines="0"/>
        <w:ind w:firstLine="420" w:firstLineChars="200"/>
        <w:rPr>
          <w:color w:val="auto"/>
          <w:szCs w:val="21"/>
          <w:highlight w:val="none"/>
        </w:rPr>
      </w:pPr>
      <w:r>
        <w:rPr>
          <w:rFonts w:hint="eastAsia"/>
          <w:color w:val="auto"/>
          <w:szCs w:val="21"/>
          <w:highlight w:val="none"/>
        </w:rPr>
        <w:t>2.8与招标单位一起制定评审机制，在项目实施全过程中随时关注隐患苗头，如发现将会导致项目失败的情况出现时，应及时启动评审机制，组织专家对项目实施情况进行评审，对评审不合格的，应向招标单位提出终止合同意见；</w:t>
      </w:r>
    </w:p>
    <w:p>
      <w:pPr>
        <w:tabs>
          <w:tab w:val="left" w:pos="426"/>
        </w:tabs>
        <w:spacing w:beforeLines="0" w:afterLines="0"/>
        <w:ind w:firstLine="420" w:firstLineChars="200"/>
        <w:rPr>
          <w:color w:val="auto"/>
          <w:szCs w:val="21"/>
          <w:highlight w:val="none"/>
        </w:rPr>
      </w:pPr>
      <w:r>
        <w:rPr>
          <w:rFonts w:hint="eastAsia"/>
          <w:color w:val="auto"/>
          <w:szCs w:val="21"/>
          <w:highlight w:val="none"/>
        </w:rPr>
        <w:t>2.9其他需要日常监理的事项。</w:t>
      </w:r>
    </w:p>
    <w:p>
      <w:pPr>
        <w:tabs>
          <w:tab w:val="left" w:pos="426"/>
        </w:tabs>
        <w:spacing w:beforeLines="0" w:afterLines="0"/>
        <w:ind w:firstLine="420" w:firstLineChars="200"/>
        <w:rPr>
          <w:color w:val="auto"/>
          <w:szCs w:val="21"/>
          <w:highlight w:val="none"/>
        </w:rPr>
      </w:pPr>
      <w:r>
        <w:rPr>
          <w:rFonts w:hint="eastAsia"/>
          <w:color w:val="auto"/>
          <w:szCs w:val="21"/>
          <w:highlight w:val="none"/>
        </w:rPr>
        <w:t>3、项目过程监理</w:t>
      </w:r>
    </w:p>
    <w:p>
      <w:pPr>
        <w:tabs>
          <w:tab w:val="left" w:pos="426"/>
        </w:tabs>
        <w:spacing w:beforeLines="0" w:afterLines="0"/>
        <w:ind w:firstLine="420" w:firstLineChars="200"/>
        <w:rPr>
          <w:color w:val="auto"/>
          <w:szCs w:val="21"/>
          <w:highlight w:val="none"/>
        </w:rPr>
      </w:pPr>
      <w:r>
        <w:rPr>
          <w:rFonts w:hint="eastAsia"/>
          <w:color w:val="auto"/>
          <w:szCs w:val="21"/>
          <w:highlight w:val="none"/>
        </w:rPr>
        <w:t>3.1实施过程中的监理</w:t>
      </w:r>
    </w:p>
    <w:p>
      <w:pPr>
        <w:tabs>
          <w:tab w:val="left" w:pos="426"/>
        </w:tabs>
        <w:spacing w:beforeLines="0" w:afterLines="0"/>
        <w:ind w:firstLine="420" w:firstLineChars="200"/>
        <w:rPr>
          <w:color w:val="auto"/>
          <w:szCs w:val="21"/>
          <w:highlight w:val="none"/>
        </w:rPr>
      </w:pPr>
      <w:r>
        <w:rPr>
          <w:rFonts w:hint="eastAsia"/>
          <w:color w:val="auto"/>
          <w:szCs w:val="21"/>
          <w:highlight w:val="none"/>
        </w:rPr>
        <w:t>1）为保障项目全过程优质监理服务，投标单位应提供对本项目优质服务承诺；</w:t>
      </w:r>
    </w:p>
    <w:p>
      <w:pPr>
        <w:tabs>
          <w:tab w:val="left" w:pos="426"/>
        </w:tabs>
        <w:spacing w:beforeLines="0" w:afterLines="0"/>
        <w:ind w:firstLine="420" w:firstLineChars="200"/>
        <w:rPr>
          <w:color w:val="auto"/>
          <w:szCs w:val="21"/>
          <w:highlight w:val="none"/>
        </w:rPr>
      </w:pPr>
      <w:r>
        <w:rPr>
          <w:rFonts w:hint="eastAsia"/>
          <w:color w:val="auto"/>
          <w:szCs w:val="21"/>
          <w:highlight w:val="none"/>
        </w:rPr>
        <w:t>2）编制监理大纲、监理规划、监理实施细则，提交给招标单位审核；</w:t>
      </w:r>
    </w:p>
    <w:p>
      <w:pPr>
        <w:tabs>
          <w:tab w:val="left" w:pos="426"/>
        </w:tabs>
        <w:spacing w:beforeLines="0" w:afterLines="0"/>
        <w:ind w:firstLine="420" w:firstLineChars="200"/>
        <w:rPr>
          <w:color w:val="auto"/>
          <w:szCs w:val="21"/>
          <w:highlight w:val="none"/>
        </w:rPr>
      </w:pPr>
      <w:r>
        <w:rPr>
          <w:rFonts w:hint="eastAsia"/>
          <w:color w:val="auto"/>
          <w:szCs w:val="21"/>
          <w:highlight w:val="none"/>
        </w:rPr>
        <w:t>3）根据相关项目的工作范围的要求，制定出详细的项目管理实施计划，主要内容包括项目计划管理、人员管理、进度管理、质量管理、变更与风险管理、合同管理、安全管理、知识产权管理、沟通与协调管理、评估与验收管理、文档管理、项目管理办法、承建单位管理办法等，提交给招标单位审核，并依此进行过程管理；</w:t>
      </w:r>
    </w:p>
    <w:p>
      <w:pPr>
        <w:tabs>
          <w:tab w:val="left" w:pos="426"/>
        </w:tabs>
        <w:spacing w:beforeLines="0" w:afterLines="0"/>
        <w:ind w:firstLine="420" w:firstLineChars="200"/>
        <w:rPr>
          <w:color w:val="auto"/>
          <w:szCs w:val="21"/>
          <w:highlight w:val="none"/>
        </w:rPr>
      </w:pPr>
      <w:r>
        <w:rPr>
          <w:rFonts w:hint="eastAsia"/>
          <w:color w:val="auto"/>
          <w:szCs w:val="21"/>
          <w:highlight w:val="none"/>
        </w:rPr>
        <w:t>4）审核承建单位的开工申请报告，对承建单位进行开工前检查；</w:t>
      </w:r>
    </w:p>
    <w:p>
      <w:pPr>
        <w:tabs>
          <w:tab w:val="left" w:pos="426"/>
        </w:tabs>
        <w:spacing w:beforeLines="0" w:afterLines="0"/>
        <w:ind w:firstLine="420" w:firstLineChars="200"/>
        <w:rPr>
          <w:color w:val="auto"/>
          <w:szCs w:val="21"/>
          <w:highlight w:val="none"/>
        </w:rPr>
      </w:pPr>
      <w:r>
        <w:rPr>
          <w:rFonts w:hint="eastAsia"/>
          <w:color w:val="auto"/>
          <w:szCs w:val="21"/>
          <w:highlight w:val="none"/>
        </w:rPr>
        <w:t>5）根据项目的总体规划，与招标单位联合对承建单位制定的项目总体实施方案、技术方案、实施策略、实施规范等进行审核评估，并提交审核意见及相关问题处理方案和措施，以及监督方案和措施的执行；</w:t>
      </w:r>
    </w:p>
    <w:p>
      <w:pPr>
        <w:tabs>
          <w:tab w:val="left" w:pos="426"/>
        </w:tabs>
        <w:spacing w:beforeLines="0" w:afterLines="0"/>
        <w:ind w:firstLine="420" w:firstLineChars="200"/>
        <w:rPr>
          <w:color w:val="auto"/>
          <w:szCs w:val="21"/>
          <w:highlight w:val="none"/>
        </w:rPr>
      </w:pPr>
      <w:r>
        <w:rPr>
          <w:rFonts w:hint="eastAsia"/>
          <w:color w:val="auto"/>
          <w:szCs w:val="21"/>
          <w:highlight w:val="none"/>
        </w:rPr>
        <w:t>6）检查项目采用硬件、系统软件是否符合采购文件或技术方案所确定的品牌、型号、规格和质量标准，提交相关验收清单和验收方法，依此严格审查验收采购的硬件、系统软件产品，保证所有硬件、系统软件都符合合同要求；</w:t>
      </w:r>
    </w:p>
    <w:p>
      <w:pPr>
        <w:tabs>
          <w:tab w:val="left" w:pos="426"/>
        </w:tabs>
        <w:spacing w:beforeLines="0" w:afterLines="0"/>
        <w:ind w:firstLine="420" w:firstLineChars="200"/>
        <w:rPr>
          <w:color w:val="auto"/>
          <w:szCs w:val="21"/>
          <w:highlight w:val="none"/>
        </w:rPr>
      </w:pPr>
      <w:r>
        <w:rPr>
          <w:rFonts w:hint="eastAsia"/>
          <w:color w:val="auto"/>
          <w:szCs w:val="21"/>
          <w:highlight w:val="none"/>
        </w:rPr>
        <w:t>7）督促承建单位严格执行项目合同、国家相关技术标准、规范，对违反要求的及时向招标单位报告，并提出处理方案。对项目中的难点、重点进行检查，做好分项验收工作；</w:t>
      </w:r>
    </w:p>
    <w:p>
      <w:pPr>
        <w:tabs>
          <w:tab w:val="left" w:pos="426"/>
        </w:tabs>
        <w:spacing w:beforeLines="0" w:afterLines="0"/>
        <w:ind w:firstLine="420" w:firstLineChars="200"/>
        <w:rPr>
          <w:color w:val="auto"/>
          <w:szCs w:val="21"/>
          <w:highlight w:val="none"/>
        </w:rPr>
      </w:pPr>
      <w:r>
        <w:rPr>
          <w:rFonts w:hint="eastAsia"/>
          <w:color w:val="auto"/>
          <w:szCs w:val="21"/>
          <w:highlight w:val="none"/>
        </w:rPr>
        <w:t>8）对各项目以及项目整体的进展状况进行评审及监控，定期检查汇报项目实际进度情况，审核承建单位的进度报告，对项目实施过程中各个阶段的实施成果进行评审和管理，并提交审核意见及相关问题处理方案和措施，以及监督方案和措施的执行；</w:t>
      </w:r>
    </w:p>
    <w:p>
      <w:pPr>
        <w:tabs>
          <w:tab w:val="left" w:pos="426"/>
        </w:tabs>
        <w:spacing w:beforeLines="0" w:afterLines="0"/>
        <w:ind w:firstLine="420" w:firstLineChars="200"/>
        <w:rPr>
          <w:color w:val="auto"/>
          <w:szCs w:val="21"/>
          <w:highlight w:val="none"/>
        </w:rPr>
      </w:pPr>
      <w:r>
        <w:rPr>
          <w:rFonts w:hint="eastAsia"/>
          <w:color w:val="auto"/>
          <w:szCs w:val="21"/>
          <w:highlight w:val="none"/>
        </w:rPr>
        <w:t>9）监督需求管理、配置管理的执行和控制情况，督促整改存在的问题；</w:t>
      </w:r>
    </w:p>
    <w:p>
      <w:pPr>
        <w:tabs>
          <w:tab w:val="left" w:pos="426"/>
        </w:tabs>
        <w:spacing w:beforeLines="0" w:afterLines="0"/>
        <w:ind w:firstLine="420" w:firstLineChars="200"/>
        <w:rPr>
          <w:color w:val="auto"/>
          <w:szCs w:val="21"/>
          <w:highlight w:val="none"/>
        </w:rPr>
      </w:pPr>
      <w:r>
        <w:rPr>
          <w:rFonts w:hint="eastAsia"/>
          <w:color w:val="auto"/>
          <w:szCs w:val="21"/>
          <w:highlight w:val="none"/>
        </w:rPr>
        <w:t>10）根据项目进度情况，对阶段测试方案进行评审，并根据测试方案对已完成部分进行测试，就发现的问题提出处理方案和措施，以及监督方案和措施的执行；</w:t>
      </w:r>
    </w:p>
    <w:p>
      <w:pPr>
        <w:tabs>
          <w:tab w:val="left" w:pos="426"/>
        </w:tabs>
        <w:spacing w:beforeLines="0" w:afterLines="0"/>
        <w:ind w:firstLine="420" w:firstLineChars="200"/>
        <w:rPr>
          <w:color w:val="auto"/>
          <w:szCs w:val="21"/>
          <w:highlight w:val="none"/>
        </w:rPr>
      </w:pPr>
      <w:r>
        <w:rPr>
          <w:rFonts w:hint="eastAsia"/>
          <w:color w:val="auto"/>
          <w:szCs w:val="21"/>
          <w:highlight w:val="none"/>
        </w:rPr>
        <w:t>11）对项目的重大变更进行审核和有效控制，提出相关变更处理方案及措施，以及监督方案和措施的执行，处理好各种变更及索赔事宜；</w:t>
      </w:r>
    </w:p>
    <w:p>
      <w:pPr>
        <w:tabs>
          <w:tab w:val="left" w:pos="426"/>
        </w:tabs>
        <w:spacing w:beforeLines="0" w:afterLines="0"/>
        <w:ind w:firstLine="420" w:firstLineChars="200"/>
        <w:rPr>
          <w:color w:val="auto"/>
          <w:szCs w:val="21"/>
          <w:highlight w:val="none"/>
        </w:rPr>
      </w:pPr>
      <w:r>
        <w:rPr>
          <w:rFonts w:hint="eastAsia"/>
          <w:color w:val="auto"/>
          <w:szCs w:val="21"/>
          <w:highlight w:val="none"/>
        </w:rPr>
        <w:t>12）发现质量问题时及时向招标单位报告，并提出处理方案和措施，以及监督方案和措施执行；</w:t>
      </w:r>
    </w:p>
    <w:p>
      <w:pPr>
        <w:tabs>
          <w:tab w:val="left" w:pos="426"/>
        </w:tabs>
        <w:spacing w:beforeLines="0" w:afterLines="0"/>
        <w:ind w:firstLine="420" w:firstLineChars="200"/>
        <w:rPr>
          <w:color w:val="auto"/>
          <w:szCs w:val="21"/>
          <w:highlight w:val="none"/>
        </w:rPr>
      </w:pPr>
      <w:r>
        <w:rPr>
          <w:rFonts w:hint="eastAsia"/>
          <w:color w:val="auto"/>
          <w:szCs w:val="21"/>
          <w:highlight w:val="none"/>
        </w:rPr>
        <w:t>13）督促及监督承建单位按照有关部门规定的安全文明施工标准开展安全文明施工的规范培训、现场施工的安全防护与标识牌的设置；</w:t>
      </w:r>
    </w:p>
    <w:p>
      <w:pPr>
        <w:tabs>
          <w:tab w:val="left" w:pos="426"/>
        </w:tabs>
        <w:spacing w:beforeLines="0" w:afterLines="0"/>
        <w:ind w:firstLine="420" w:firstLineChars="200"/>
        <w:rPr>
          <w:color w:val="auto"/>
          <w:szCs w:val="21"/>
          <w:highlight w:val="none"/>
        </w:rPr>
      </w:pPr>
      <w:r>
        <w:rPr>
          <w:rFonts w:hint="eastAsia"/>
          <w:color w:val="auto"/>
          <w:szCs w:val="21"/>
          <w:highlight w:val="none"/>
        </w:rPr>
        <w:t>14）每月编制监理月报向招标单位综合报告和评价本月的质量和进度、合同执行情况、发生的重大事件、下月工作的计划、需要配合的事宜以及发生变化的可能性与应对措施；</w:t>
      </w:r>
    </w:p>
    <w:p>
      <w:pPr>
        <w:tabs>
          <w:tab w:val="left" w:pos="426"/>
        </w:tabs>
        <w:spacing w:beforeLines="0" w:afterLines="0"/>
        <w:ind w:firstLine="420" w:firstLineChars="200"/>
        <w:rPr>
          <w:color w:val="auto"/>
          <w:szCs w:val="21"/>
          <w:highlight w:val="none"/>
        </w:rPr>
      </w:pPr>
      <w:r>
        <w:rPr>
          <w:rFonts w:hint="eastAsia"/>
          <w:color w:val="auto"/>
          <w:szCs w:val="21"/>
          <w:highlight w:val="none"/>
        </w:rPr>
        <w:t>15）其他需要监理的事项。</w:t>
      </w:r>
    </w:p>
    <w:p>
      <w:pPr>
        <w:tabs>
          <w:tab w:val="left" w:pos="426"/>
        </w:tabs>
        <w:spacing w:beforeLines="0" w:afterLines="0"/>
        <w:ind w:firstLine="420" w:firstLineChars="200"/>
        <w:rPr>
          <w:color w:val="auto"/>
          <w:szCs w:val="21"/>
          <w:highlight w:val="none"/>
        </w:rPr>
      </w:pPr>
      <w:r>
        <w:rPr>
          <w:rFonts w:hint="eastAsia"/>
          <w:color w:val="auto"/>
          <w:szCs w:val="21"/>
          <w:highlight w:val="none"/>
        </w:rPr>
        <w:t>3.2试运行阶段的监理</w:t>
      </w:r>
    </w:p>
    <w:p>
      <w:pPr>
        <w:tabs>
          <w:tab w:val="left" w:pos="426"/>
        </w:tabs>
        <w:spacing w:beforeLines="0" w:afterLines="0"/>
        <w:ind w:firstLine="420" w:firstLineChars="200"/>
        <w:rPr>
          <w:color w:val="auto"/>
          <w:szCs w:val="21"/>
          <w:highlight w:val="none"/>
        </w:rPr>
      </w:pPr>
      <w:r>
        <w:rPr>
          <w:rFonts w:hint="eastAsia"/>
          <w:color w:val="auto"/>
          <w:szCs w:val="21"/>
          <w:highlight w:val="none"/>
        </w:rPr>
        <w:t>1）协助招标单位确认项目进入试运行；</w:t>
      </w:r>
    </w:p>
    <w:p>
      <w:pPr>
        <w:tabs>
          <w:tab w:val="left" w:pos="426"/>
        </w:tabs>
        <w:spacing w:beforeLines="0" w:afterLines="0"/>
        <w:ind w:firstLine="420" w:firstLineChars="200"/>
        <w:rPr>
          <w:color w:val="auto"/>
          <w:szCs w:val="21"/>
          <w:highlight w:val="none"/>
        </w:rPr>
      </w:pPr>
      <w:r>
        <w:rPr>
          <w:rFonts w:hint="eastAsia"/>
          <w:color w:val="auto"/>
          <w:szCs w:val="21"/>
          <w:highlight w:val="none"/>
        </w:rPr>
        <w:t>2）监查系统的调试和试运行情况，记录系统试运行数据；</w:t>
      </w:r>
    </w:p>
    <w:p>
      <w:pPr>
        <w:tabs>
          <w:tab w:val="left" w:pos="426"/>
        </w:tabs>
        <w:spacing w:beforeLines="0" w:afterLines="0"/>
        <w:ind w:firstLine="420" w:firstLineChars="200"/>
        <w:rPr>
          <w:color w:val="auto"/>
          <w:szCs w:val="21"/>
          <w:highlight w:val="none"/>
        </w:rPr>
      </w:pPr>
      <w:r>
        <w:rPr>
          <w:rFonts w:hint="eastAsia"/>
          <w:color w:val="auto"/>
          <w:szCs w:val="21"/>
          <w:highlight w:val="none"/>
        </w:rPr>
        <w:t>3）进行试运行期系统检测或测试，做出检测或测试报告；</w:t>
      </w:r>
    </w:p>
    <w:p>
      <w:pPr>
        <w:tabs>
          <w:tab w:val="left" w:pos="426"/>
        </w:tabs>
        <w:spacing w:beforeLines="0" w:afterLines="0"/>
        <w:ind w:firstLine="420" w:firstLineChars="200"/>
        <w:rPr>
          <w:color w:val="auto"/>
          <w:szCs w:val="21"/>
          <w:highlight w:val="none"/>
        </w:rPr>
      </w:pPr>
      <w:r>
        <w:rPr>
          <w:rFonts w:hint="eastAsia"/>
          <w:color w:val="auto"/>
          <w:szCs w:val="21"/>
          <w:highlight w:val="none"/>
        </w:rPr>
        <w:t>4）试运行期间系统出现的质量问题进行记录，并责成有关单位解决。</w:t>
      </w:r>
    </w:p>
    <w:p>
      <w:pPr>
        <w:tabs>
          <w:tab w:val="left" w:pos="426"/>
        </w:tabs>
        <w:spacing w:beforeLines="0" w:afterLines="0"/>
        <w:ind w:firstLine="420" w:firstLineChars="200"/>
        <w:rPr>
          <w:color w:val="auto"/>
          <w:szCs w:val="21"/>
          <w:highlight w:val="none"/>
        </w:rPr>
      </w:pPr>
      <w:r>
        <w:rPr>
          <w:rFonts w:hint="eastAsia"/>
          <w:color w:val="auto"/>
          <w:szCs w:val="21"/>
          <w:highlight w:val="none"/>
        </w:rPr>
        <w:t>5）进行试运行时间核算；</w:t>
      </w:r>
    </w:p>
    <w:p>
      <w:pPr>
        <w:tabs>
          <w:tab w:val="left" w:pos="426"/>
        </w:tabs>
        <w:spacing w:beforeLines="0" w:afterLines="0"/>
        <w:ind w:firstLine="420" w:firstLineChars="200"/>
        <w:rPr>
          <w:color w:val="auto"/>
          <w:szCs w:val="21"/>
          <w:highlight w:val="none"/>
        </w:rPr>
      </w:pPr>
      <w:r>
        <w:rPr>
          <w:rFonts w:hint="eastAsia"/>
          <w:color w:val="auto"/>
          <w:szCs w:val="21"/>
          <w:highlight w:val="none"/>
        </w:rPr>
        <w:t>6）协助招标单位确认试运行通过。</w:t>
      </w:r>
    </w:p>
    <w:p>
      <w:pPr>
        <w:tabs>
          <w:tab w:val="left" w:pos="426"/>
        </w:tabs>
        <w:spacing w:beforeLines="0" w:afterLines="0"/>
        <w:ind w:firstLine="420" w:firstLineChars="200"/>
        <w:rPr>
          <w:color w:val="auto"/>
          <w:szCs w:val="21"/>
          <w:highlight w:val="none"/>
        </w:rPr>
      </w:pPr>
      <w:r>
        <w:rPr>
          <w:rFonts w:hint="eastAsia"/>
          <w:color w:val="auto"/>
          <w:szCs w:val="21"/>
          <w:highlight w:val="none"/>
        </w:rPr>
        <w:t>3.3验收过程中的监理</w:t>
      </w:r>
    </w:p>
    <w:p>
      <w:pPr>
        <w:tabs>
          <w:tab w:val="left" w:pos="426"/>
        </w:tabs>
        <w:spacing w:beforeLines="0" w:afterLines="0"/>
        <w:ind w:firstLine="420" w:firstLineChars="200"/>
        <w:rPr>
          <w:color w:val="auto"/>
          <w:szCs w:val="21"/>
          <w:highlight w:val="none"/>
        </w:rPr>
      </w:pPr>
      <w:r>
        <w:rPr>
          <w:rFonts w:hint="eastAsia"/>
          <w:color w:val="auto"/>
          <w:szCs w:val="21"/>
          <w:highlight w:val="none"/>
        </w:rPr>
        <w:t>1）审核承建单位测试方案、竣工文档、验收报告、项目结算，对测试过程进行全程监控，确保交付质量；</w:t>
      </w:r>
    </w:p>
    <w:p>
      <w:pPr>
        <w:tabs>
          <w:tab w:val="left" w:pos="426"/>
        </w:tabs>
        <w:spacing w:beforeLines="0" w:afterLines="0"/>
        <w:ind w:firstLine="420" w:firstLineChars="200"/>
        <w:rPr>
          <w:color w:val="auto"/>
          <w:szCs w:val="21"/>
          <w:highlight w:val="none"/>
        </w:rPr>
      </w:pPr>
      <w:r>
        <w:rPr>
          <w:rFonts w:hint="eastAsia"/>
          <w:color w:val="auto"/>
          <w:szCs w:val="21"/>
          <w:highlight w:val="none"/>
        </w:rPr>
        <w:t>2）协助招标单位审批承建单位的验收申请，并制订项目验收计划；</w:t>
      </w:r>
    </w:p>
    <w:p>
      <w:pPr>
        <w:tabs>
          <w:tab w:val="left" w:pos="426"/>
        </w:tabs>
        <w:spacing w:beforeLines="0" w:afterLines="0"/>
        <w:ind w:firstLine="420" w:firstLineChars="200"/>
        <w:rPr>
          <w:color w:val="auto"/>
          <w:szCs w:val="21"/>
          <w:highlight w:val="none"/>
        </w:rPr>
      </w:pPr>
      <w:r>
        <w:rPr>
          <w:rFonts w:hint="eastAsia"/>
          <w:color w:val="auto"/>
          <w:szCs w:val="21"/>
          <w:highlight w:val="none"/>
        </w:rPr>
        <w:t>3）协助招标单位进行项目初验、试运行和终验工作，并负责督促和检查承建单位的整改工作；</w:t>
      </w:r>
    </w:p>
    <w:p>
      <w:pPr>
        <w:tabs>
          <w:tab w:val="left" w:pos="426"/>
        </w:tabs>
        <w:spacing w:beforeLines="0" w:afterLines="0"/>
        <w:ind w:firstLine="420" w:firstLineChars="200"/>
        <w:rPr>
          <w:color w:val="auto"/>
          <w:szCs w:val="21"/>
          <w:highlight w:val="none"/>
        </w:rPr>
      </w:pPr>
      <w:r>
        <w:rPr>
          <w:rFonts w:hint="eastAsia"/>
          <w:color w:val="auto"/>
          <w:szCs w:val="21"/>
          <w:highlight w:val="none"/>
        </w:rPr>
        <w:t>4）各项目完工后根据相关合同督促承建单位将完整的原始实施技术资料移交给招标单位，同时负责检查移交的文档（项目的设计方案、设计图纸，设备、材料等的验收文档，项目施工文档、竣工文档），确保真实和完整；</w:t>
      </w:r>
    </w:p>
    <w:p>
      <w:pPr>
        <w:tabs>
          <w:tab w:val="left" w:pos="426"/>
        </w:tabs>
        <w:spacing w:beforeLines="0" w:afterLines="0"/>
        <w:ind w:firstLine="420" w:firstLineChars="200"/>
        <w:rPr>
          <w:color w:val="auto"/>
          <w:szCs w:val="21"/>
          <w:highlight w:val="none"/>
        </w:rPr>
      </w:pPr>
      <w:r>
        <w:rPr>
          <w:rFonts w:hint="eastAsia"/>
          <w:color w:val="auto"/>
          <w:szCs w:val="21"/>
          <w:highlight w:val="none"/>
        </w:rPr>
        <w:t>5）复核确认或否决承建单位编制的项目结算、决算，提出监理意见；</w:t>
      </w:r>
    </w:p>
    <w:p>
      <w:pPr>
        <w:tabs>
          <w:tab w:val="left" w:pos="426"/>
        </w:tabs>
        <w:spacing w:beforeLines="0" w:afterLines="0"/>
        <w:ind w:firstLine="420" w:firstLineChars="200"/>
        <w:rPr>
          <w:color w:val="auto"/>
          <w:szCs w:val="21"/>
          <w:highlight w:val="none"/>
        </w:rPr>
      </w:pPr>
      <w:r>
        <w:rPr>
          <w:rFonts w:hint="eastAsia"/>
          <w:color w:val="auto"/>
          <w:szCs w:val="21"/>
          <w:highlight w:val="none"/>
        </w:rPr>
        <w:t>6）项目验收通过后，与招标单位、承建单位三方共同签署验收报告；</w:t>
      </w:r>
    </w:p>
    <w:p>
      <w:pPr>
        <w:tabs>
          <w:tab w:val="left" w:pos="426"/>
        </w:tabs>
        <w:spacing w:beforeLines="0" w:afterLines="0"/>
        <w:ind w:firstLine="420" w:firstLineChars="200"/>
        <w:rPr>
          <w:color w:val="auto"/>
          <w:szCs w:val="21"/>
          <w:highlight w:val="none"/>
        </w:rPr>
      </w:pPr>
      <w:r>
        <w:rPr>
          <w:rFonts w:hint="eastAsia"/>
          <w:color w:val="auto"/>
          <w:szCs w:val="21"/>
          <w:highlight w:val="none"/>
        </w:rPr>
        <w:t>7）项目验收完毕进入保修阶段的审核与签发移交证书。</w:t>
      </w:r>
    </w:p>
    <w:p>
      <w:pPr>
        <w:tabs>
          <w:tab w:val="left" w:pos="426"/>
        </w:tabs>
        <w:spacing w:beforeLines="0" w:afterLines="0"/>
        <w:ind w:firstLine="420" w:firstLineChars="200"/>
        <w:rPr>
          <w:color w:val="auto"/>
          <w:szCs w:val="21"/>
          <w:highlight w:val="none"/>
        </w:rPr>
      </w:pPr>
      <w:r>
        <w:rPr>
          <w:rFonts w:hint="eastAsia"/>
          <w:color w:val="auto"/>
          <w:szCs w:val="21"/>
          <w:highlight w:val="none"/>
        </w:rPr>
        <w:t>8）出具监理总结报告；</w:t>
      </w:r>
    </w:p>
    <w:p>
      <w:pPr>
        <w:tabs>
          <w:tab w:val="left" w:pos="426"/>
        </w:tabs>
        <w:spacing w:beforeLines="0" w:afterLines="0"/>
        <w:ind w:firstLine="420" w:firstLineChars="200"/>
        <w:rPr>
          <w:color w:val="auto"/>
          <w:szCs w:val="21"/>
          <w:highlight w:val="none"/>
        </w:rPr>
      </w:pPr>
      <w:r>
        <w:rPr>
          <w:rFonts w:hint="eastAsia"/>
          <w:color w:val="auto"/>
          <w:szCs w:val="21"/>
          <w:highlight w:val="none"/>
        </w:rPr>
        <w:t>9）其他需要监理的事项。</w:t>
      </w:r>
    </w:p>
    <w:p>
      <w:pPr>
        <w:tabs>
          <w:tab w:val="left" w:pos="426"/>
        </w:tabs>
        <w:spacing w:beforeLines="0" w:afterLines="0"/>
        <w:ind w:firstLine="420" w:firstLineChars="200"/>
        <w:rPr>
          <w:color w:val="auto"/>
          <w:szCs w:val="21"/>
          <w:highlight w:val="none"/>
        </w:rPr>
      </w:pPr>
      <w:r>
        <w:rPr>
          <w:rFonts w:hint="eastAsia"/>
          <w:color w:val="auto"/>
          <w:szCs w:val="21"/>
          <w:highlight w:val="none"/>
        </w:rPr>
        <w:t>3.4保修阶段的监理</w:t>
      </w:r>
    </w:p>
    <w:p>
      <w:pPr>
        <w:tabs>
          <w:tab w:val="left" w:pos="426"/>
        </w:tabs>
        <w:spacing w:beforeLines="0" w:afterLines="0"/>
        <w:ind w:firstLine="420" w:firstLineChars="200"/>
        <w:rPr>
          <w:color w:val="auto"/>
          <w:szCs w:val="21"/>
          <w:highlight w:val="none"/>
        </w:rPr>
      </w:pPr>
      <w:r>
        <w:rPr>
          <w:rFonts w:hint="eastAsia"/>
          <w:color w:val="auto"/>
          <w:szCs w:val="21"/>
          <w:highlight w:val="none"/>
        </w:rPr>
        <w:t>1）审核承建单位的维护维修（定期维护）计划，并定期检查承建单位是否按计划进行定期维护；</w:t>
      </w:r>
    </w:p>
    <w:p>
      <w:pPr>
        <w:tabs>
          <w:tab w:val="left" w:pos="426"/>
        </w:tabs>
        <w:spacing w:beforeLines="0" w:afterLines="0"/>
        <w:ind w:firstLine="420" w:firstLineChars="200"/>
        <w:rPr>
          <w:color w:val="auto"/>
          <w:szCs w:val="21"/>
          <w:highlight w:val="none"/>
        </w:rPr>
      </w:pPr>
      <w:r>
        <w:rPr>
          <w:rFonts w:hint="eastAsia"/>
          <w:color w:val="auto"/>
          <w:szCs w:val="21"/>
          <w:highlight w:val="none"/>
        </w:rPr>
        <w:t>2）当出现质量问题时，鉴定质量问题的责任；</w:t>
      </w:r>
    </w:p>
    <w:p>
      <w:pPr>
        <w:tabs>
          <w:tab w:val="left" w:pos="426"/>
        </w:tabs>
        <w:spacing w:beforeLines="0" w:afterLines="0"/>
        <w:ind w:firstLine="420" w:firstLineChars="200"/>
        <w:rPr>
          <w:color w:val="auto"/>
          <w:szCs w:val="21"/>
          <w:highlight w:val="none"/>
        </w:rPr>
      </w:pPr>
      <w:r>
        <w:rPr>
          <w:rFonts w:hint="eastAsia"/>
          <w:color w:val="auto"/>
          <w:szCs w:val="21"/>
          <w:highlight w:val="none"/>
        </w:rPr>
        <w:t>3）对质量问题的处理结果进行跟踪、评审，直至解决为止；</w:t>
      </w:r>
    </w:p>
    <w:p>
      <w:pPr>
        <w:tabs>
          <w:tab w:val="left" w:pos="426"/>
        </w:tabs>
        <w:spacing w:beforeLines="0" w:afterLines="0"/>
        <w:ind w:firstLine="420" w:firstLineChars="200"/>
        <w:rPr>
          <w:color w:val="auto"/>
          <w:szCs w:val="21"/>
          <w:highlight w:val="none"/>
        </w:rPr>
      </w:pPr>
      <w:r>
        <w:rPr>
          <w:rFonts w:hint="eastAsia"/>
          <w:color w:val="auto"/>
          <w:szCs w:val="21"/>
          <w:highlight w:val="none"/>
        </w:rPr>
        <w:t>4）审查造成质量问题的费用清单，并根据相关责任认定费用由谁支付；</w:t>
      </w:r>
    </w:p>
    <w:p>
      <w:pPr>
        <w:tabs>
          <w:tab w:val="left" w:pos="426"/>
        </w:tabs>
        <w:spacing w:beforeLines="0" w:afterLines="0"/>
        <w:ind w:firstLine="420" w:firstLineChars="200"/>
        <w:rPr>
          <w:color w:val="auto"/>
          <w:szCs w:val="21"/>
          <w:highlight w:val="none"/>
        </w:rPr>
      </w:pPr>
      <w:r>
        <w:rPr>
          <w:rFonts w:hint="eastAsia"/>
          <w:color w:val="auto"/>
          <w:szCs w:val="21"/>
          <w:highlight w:val="none"/>
        </w:rPr>
        <w:t>5）出具保修服务期的监理总结报告；</w:t>
      </w:r>
    </w:p>
    <w:p>
      <w:pPr>
        <w:tabs>
          <w:tab w:val="left" w:pos="426"/>
        </w:tabs>
        <w:spacing w:beforeLines="0" w:afterLines="0"/>
        <w:ind w:firstLine="420" w:firstLineChars="200"/>
        <w:rPr>
          <w:color w:val="auto"/>
          <w:szCs w:val="21"/>
          <w:highlight w:val="none"/>
        </w:rPr>
      </w:pPr>
      <w:r>
        <w:rPr>
          <w:rFonts w:hint="eastAsia"/>
          <w:color w:val="auto"/>
          <w:szCs w:val="21"/>
          <w:highlight w:val="none"/>
        </w:rPr>
        <w:t>6）其他需要监理的事项。</w:t>
      </w:r>
    </w:p>
    <w:p>
      <w:pPr>
        <w:tabs>
          <w:tab w:val="left" w:pos="426"/>
        </w:tabs>
        <w:spacing w:beforeLines="0" w:afterLines="0"/>
        <w:ind w:firstLine="420" w:firstLineChars="200"/>
        <w:rPr>
          <w:color w:val="auto"/>
          <w:szCs w:val="21"/>
          <w:highlight w:val="none"/>
        </w:rPr>
      </w:pPr>
      <w:r>
        <w:rPr>
          <w:rFonts w:hint="eastAsia"/>
          <w:color w:val="auto"/>
          <w:szCs w:val="21"/>
          <w:highlight w:val="none"/>
        </w:rPr>
        <w:t>3.5项目的动态管理和控制要求</w:t>
      </w:r>
    </w:p>
    <w:p>
      <w:pPr>
        <w:tabs>
          <w:tab w:val="left" w:pos="426"/>
        </w:tabs>
        <w:spacing w:beforeLines="0" w:afterLines="0"/>
        <w:ind w:firstLine="420" w:firstLineChars="200"/>
        <w:rPr>
          <w:color w:val="auto"/>
          <w:szCs w:val="21"/>
          <w:highlight w:val="none"/>
        </w:rPr>
      </w:pPr>
      <w:r>
        <w:rPr>
          <w:rFonts w:hint="eastAsia"/>
          <w:color w:val="auto"/>
          <w:szCs w:val="21"/>
          <w:highlight w:val="none"/>
        </w:rPr>
        <w:t>投标单位应根据项目的特点，制定项目的目标规划、动态控制和管理方案，对项目进行主动控制，对项目实施动态管理，发现问题，及时纠偏，不断修改。</w:t>
      </w:r>
    </w:p>
    <w:p>
      <w:pPr>
        <w:tabs>
          <w:tab w:val="left" w:pos="426"/>
        </w:tabs>
        <w:spacing w:beforeLines="0" w:afterLines="0"/>
        <w:ind w:firstLine="420" w:firstLineChars="200"/>
        <w:rPr>
          <w:color w:val="auto"/>
          <w:szCs w:val="21"/>
          <w:highlight w:val="none"/>
        </w:rPr>
      </w:pPr>
      <w:r>
        <w:rPr>
          <w:rFonts w:hint="eastAsia"/>
          <w:color w:val="auto"/>
          <w:szCs w:val="21"/>
          <w:highlight w:val="none"/>
        </w:rPr>
        <w:t>4、监理终止要求</w:t>
      </w:r>
    </w:p>
    <w:p>
      <w:pPr>
        <w:tabs>
          <w:tab w:val="left" w:pos="426"/>
        </w:tabs>
        <w:spacing w:beforeLines="0" w:afterLines="0"/>
        <w:ind w:firstLine="420" w:firstLineChars="200"/>
        <w:rPr>
          <w:color w:val="auto"/>
          <w:szCs w:val="21"/>
          <w:highlight w:val="none"/>
        </w:rPr>
      </w:pPr>
      <w:r>
        <w:rPr>
          <w:rFonts w:hint="eastAsia"/>
          <w:color w:val="auto"/>
          <w:szCs w:val="21"/>
          <w:highlight w:val="none"/>
        </w:rPr>
        <w:t>在本项目工程监理过程中，发生下列几种情况时之一的，招标单位有权申请终止与投标单位所签订的监理合同。</w:t>
      </w:r>
    </w:p>
    <w:p>
      <w:pPr>
        <w:tabs>
          <w:tab w:val="left" w:pos="426"/>
        </w:tabs>
        <w:spacing w:beforeLines="0" w:afterLines="0"/>
        <w:ind w:firstLine="420" w:firstLineChars="200"/>
        <w:rPr>
          <w:color w:val="auto"/>
          <w:szCs w:val="21"/>
          <w:highlight w:val="none"/>
        </w:rPr>
      </w:pPr>
      <w:r>
        <w:rPr>
          <w:rFonts w:hint="eastAsia"/>
          <w:color w:val="auto"/>
          <w:szCs w:val="21"/>
          <w:highlight w:val="none"/>
        </w:rPr>
        <w:t>4.1要求常驻的监理工程师出现严重的脱岗情况的；</w:t>
      </w:r>
    </w:p>
    <w:p>
      <w:pPr>
        <w:tabs>
          <w:tab w:val="left" w:pos="426"/>
        </w:tabs>
        <w:spacing w:beforeLines="0" w:afterLines="0"/>
        <w:ind w:firstLine="420" w:firstLineChars="200"/>
        <w:rPr>
          <w:color w:val="auto"/>
          <w:szCs w:val="21"/>
          <w:highlight w:val="none"/>
        </w:rPr>
      </w:pPr>
      <w:r>
        <w:rPr>
          <w:rFonts w:hint="eastAsia"/>
          <w:color w:val="auto"/>
          <w:szCs w:val="21"/>
          <w:highlight w:val="none"/>
        </w:rPr>
        <w:t>4.2经监理单位验收过的项目内容与承建单位提供产品（或服务）内容不一致；</w:t>
      </w:r>
    </w:p>
    <w:p>
      <w:pPr>
        <w:tabs>
          <w:tab w:val="left" w:pos="426"/>
        </w:tabs>
        <w:spacing w:beforeLines="0" w:afterLines="0"/>
        <w:ind w:firstLine="420" w:firstLineChars="200"/>
        <w:rPr>
          <w:color w:val="auto"/>
          <w:szCs w:val="21"/>
          <w:highlight w:val="none"/>
        </w:rPr>
      </w:pPr>
      <w:r>
        <w:rPr>
          <w:rFonts w:hint="eastAsia"/>
          <w:color w:val="auto"/>
          <w:szCs w:val="21"/>
          <w:highlight w:val="none"/>
        </w:rPr>
        <w:t>4.3监理单位与项目承建单位联合欺骗招标单位，弄虚作假的；</w:t>
      </w:r>
    </w:p>
    <w:p>
      <w:pPr>
        <w:tabs>
          <w:tab w:val="left" w:pos="426"/>
        </w:tabs>
        <w:spacing w:beforeLines="0" w:afterLines="0"/>
        <w:ind w:firstLine="420" w:firstLineChars="200"/>
        <w:rPr>
          <w:color w:val="auto"/>
          <w:szCs w:val="21"/>
          <w:highlight w:val="none"/>
        </w:rPr>
      </w:pPr>
      <w:r>
        <w:rPr>
          <w:rFonts w:hint="eastAsia"/>
          <w:color w:val="auto"/>
          <w:szCs w:val="21"/>
          <w:highlight w:val="none"/>
        </w:rPr>
        <w:t>4.4监理单位验收过的项目出现严重质量事故的；</w:t>
      </w:r>
    </w:p>
    <w:p>
      <w:pPr>
        <w:tabs>
          <w:tab w:val="left" w:pos="426"/>
        </w:tabs>
        <w:spacing w:beforeLines="0" w:afterLines="0"/>
        <w:ind w:firstLine="420" w:firstLineChars="200"/>
        <w:rPr>
          <w:color w:val="auto"/>
          <w:szCs w:val="21"/>
          <w:highlight w:val="none"/>
        </w:rPr>
      </w:pPr>
      <w:r>
        <w:rPr>
          <w:rFonts w:hint="eastAsia"/>
          <w:color w:val="auto"/>
          <w:szCs w:val="21"/>
          <w:highlight w:val="none"/>
        </w:rPr>
        <w:t>4.5参与本项目的监理工程师频繁更换且未经招标单位同意的；</w:t>
      </w:r>
    </w:p>
    <w:p>
      <w:pPr>
        <w:tabs>
          <w:tab w:val="left" w:pos="426"/>
        </w:tabs>
        <w:spacing w:beforeLines="0" w:afterLines="0"/>
        <w:ind w:firstLine="420" w:firstLineChars="200"/>
        <w:rPr>
          <w:color w:val="auto"/>
          <w:szCs w:val="21"/>
          <w:highlight w:val="none"/>
        </w:rPr>
      </w:pPr>
      <w:r>
        <w:rPr>
          <w:rFonts w:hint="eastAsia"/>
          <w:color w:val="auto"/>
          <w:szCs w:val="21"/>
          <w:highlight w:val="none"/>
        </w:rPr>
        <w:t>4.6监理单位所派出的监理工程师的服务质量较差；</w:t>
      </w:r>
    </w:p>
    <w:p>
      <w:pPr>
        <w:tabs>
          <w:tab w:val="left" w:pos="426"/>
        </w:tabs>
        <w:spacing w:beforeLines="0" w:afterLines="0"/>
        <w:ind w:firstLine="420" w:firstLineChars="200"/>
        <w:rPr>
          <w:color w:val="auto"/>
          <w:szCs w:val="21"/>
          <w:highlight w:val="none"/>
        </w:rPr>
      </w:pPr>
      <w:r>
        <w:rPr>
          <w:rFonts w:hint="eastAsia"/>
          <w:color w:val="auto"/>
          <w:szCs w:val="21"/>
          <w:highlight w:val="none"/>
        </w:rPr>
        <w:t>4.7监理单位将本项目的子项目分包给其他监理单位的；</w:t>
      </w:r>
    </w:p>
    <w:p>
      <w:pPr>
        <w:tabs>
          <w:tab w:val="left" w:pos="426"/>
        </w:tabs>
        <w:spacing w:beforeLines="0" w:afterLines="0"/>
        <w:ind w:firstLine="420" w:firstLineChars="200"/>
        <w:rPr>
          <w:color w:val="auto"/>
          <w:szCs w:val="21"/>
          <w:highlight w:val="none"/>
        </w:rPr>
      </w:pPr>
      <w:r>
        <w:rPr>
          <w:rFonts w:hint="eastAsia"/>
          <w:color w:val="auto"/>
          <w:szCs w:val="21"/>
          <w:highlight w:val="none"/>
        </w:rPr>
        <w:t>4.8监理单位泄露本项目的工作秘密的；</w:t>
      </w:r>
    </w:p>
    <w:p>
      <w:pPr>
        <w:tabs>
          <w:tab w:val="left" w:pos="426"/>
        </w:tabs>
        <w:spacing w:beforeLines="0" w:afterLines="0"/>
        <w:ind w:firstLine="420" w:firstLineChars="200"/>
        <w:rPr>
          <w:color w:val="auto"/>
          <w:szCs w:val="21"/>
          <w:highlight w:val="none"/>
        </w:rPr>
      </w:pPr>
      <w:r>
        <w:rPr>
          <w:rFonts w:hint="eastAsia"/>
          <w:color w:val="auto"/>
          <w:szCs w:val="21"/>
          <w:highlight w:val="none"/>
        </w:rPr>
        <w:t>4.9监理单位未能依法履行其他监理职责的。</w:t>
      </w:r>
    </w:p>
    <w:p>
      <w:pPr>
        <w:tabs>
          <w:tab w:val="left" w:pos="426"/>
        </w:tabs>
        <w:spacing w:beforeLines="0" w:afterLines="0"/>
        <w:ind w:firstLine="420" w:firstLineChars="200"/>
        <w:rPr>
          <w:color w:val="auto"/>
          <w:szCs w:val="21"/>
          <w:highlight w:val="none"/>
        </w:rPr>
      </w:pPr>
      <w:r>
        <w:rPr>
          <w:rFonts w:hint="eastAsia"/>
          <w:color w:val="auto"/>
          <w:szCs w:val="21"/>
          <w:highlight w:val="none"/>
        </w:rPr>
        <w:t>5、监理服务质量保障</w:t>
      </w:r>
    </w:p>
    <w:p>
      <w:pPr>
        <w:tabs>
          <w:tab w:val="left" w:pos="426"/>
        </w:tabs>
        <w:spacing w:beforeLines="0" w:afterLines="0"/>
        <w:ind w:firstLine="420" w:firstLineChars="200"/>
        <w:rPr>
          <w:color w:val="auto"/>
          <w:szCs w:val="21"/>
          <w:highlight w:val="none"/>
        </w:rPr>
      </w:pPr>
      <w:r>
        <w:rPr>
          <w:rFonts w:hint="eastAsia"/>
          <w:color w:val="auto"/>
          <w:szCs w:val="21"/>
          <w:highlight w:val="none"/>
        </w:rPr>
        <w:t>要求投标单位根据自身特点，在公司资质、案例、质量保障体系、人员结构、监理设施配置等不同角度来说明完成上述监理工作的保证。</w:t>
      </w:r>
    </w:p>
    <w:p>
      <w:pPr>
        <w:tabs>
          <w:tab w:val="left" w:pos="426"/>
        </w:tabs>
        <w:spacing w:beforeLines="0" w:afterLines="0"/>
        <w:ind w:firstLine="420" w:firstLineChars="200"/>
        <w:rPr>
          <w:color w:val="auto"/>
          <w:szCs w:val="21"/>
          <w:highlight w:val="none"/>
        </w:rPr>
      </w:pPr>
      <w:r>
        <w:rPr>
          <w:rFonts w:hint="eastAsia"/>
          <w:color w:val="auto"/>
          <w:szCs w:val="21"/>
          <w:highlight w:val="none"/>
        </w:rPr>
        <w:t>6、安全保密要求</w:t>
      </w:r>
    </w:p>
    <w:p>
      <w:pPr>
        <w:tabs>
          <w:tab w:val="left" w:pos="426"/>
        </w:tabs>
        <w:spacing w:beforeLines="0" w:afterLines="0"/>
        <w:ind w:firstLine="420" w:firstLineChars="200"/>
        <w:rPr>
          <w:color w:val="auto"/>
          <w:szCs w:val="21"/>
          <w:highlight w:val="none"/>
        </w:rPr>
      </w:pPr>
      <w:r>
        <w:rPr>
          <w:rFonts w:hint="eastAsia"/>
          <w:color w:val="auto"/>
          <w:szCs w:val="21"/>
          <w:highlight w:val="none"/>
        </w:rPr>
        <w:t>本项目要求投标单位制定一整套监理安全保密制度(随同投标文件一起上传)，确定项目保密责任人，同时要求投标单位：</w:t>
      </w:r>
    </w:p>
    <w:p>
      <w:pPr>
        <w:tabs>
          <w:tab w:val="left" w:pos="426"/>
        </w:tabs>
        <w:spacing w:beforeLines="0" w:afterLines="0"/>
        <w:ind w:firstLine="420" w:firstLineChars="200"/>
        <w:rPr>
          <w:color w:val="auto"/>
          <w:szCs w:val="21"/>
          <w:highlight w:val="none"/>
        </w:rPr>
      </w:pPr>
      <w:r>
        <w:rPr>
          <w:rFonts w:hint="eastAsia"/>
          <w:color w:val="auto"/>
          <w:szCs w:val="21"/>
          <w:highlight w:val="none"/>
        </w:rPr>
        <w:t>6.1按照国家、省的有关法规文件规定，要求监理履行保密责任，并与招标单位签订保密协议；</w:t>
      </w:r>
    </w:p>
    <w:p>
      <w:pPr>
        <w:tabs>
          <w:tab w:val="left" w:pos="426"/>
        </w:tabs>
        <w:spacing w:beforeLines="0" w:afterLines="0"/>
        <w:ind w:firstLine="420" w:firstLineChars="200"/>
        <w:rPr>
          <w:color w:val="auto"/>
          <w:szCs w:val="21"/>
          <w:highlight w:val="none"/>
        </w:rPr>
      </w:pPr>
      <w:r>
        <w:rPr>
          <w:rFonts w:hint="eastAsia"/>
          <w:color w:val="auto"/>
          <w:szCs w:val="21"/>
          <w:highlight w:val="none"/>
        </w:rPr>
        <w:t>6.2中标单位各级组织严格履行保密职责；</w:t>
      </w:r>
    </w:p>
    <w:p>
      <w:pPr>
        <w:tabs>
          <w:tab w:val="left" w:pos="426"/>
        </w:tabs>
        <w:spacing w:beforeLines="0" w:afterLines="0"/>
        <w:ind w:firstLine="420" w:firstLineChars="200"/>
        <w:rPr>
          <w:color w:val="auto"/>
          <w:szCs w:val="21"/>
          <w:highlight w:val="none"/>
        </w:rPr>
      </w:pPr>
      <w:r>
        <w:rPr>
          <w:rFonts w:hint="eastAsia"/>
          <w:color w:val="auto"/>
          <w:szCs w:val="21"/>
          <w:highlight w:val="none"/>
        </w:rPr>
        <w:t>6.3按照公司内部保密规定开展监理工作。</w:t>
      </w:r>
    </w:p>
    <w:p>
      <w:pPr>
        <w:tabs>
          <w:tab w:val="left" w:pos="426"/>
        </w:tabs>
        <w:spacing w:beforeLines="0" w:afterLines="0"/>
        <w:ind w:firstLine="420" w:firstLineChars="200"/>
        <w:rPr>
          <w:color w:val="auto"/>
          <w:szCs w:val="21"/>
          <w:highlight w:val="none"/>
        </w:rPr>
      </w:pPr>
      <w:r>
        <w:rPr>
          <w:rFonts w:hint="eastAsia"/>
          <w:color w:val="auto"/>
          <w:szCs w:val="21"/>
          <w:highlight w:val="none"/>
        </w:rPr>
        <w:t>投标单位根据上述监理工作内容（但不局限于上述内容），分别制定详细的监理工作流程，使</w:t>
      </w:r>
      <w:r>
        <w:rPr>
          <w:rFonts w:hint="eastAsia"/>
          <w:color w:val="auto"/>
          <w:szCs w:val="21"/>
          <w:highlight w:val="none"/>
          <w:lang w:eastAsia="zh-CN"/>
        </w:rPr>
        <w:t>智慧前海视频云平台二期项目</w:t>
      </w:r>
      <w:r>
        <w:rPr>
          <w:rFonts w:hint="eastAsia"/>
          <w:color w:val="auto"/>
          <w:szCs w:val="21"/>
          <w:highlight w:val="none"/>
        </w:rPr>
        <w:t>监理的监理工作流程化、制度化。</w:t>
      </w:r>
    </w:p>
    <w:p>
      <w:pPr>
        <w:pStyle w:val="3"/>
        <w:rPr>
          <w:rFonts w:hint="eastAsia" w:ascii="黑体" w:hAnsi="宋体"/>
          <w:bCs w:val="0"/>
          <w:color w:val="auto"/>
          <w:kern w:val="0"/>
          <w:highlight w:val="none"/>
        </w:rPr>
      </w:pPr>
      <w:bookmarkStart w:id="353" w:name="_Toc20713"/>
      <w:bookmarkStart w:id="354" w:name="_Toc17804"/>
      <w:bookmarkStart w:id="355" w:name="_Toc19019"/>
      <w:bookmarkStart w:id="356" w:name="_Toc14276"/>
      <w:r>
        <w:rPr>
          <w:rFonts w:hint="eastAsia" w:ascii="黑体" w:hAnsi="宋体"/>
          <w:bCs w:val="0"/>
          <w:color w:val="auto"/>
          <w:kern w:val="0"/>
          <w:highlight w:val="none"/>
          <w:lang w:eastAsia="zh-CN"/>
        </w:rPr>
        <w:t>五、</w:t>
      </w:r>
      <w:r>
        <w:rPr>
          <w:rFonts w:hint="eastAsia" w:ascii="黑体" w:hAnsi="宋体"/>
          <w:bCs w:val="0"/>
          <w:color w:val="auto"/>
          <w:kern w:val="0"/>
          <w:highlight w:val="none"/>
        </w:rPr>
        <w:t>商务要求</w:t>
      </w:r>
      <w:bookmarkEnd w:id="353"/>
      <w:bookmarkEnd w:id="354"/>
      <w:bookmarkEnd w:id="355"/>
      <w:bookmarkEnd w:id="356"/>
    </w:p>
    <w:p>
      <w:pPr>
        <w:tabs>
          <w:tab w:val="left" w:pos="426"/>
        </w:tabs>
        <w:spacing w:before="160" w:beforeLines="0" w:after="160" w:afterLines="0"/>
        <w:ind w:firstLine="422" w:firstLineChars="200"/>
        <w:outlineLvl w:val="1"/>
        <w:rPr>
          <w:rFonts w:hint="eastAsia" w:cs="Arial"/>
          <w:b/>
          <w:color w:val="auto"/>
          <w:szCs w:val="21"/>
          <w:highlight w:val="none"/>
        </w:rPr>
      </w:pPr>
      <w:bookmarkStart w:id="357" w:name="_Toc6500"/>
      <w:bookmarkStart w:id="358" w:name="_Toc18780"/>
      <w:bookmarkStart w:id="359" w:name="_Toc4773"/>
      <w:bookmarkStart w:id="360" w:name="_Toc7425"/>
      <w:r>
        <w:rPr>
          <w:rFonts w:hint="eastAsia" w:cs="Arial"/>
          <w:b/>
          <w:color w:val="auto"/>
          <w:szCs w:val="21"/>
          <w:highlight w:val="none"/>
          <w:lang w:eastAsia="zh-CN"/>
        </w:rPr>
        <w:t>（一）</w:t>
      </w:r>
      <w:r>
        <w:rPr>
          <w:rFonts w:hint="eastAsia" w:cs="Arial"/>
          <w:b/>
          <w:color w:val="auto"/>
          <w:szCs w:val="21"/>
          <w:highlight w:val="none"/>
        </w:rPr>
        <w:t>报价要求及合同期限</w:t>
      </w:r>
      <w:bookmarkEnd w:id="357"/>
      <w:bookmarkEnd w:id="358"/>
      <w:bookmarkEnd w:id="359"/>
      <w:bookmarkEnd w:id="360"/>
    </w:p>
    <w:p>
      <w:pPr>
        <w:tabs>
          <w:tab w:val="left" w:pos="426"/>
        </w:tabs>
        <w:ind w:firstLine="422" w:firstLineChars="200"/>
        <w:rPr>
          <w:b/>
          <w:color w:val="auto"/>
          <w:szCs w:val="21"/>
          <w:highlight w:val="none"/>
        </w:rPr>
      </w:pPr>
      <w:r>
        <w:rPr>
          <w:rFonts w:hint="eastAsia"/>
          <w:b/>
          <w:color w:val="auto"/>
          <w:szCs w:val="21"/>
          <w:highlight w:val="none"/>
        </w:rPr>
        <w:t>1.本项目服务期限：</w:t>
      </w:r>
    </w:p>
    <w:p>
      <w:pPr>
        <w:tabs>
          <w:tab w:val="left" w:pos="426"/>
        </w:tabs>
        <w:ind w:firstLine="420" w:firstLineChars="200"/>
        <w:rPr>
          <w:color w:val="auto"/>
          <w:szCs w:val="21"/>
          <w:highlight w:val="none"/>
        </w:rPr>
      </w:pPr>
      <w:r>
        <w:rPr>
          <w:rFonts w:hint="eastAsia"/>
          <w:color w:val="auto"/>
          <w:szCs w:val="21"/>
          <w:highlight w:val="none"/>
          <w:lang w:val="en-US" w:eastAsia="zh-CN"/>
        </w:rPr>
        <w:t>1）</w:t>
      </w:r>
      <w:r>
        <w:rPr>
          <w:rFonts w:hint="eastAsia"/>
          <w:color w:val="auto"/>
          <w:szCs w:val="21"/>
          <w:highlight w:val="none"/>
        </w:rPr>
        <w:t>自工程开工至工程竣工验收合格、保修期完成。</w:t>
      </w:r>
    </w:p>
    <w:p>
      <w:pPr>
        <w:tabs>
          <w:tab w:val="left" w:pos="426"/>
        </w:tabs>
        <w:ind w:firstLine="420" w:firstLineChars="200"/>
        <w:rPr>
          <w:color w:val="auto"/>
          <w:szCs w:val="21"/>
          <w:highlight w:val="none"/>
        </w:rPr>
      </w:pPr>
      <w:r>
        <w:rPr>
          <w:rFonts w:hint="eastAsia"/>
          <w:color w:val="auto"/>
          <w:szCs w:val="21"/>
          <w:highlight w:val="none"/>
          <w:lang w:val="en-US" w:eastAsia="zh-CN"/>
        </w:rPr>
        <w:t>2）</w:t>
      </w:r>
      <w:r>
        <w:rPr>
          <w:rFonts w:hint="eastAsia"/>
          <w:color w:val="auto"/>
          <w:szCs w:val="21"/>
          <w:highlight w:val="none"/>
        </w:rPr>
        <w:t>项目审计和保修期间，中标单位仍需提供阶段性服务，并及时接受招标单位的工作安排开展工作。</w:t>
      </w:r>
    </w:p>
    <w:p>
      <w:pPr>
        <w:tabs>
          <w:tab w:val="left" w:pos="426"/>
        </w:tabs>
        <w:ind w:firstLine="422" w:firstLineChars="200"/>
        <w:rPr>
          <w:b/>
          <w:color w:val="auto"/>
          <w:szCs w:val="21"/>
          <w:highlight w:val="none"/>
        </w:rPr>
      </w:pPr>
      <w:r>
        <w:rPr>
          <w:rFonts w:hint="eastAsia"/>
          <w:b/>
          <w:color w:val="auto"/>
          <w:szCs w:val="21"/>
          <w:highlight w:val="none"/>
        </w:rPr>
        <w:t>2报价要求</w:t>
      </w:r>
    </w:p>
    <w:p>
      <w:pPr>
        <w:tabs>
          <w:tab w:val="left" w:pos="426"/>
        </w:tabs>
        <w:ind w:firstLine="420" w:firstLineChars="200"/>
        <w:rPr>
          <w:b/>
          <w:color w:val="auto"/>
          <w:szCs w:val="21"/>
          <w:highlight w:val="none"/>
        </w:rPr>
      </w:pPr>
      <w:r>
        <w:rPr>
          <w:rFonts w:hint="eastAsia"/>
          <w:color w:val="auto"/>
          <w:szCs w:val="21"/>
          <w:highlight w:val="none"/>
        </w:rPr>
        <w:t>2.1投标单位应提供详细分项报价清单（其详细计算过程</w:t>
      </w:r>
      <w:r>
        <w:rPr>
          <w:rFonts w:hint="eastAsia"/>
          <w:color w:val="auto"/>
          <w:szCs w:val="21"/>
          <w:highlight w:val="none"/>
          <w:lang w:val="en-US" w:eastAsia="zh-CN"/>
        </w:rPr>
        <w:t>如下</w:t>
      </w:r>
      <w:r>
        <w:rPr>
          <w:rFonts w:hint="eastAsia"/>
          <w:color w:val="auto"/>
          <w:szCs w:val="21"/>
          <w:highlight w:val="none"/>
        </w:rPr>
        <w:t>）；</w:t>
      </w:r>
    </w:p>
    <w:p>
      <w:pPr>
        <w:tabs>
          <w:tab w:val="left" w:pos="426"/>
        </w:tabs>
        <w:spacing w:line="360" w:lineRule="exact"/>
        <w:ind w:firstLine="422" w:firstLineChars="200"/>
        <w:rPr>
          <w:rFonts w:hint="eastAsia" w:eastAsia="宋体"/>
          <w:b/>
          <w:color w:val="auto"/>
          <w:szCs w:val="21"/>
          <w:highlight w:val="none"/>
          <w:lang w:eastAsia="zh-CN"/>
        </w:rPr>
      </w:pPr>
      <w:r>
        <w:rPr>
          <w:rFonts w:hint="eastAsia"/>
          <w:b/>
          <w:color w:val="auto"/>
          <w:kern w:val="18"/>
          <w:szCs w:val="21"/>
          <w:highlight w:val="none"/>
        </w:rPr>
        <w:t>本工程监理服务酬金总额包括</w:t>
      </w:r>
      <w:r>
        <w:rPr>
          <w:rFonts w:hint="eastAsia"/>
          <w:b/>
          <w:color w:val="auto"/>
          <w:szCs w:val="21"/>
          <w:highlight w:val="none"/>
        </w:rPr>
        <w:t>施工阶段监理服务酬金和保修阶段监理服务酬金两部</w:t>
      </w:r>
      <w:r>
        <w:rPr>
          <w:b/>
          <w:color w:val="auto"/>
          <w:szCs w:val="21"/>
          <w:highlight w:val="none"/>
        </w:rPr>
        <w:t>分</w:t>
      </w:r>
      <w:r>
        <w:rPr>
          <w:rFonts w:hint="eastAsia"/>
          <w:b/>
          <w:color w:val="auto"/>
          <w:szCs w:val="21"/>
          <w:highlight w:val="none"/>
        </w:rPr>
        <w:t>，为统一报价格式</w:t>
      </w:r>
      <w:r>
        <w:rPr>
          <w:rFonts w:hint="eastAsia"/>
          <w:b/>
          <w:color w:val="auto"/>
          <w:szCs w:val="21"/>
          <w:highlight w:val="none"/>
          <w:lang w:eastAsia="zh-CN"/>
        </w:rPr>
        <w:t>。</w:t>
      </w:r>
    </w:p>
    <w:p>
      <w:pPr>
        <w:pStyle w:val="25"/>
        <w:widowControl w:val="0"/>
        <w:numPr>
          <w:ilvl w:val="0"/>
          <w:numId w:val="0"/>
        </w:numPr>
        <w:shd w:val="clear" w:color="auto" w:fill="auto"/>
        <w:adjustRightInd/>
        <w:snapToGrid/>
        <w:spacing w:line="360" w:lineRule="exact"/>
        <w:ind w:left="840" w:leftChars="0"/>
        <w:jc w:val="both"/>
        <w:rPr>
          <w:rFonts w:ascii="宋体"/>
          <w:b/>
          <w:color w:val="auto"/>
          <w:szCs w:val="21"/>
          <w:highlight w:val="none"/>
        </w:rPr>
      </w:pPr>
      <w:r>
        <w:rPr>
          <w:rFonts w:hint="eastAsia" w:ascii="宋体"/>
          <w:b/>
          <w:color w:val="auto"/>
          <w:szCs w:val="21"/>
          <w:highlight w:val="none"/>
          <w:lang w:val="en-US" w:eastAsia="zh-CN"/>
        </w:rPr>
        <w:t>1</w:t>
      </w:r>
      <w:r>
        <w:rPr>
          <w:rFonts w:ascii="宋体"/>
          <w:b/>
          <w:color w:val="auto"/>
          <w:szCs w:val="21"/>
          <w:highlight w:val="none"/>
        </w:rPr>
        <w:t>.</w:t>
      </w:r>
      <w:r>
        <w:rPr>
          <w:rFonts w:hint="eastAsia" w:ascii="宋体" w:hAnsi="宋体"/>
          <w:b/>
          <w:color w:val="auto"/>
          <w:szCs w:val="21"/>
          <w:highlight w:val="none"/>
        </w:rPr>
        <w:t>工程概算投资额</w:t>
      </w:r>
    </w:p>
    <w:p>
      <w:pPr>
        <w:tabs>
          <w:tab w:val="left" w:pos="426"/>
        </w:tabs>
        <w:spacing w:line="360" w:lineRule="exact"/>
        <w:ind w:firstLine="420" w:firstLineChars="200"/>
        <w:rPr>
          <w:color w:val="auto"/>
          <w:szCs w:val="21"/>
          <w:highlight w:val="none"/>
        </w:rPr>
      </w:pPr>
      <w:r>
        <w:rPr>
          <w:rFonts w:hint="eastAsia"/>
          <w:color w:val="auto"/>
          <w:kern w:val="18"/>
          <w:szCs w:val="21"/>
          <w:highlight w:val="none"/>
        </w:rPr>
        <w:t>本工程概算投资额为</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rPr>
        <w:t>万元，其中：建筑安装工程费</w:t>
      </w:r>
      <w:r>
        <w:rPr>
          <w:rFonts w:hint="eastAsia"/>
          <w:color w:val="auto"/>
          <w:szCs w:val="21"/>
          <w:highlight w:val="none"/>
          <w:lang w:val="en-US" w:eastAsia="zh-CN"/>
        </w:rPr>
        <w:t>暂定</w:t>
      </w:r>
      <w:r>
        <w:rPr>
          <w:color w:val="auto"/>
          <w:szCs w:val="21"/>
          <w:highlight w:val="none"/>
          <w:u w:val="single"/>
        </w:rPr>
        <w:t xml:space="preserve"> </w:t>
      </w:r>
      <w:r>
        <w:rPr>
          <w:rFonts w:hint="eastAsia"/>
          <w:color w:val="auto"/>
          <w:szCs w:val="21"/>
          <w:highlight w:val="none"/>
          <w:u w:val="single"/>
          <w:lang w:val="en-US" w:eastAsia="zh-CN"/>
        </w:rPr>
        <w:t>903.99</w:t>
      </w:r>
      <w:r>
        <w:rPr>
          <w:color w:val="auto"/>
          <w:szCs w:val="21"/>
          <w:highlight w:val="none"/>
          <w:u w:val="single"/>
        </w:rPr>
        <w:t xml:space="preserve">   </w:t>
      </w:r>
      <w:r>
        <w:rPr>
          <w:rFonts w:hint="eastAsia"/>
          <w:color w:val="auto"/>
          <w:szCs w:val="21"/>
          <w:highlight w:val="none"/>
        </w:rPr>
        <w:t>万元。</w:t>
      </w:r>
    </w:p>
    <w:p>
      <w:pPr>
        <w:pStyle w:val="25"/>
        <w:widowControl w:val="0"/>
        <w:numPr>
          <w:ilvl w:val="0"/>
          <w:numId w:val="0"/>
        </w:numPr>
        <w:shd w:val="clear" w:color="auto" w:fill="auto"/>
        <w:adjustRightInd/>
        <w:snapToGrid/>
        <w:spacing w:line="360" w:lineRule="exact"/>
        <w:ind w:left="840" w:leftChars="0"/>
        <w:jc w:val="both"/>
        <w:rPr>
          <w:rFonts w:hint="eastAsia"/>
          <w:color w:val="auto"/>
          <w:szCs w:val="21"/>
          <w:highlight w:val="none"/>
        </w:rPr>
      </w:pPr>
      <w:r>
        <w:rPr>
          <w:rFonts w:hint="eastAsia" w:ascii="宋体" w:hAnsi="宋体"/>
          <w:b/>
          <w:color w:val="auto"/>
          <w:szCs w:val="21"/>
          <w:highlight w:val="none"/>
          <w:lang w:val="en-US" w:eastAsia="zh-CN"/>
        </w:rPr>
        <w:t>2</w:t>
      </w:r>
      <w:r>
        <w:rPr>
          <w:rFonts w:hint="eastAsia" w:ascii="宋体" w:hAnsi="宋体"/>
          <w:b/>
          <w:color w:val="auto"/>
          <w:szCs w:val="21"/>
          <w:highlight w:val="none"/>
        </w:rPr>
        <w:t>.监理服务酬金基价</w:t>
      </w:r>
    </w:p>
    <w:p>
      <w:pPr>
        <w:tabs>
          <w:tab w:val="left" w:pos="426"/>
        </w:tabs>
        <w:spacing w:line="360" w:lineRule="exact"/>
        <w:ind w:firstLine="420" w:firstLineChars="200"/>
        <w:rPr>
          <w:rFonts w:hint="eastAsia"/>
          <w:color w:val="auto"/>
          <w:kern w:val="18"/>
          <w:szCs w:val="21"/>
          <w:highlight w:val="none"/>
          <w:u w:val="single"/>
          <w:lang w:val="en-US" w:eastAsia="zh-CN"/>
        </w:rPr>
      </w:pPr>
      <w:r>
        <w:rPr>
          <w:rFonts w:hint="eastAsia"/>
          <w:color w:val="auto"/>
          <w:kern w:val="18"/>
          <w:szCs w:val="21"/>
          <w:highlight w:val="none"/>
        </w:rPr>
        <w:t>经投标单位确认，本工程监理服务酬金</w:t>
      </w:r>
      <w:r>
        <w:rPr>
          <w:rFonts w:hint="eastAsia"/>
          <w:color w:val="auto"/>
          <w:kern w:val="18"/>
          <w:szCs w:val="21"/>
          <w:highlight w:val="none"/>
          <w:lang w:val="en-US" w:eastAsia="zh-CN"/>
        </w:rPr>
        <w:t>的投标监理费费率为</w:t>
      </w:r>
      <w:r>
        <w:rPr>
          <w:rFonts w:hint="eastAsia"/>
          <w:color w:val="auto"/>
          <w:kern w:val="18"/>
          <w:szCs w:val="21"/>
          <w:highlight w:val="none"/>
          <w:u w:val="single"/>
        </w:rPr>
        <w:t xml:space="preserve"> </w:t>
      </w:r>
      <w:r>
        <w:rPr>
          <w:rFonts w:hint="eastAsia"/>
          <w:color w:val="auto"/>
          <w:kern w:val="18"/>
          <w:szCs w:val="21"/>
          <w:highlight w:val="none"/>
          <w:u w:val="single"/>
          <w:lang w:val="en-US" w:eastAsia="zh-CN"/>
        </w:rPr>
        <w:t xml:space="preserve"> </w:t>
      </w:r>
      <w:r>
        <w:rPr>
          <w:rFonts w:hint="eastAsia"/>
          <w:color w:val="auto"/>
          <w:kern w:val="18"/>
          <w:szCs w:val="21"/>
          <w:highlight w:val="none"/>
          <w:u w:val="single"/>
        </w:rPr>
        <w:t xml:space="preserve"> </w:t>
      </w:r>
      <w:r>
        <w:rPr>
          <w:rFonts w:hint="eastAsia"/>
          <w:color w:val="auto"/>
          <w:kern w:val="18"/>
          <w:szCs w:val="21"/>
          <w:highlight w:val="none"/>
          <w:u w:val="single"/>
          <w:lang w:val="en-US" w:eastAsia="zh-CN"/>
        </w:rPr>
        <w:t xml:space="preserve"> %</w:t>
      </w:r>
    </w:p>
    <w:p>
      <w:pPr>
        <w:tabs>
          <w:tab w:val="left" w:pos="426"/>
        </w:tabs>
        <w:spacing w:line="360" w:lineRule="exact"/>
        <w:ind w:firstLine="420" w:firstLineChars="200"/>
        <w:rPr>
          <w:rFonts w:hint="eastAsia"/>
          <w:color w:val="auto"/>
          <w:kern w:val="18"/>
          <w:szCs w:val="21"/>
          <w:highlight w:val="none"/>
          <w:u w:val="single"/>
          <w:lang w:val="en-US" w:eastAsia="zh-CN"/>
        </w:rPr>
      </w:pPr>
      <w:r>
        <w:rPr>
          <w:rFonts w:hint="eastAsia"/>
          <w:color w:val="auto"/>
          <w:kern w:val="18"/>
          <w:szCs w:val="21"/>
          <w:highlight w:val="none"/>
        </w:rPr>
        <w:t>本工程监理服务酬金</w:t>
      </w:r>
      <w:r>
        <w:rPr>
          <w:rFonts w:hint="eastAsia"/>
          <w:color w:val="auto"/>
          <w:kern w:val="18"/>
          <w:szCs w:val="21"/>
          <w:highlight w:val="none"/>
          <w:lang w:val="en-US" w:eastAsia="zh-CN"/>
        </w:rPr>
        <w:t>基价=工程建设费用</w:t>
      </w:r>
      <w:r>
        <w:rPr>
          <w:rFonts w:hint="eastAsia"/>
          <w:color w:val="auto"/>
          <w:kern w:val="18"/>
          <w:szCs w:val="21"/>
          <w:highlight w:val="none"/>
        </w:rPr>
        <w:t>×</w:t>
      </w:r>
      <w:r>
        <w:rPr>
          <w:rFonts w:hint="eastAsia"/>
          <w:color w:val="auto"/>
          <w:kern w:val="18"/>
          <w:szCs w:val="21"/>
          <w:highlight w:val="none"/>
          <w:lang w:val="en-US" w:eastAsia="zh-CN"/>
        </w:rPr>
        <w:t>投标监理费费率为</w:t>
      </w:r>
      <w:r>
        <w:rPr>
          <w:rFonts w:hint="eastAsia"/>
          <w:color w:val="auto"/>
          <w:kern w:val="18"/>
          <w:szCs w:val="21"/>
          <w:highlight w:val="none"/>
          <w:u w:val="single"/>
        </w:rPr>
        <w:t xml:space="preserve"> </w:t>
      </w:r>
      <w:r>
        <w:rPr>
          <w:rFonts w:hint="eastAsia"/>
          <w:color w:val="auto"/>
          <w:kern w:val="18"/>
          <w:szCs w:val="21"/>
          <w:highlight w:val="none"/>
          <w:u w:val="single"/>
          <w:lang w:val="en-US" w:eastAsia="zh-CN"/>
        </w:rPr>
        <w:t xml:space="preserve">  </w:t>
      </w:r>
      <w:r>
        <w:rPr>
          <w:rFonts w:hint="eastAsia"/>
          <w:color w:val="auto"/>
          <w:kern w:val="18"/>
          <w:szCs w:val="21"/>
          <w:highlight w:val="none"/>
          <w:u w:val="single"/>
        </w:rPr>
        <w:t xml:space="preserve"> </w:t>
      </w:r>
      <w:r>
        <w:rPr>
          <w:rFonts w:hint="eastAsia"/>
          <w:color w:val="auto"/>
          <w:kern w:val="18"/>
          <w:szCs w:val="21"/>
          <w:highlight w:val="none"/>
          <w:u w:val="single"/>
          <w:lang w:val="en-US" w:eastAsia="zh-CN"/>
        </w:rPr>
        <w:t>%</w:t>
      </w:r>
    </w:p>
    <w:p>
      <w:pPr>
        <w:tabs>
          <w:tab w:val="left" w:pos="426"/>
        </w:tabs>
        <w:spacing w:line="360" w:lineRule="exact"/>
        <w:ind w:firstLine="420" w:firstLineChars="200"/>
        <w:rPr>
          <w:rFonts w:hint="eastAsia"/>
          <w:color w:val="auto"/>
          <w:kern w:val="18"/>
          <w:szCs w:val="21"/>
          <w:highlight w:val="none"/>
          <w:lang w:val="en-US" w:eastAsia="zh-CN"/>
        </w:rPr>
      </w:pPr>
      <w:r>
        <w:rPr>
          <w:rFonts w:hint="eastAsia"/>
          <w:color w:val="auto"/>
          <w:kern w:val="18"/>
          <w:szCs w:val="21"/>
          <w:highlight w:val="none"/>
        </w:rPr>
        <w:t>本工程监理服务酬金基价为</w:t>
      </w:r>
      <w:r>
        <w:rPr>
          <w:rFonts w:hint="eastAsia"/>
          <w:color w:val="auto"/>
          <w:kern w:val="18"/>
          <w:szCs w:val="21"/>
          <w:highlight w:val="none"/>
          <w:u w:val="single"/>
        </w:rPr>
        <w:t xml:space="preserve">  </w:t>
      </w:r>
      <w:r>
        <w:rPr>
          <w:rFonts w:hint="eastAsia"/>
          <w:color w:val="auto"/>
          <w:kern w:val="18"/>
          <w:szCs w:val="21"/>
          <w:highlight w:val="none"/>
          <w:u w:val="single"/>
          <w:lang w:val="en-US" w:eastAsia="zh-CN"/>
        </w:rPr>
        <w:t xml:space="preserve"> </w:t>
      </w:r>
      <w:r>
        <w:rPr>
          <w:rFonts w:hint="eastAsia"/>
          <w:color w:val="auto"/>
          <w:kern w:val="18"/>
          <w:szCs w:val="21"/>
          <w:highlight w:val="none"/>
          <w:u w:val="single"/>
        </w:rPr>
        <w:t xml:space="preserve">   </w:t>
      </w:r>
      <w:r>
        <w:rPr>
          <w:rFonts w:hint="eastAsia"/>
          <w:color w:val="auto"/>
          <w:kern w:val="18"/>
          <w:szCs w:val="21"/>
          <w:highlight w:val="none"/>
        </w:rPr>
        <w:t>万元。</w:t>
      </w:r>
    </w:p>
    <w:p>
      <w:pPr>
        <w:pStyle w:val="25"/>
        <w:widowControl w:val="0"/>
        <w:numPr>
          <w:ilvl w:val="0"/>
          <w:numId w:val="0"/>
        </w:numPr>
        <w:shd w:val="clear" w:color="auto" w:fill="auto"/>
        <w:adjustRightInd/>
        <w:snapToGrid/>
        <w:spacing w:line="360" w:lineRule="exact"/>
        <w:ind w:left="840" w:leftChars="0"/>
        <w:jc w:val="both"/>
        <w:rPr>
          <w:rFonts w:ascii="宋体"/>
          <w:b/>
          <w:color w:val="auto"/>
          <w:szCs w:val="21"/>
          <w:highlight w:val="none"/>
        </w:rPr>
      </w:pPr>
      <w:r>
        <w:rPr>
          <w:rFonts w:hint="eastAsia" w:ascii="宋体"/>
          <w:b/>
          <w:color w:val="auto"/>
          <w:szCs w:val="21"/>
          <w:highlight w:val="none"/>
          <w:lang w:val="en-US" w:eastAsia="zh-CN"/>
        </w:rPr>
        <w:t>3</w:t>
      </w:r>
      <w:r>
        <w:rPr>
          <w:rFonts w:ascii="宋体"/>
          <w:b/>
          <w:color w:val="auto"/>
          <w:szCs w:val="21"/>
          <w:highlight w:val="none"/>
        </w:rPr>
        <w:t>.</w:t>
      </w:r>
      <w:r>
        <w:rPr>
          <w:rFonts w:hint="eastAsia" w:ascii="宋体"/>
          <w:b/>
          <w:color w:val="auto"/>
          <w:szCs w:val="21"/>
          <w:highlight w:val="none"/>
        </w:rPr>
        <w:t>监理服务酬金</w:t>
      </w:r>
      <w:r>
        <w:rPr>
          <w:rFonts w:hint="eastAsia" w:ascii="宋体"/>
          <w:b/>
          <w:color w:val="auto"/>
          <w:szCs w:val="21"/>
          <w:highlight w:val="none"/>
          <w:lang w:val="en-US" w:eastAsia="zh-CN"/>
        </w:rPr>
        <w:t>总额</w:t>
      </w:r>
    </w:p>
    <w:p>
      <w:pPr>
        <w:tabs>
          <w:tab w:val="left" w:pos="426"/>
        </w:tabs>
        <w:spacing w:line="360" w:lineRule="exact"/>
        <w:ind w:firstLine="422" w:firstLineChars="200"/>
        <w:rPr>
          <w:rFonts w:hint="eastAsia" w:eastAsia="宋体"/>
          <w:b/>
          <w:color w:val="auto"/>
          <w:kern w:val="18"/>
          <w:szCs w:val="21"/>
          <w:highlight w:val="none"/>
          <w:lang w:eastAsia="zh-CN"/>
        </w:rPr>
      </w:pPr>
      <w:r>
        <w:rPr>
          <w:rFonts w:hint="eastAsia" w:ascii="宋体"/>
          <w:b/>
          <w:color w:val="auto"/>
          <w:szCs w:val="21"/>
          <w:highlight w:val="none"/>
          <w:lang w:val="en-US" w:eastAsia="zh-CN"/>
        </w:rPr>
        <w:t>在监理服务酬金基价基础上计算监理服务酬金总额。</w:t>
      </w:r>
    </w:p>
    <w:p>
      <w:pPr>
        <w:pStyle w:val="25"/>
        <w:widowControl w:val="0"/>
        <w:numPr>
          <w:ilvl w:val="0"/>
          <w:numId w:val="0"/>
        </w:numPr>
        <w:shd w:val="clear" w:color="auto" w:fill="auto"/>
        <w:adjustRightInd/>
        <w:snapToGrid/>
        <w:spacing w:line="360" w:lineRule="exact"/>
        <w:jc w:val="both"/>
        <w:rPr>
          <w:rFonts w:hint="default" w:ascii="宋体" w:eastAsia="宋体"/>
          <w:b/>
          <w:color w:val="auto"/>
          <w:szCs w:val="21"/>
          <w:highlight w:val="none"/>
          <w:lang w:val="en-US" w:eastAsia="zh-CN"/>
        </w:rPr>
      </w:pPr>
      <w:r>
        <w:rPr>
          <w:rFonts w:hint="eastAsia" w:ascii="宋体"/>
          <w:b/>
          <w:color w:val="auto"/>
          <w:szCs w:val="21"/>
          <w:highlight w:val="none"/>
          <w:lang w:val="en-US" w:eastAsia="zh-CN"/>
        </w:rPr>
        <w:t xml:space="preserve">     计算方法：</w:t>
      </w:r>
    </w:p>
    <w:p>
      <w:pPr>
        <w:tabs>
          <w:tab w:val="left" w:pos="426"/>
        </w:tabs>
        <w:spacing w:line="360" w:lineRule="exact"/>
        <w:ind w:firstLine="420" w:firstLineChars="200"/>
        <w:rPr>
          <w:color w:val="auto"/>
          <w:szCs w:val="21"/>
          <w:highlight w:val="none"/>
        </w:rPr>
      </w:pPr>
      <w:r>
        <w:rPr>
          <w:rFonts w:hint="eastAsia"/>
          <w:color w:val="auto"/>
          <w:szCs w:val="21"/>
          <w:highlight w:val="none"/>
        </w:rPr>
        <w:t>本工程的专业调整系数为</w:t>
      </w:r>
      <w:r>
        <w:rPr>
          <w:color w:val="auto"/>
          <w:szCs w:val="21"/>
          <w:highlight w:val="none"/>
          <w:u w:val="single"/>
        </w:rPr>
        <w:t xml:space="preserve"> </w:t>
      </w:r>
      <w:r>
        <w:rPr>
          <w:rFonts w:hint="eastAsia"/>
          <w:color w:val="auto"/>
          <w:szCs w:val="21"/>
          <w:highlight w:val="none"/>
          <w:u w:val="single"/>
        </w:rPr>
        <w:t>1.0</w:t>
      </w:r>
      <w:r>
        <w:rPr>
          <w:color w:val="auto"/>
          <w:szCs w:val="21"/>
          <w:highlight w:val="none"/>
          <w:u w:val="single"/>
        </w:rPr>
        <w:t xml:space="preserve"> </w:t>
      </w:r>
      <w:r>
        <w:rPr>
          <w:rFonts w:hint="eastAsia"/>
          <w:color w:val="auto"/>
          <w:szCs w:val="21"/>
          <w:highlight w:val="none"/>
        </w:rPr>
        <w:t>，工程复杂程度调整系数为</w:t>
      </w:r>
      <w:r>
        <w:rPr>
          <w:color w:val="auto"/>
          <w:szCs w:val="21"/>
          <w:highlight w:val="none"/>
          <w:u w:val="single"/>
        </w:rPr>
        <w:t xml:space="preserve"> </w:t>
      </w:r>
      <w:r>
        <w:rPr>
          <w:rFonts w:hint="eastAsia"/>
          <w:color w:val="auto"/>
          <w:szCs w:val="21"/>
          <w:highlight w:val="none"/>
          <w:u w:val="single"/>
        </w:rPr>
        <w:t>1.0</w:t>
      </w:r>
      <w:r>
        <w:rPr>
          <w:color w:val="auto"/>
          <w:szCs w:val="21"/>
          <w:highlight w:val="none"/>
          <w:u w:val="single"/>
        </w:rPr>
        <w:t xml:space="preserve"> </w:t>
      </w:r>
      <w:r>
        <w:rPr>
          <w:rFonts w:hint="eastAsia"/>
          <w:color w:val="auto"/>
          <w:szCs w:val="21"/>
          <w:highlight w:val="none"/>
        </w:rPr>
        <w:t>，高程调整系数为</w:t>
      </w:r>
      <w:r>
        <w:rPr>
          <w:color w:val="auto"/>
          <w:szCs w:val="21"/>
          <w:highlight w:val="none"/>
          <w:u w:val="single"/>
        </w:rPr>
        <w:t xml:space="preserve"> </w:t>
      </w:r>
      <w:r>
        <w:rPr>
          <w:rFonts w:hint="eastAsia"/>
          <w:color w:val="auto"/>
          <w:szCs w:val="21"/>
          <w:highlight w:val="none"/>
          <w:u w:val="single"/>
        </w:rPr>
        <w:t>1.0</w:t>
      </w:r>
      <w:r>
        <w:rPr>
          <w:color w:val="auto"/>
          <w:szCs w:val="21"/>
          <w:highlight w:val="none"/>
          <w:u w:val="single"/>
        </w:rPr>
        <w:t xml:space="preserve"> </w:t>
      </w:r>
      <w:r>
        <w:rPr>
          <w:rFonts w:hint="eastAsia"/>
          <w:color w:val="auto"/>
          <w:szCs w:val="21"/>
          <w:highlight w:val="none"/>
        </w:rPr>
        <w:t>。</w:t>
      </w:r>
    </w:p>
    <w:p>
      <w:pPr>
        <w:tabs>
          <w:tab w:val="left" w:pos="426"/>
        </w:tabs>
        <w:spacing w:line="360" w:lineRule="exact"/>
        <w:ind w:firstLine="420" w:firstLineChars="200"/>
        <w:rPr>
          <w:rFonts w:hint="default" w:eastAsia="宋体"/>
          <w:color w:val="auto"/>
          <w:szCs w:val="21"/>
          <w:highlight w:val="none"/>
          <w:lang w:val="en-US" w:eastAsia="zh-CN"/>
        </w:rPr>
      </w:pPr>
      <w:r>
        <w:rPr>
          <w:rFonts w:hint="eastAsia"/>
          <w:color w:val="auto"/>
          <w:szCs w:val="21"/>
          <w:highlight w:val="none"/>
          <w:lang w:val="en-US" w:eastAsia="zh-CN"/>
        </w:rPr>
        <w:t>本工程</w:t>
      </w:r>
      <w:r>
        <w:rPr>
          <w:rFonts w:hint="eastAsia"/>
          <w:color w:val="auto"/>
          <w:szCs w:val="21"/>
          <w:highlight w:val="none"/>
        </w:rPr>
        <w:t>监理服务酬金</w:t>
      </w:r>
      <w:r>
        <w:rPr>
          <w:rFonts w:hint="eastAsia"/>
          <w:color w:val="auto"/>
          <w:szCs w:val="21"/>
          <w:highlight w:val="none"/>
          <w:lang w:val="en-US" w:eastAsia="zh-CN"/>
        </w:rPr>
        <w:t>总额</w:t>
      </w:r>
      <w:r>
        <w:rPr>
          <w:rFonts w:hint="eastAsia"/>
          <w:color w:val="auto"/>
          <w:szCs w:val="21"/>
          <w:highlight w:val="none"/>
        </w:rPr>
        <w:t>＝</w:t>
      </w:r>
      <w:r>
        <w:rPr>
          <w:rFonts w:hint="eastAsia"/>
          <w:color w:val="auto"/>
          <w:szCs w:val="21"/>
          <w:highlight w:val="none"/>
          <w:lang w:val="en-US" w:eastAsia="zh-CN"/>
        </w:rPr>
        <w:t>本工程</w:t>
      </w:r>
      <w:r>
        <w:rPr>
          <w:rFonts w:hint="eastAsia"/>
          <w:color w:val="auto"/>
          <w:szCs w:val="21"/>
          <w:highlight w:val="none"/>
        </w:rPr>
        <w:t>监理服务酬金基价×专业调整系数×工程复杂程度调整系数×高程调整系数</w:t>
      </w:r>
    </w:p>
    <w:p>
      <w:pPr>
        <w:tabs>
          <w:tab w:val="left" w:pos="426"/>
        </w:tabs>
        <w:spacing w:line="360" w:lineRule="exact"/>
        <w:ind w:firstLine="2373" w:firstLineChars="1130"/>
        <w:rPr>
          <w:rFonts w:hint="default" w:eastAsia="宋体"/>
          <w:color w:val="auto"/>
          <w:szCs w:val="21"/>
          <w:highlight w:val="none"/>
          <w:u w:val="single"/>
          <w:lang w:val="en-US" w:eastAsia="zh-CN"/>
        </w:rPr>
      </w:pP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（万元）×</w:t>
      </w:r>
      <w:r>
        <w:rPr>
          <w:color w:val="auto"/>
          <w:szCs w:val="21"/>
          <w:highlight w:val="none"/>
          <w:u w:val="single"/>
        </w:rPr>
        <w:t xml:space="preserve"> </w:t>
      </w:r>
      <w:r>
        <w:rPr>
          <w:rFonts w:hint="eastAsia"/>
          <w:color w:val="auto"/>
          <w:szCs w:val="21"/>
          <w:highlight w:val="none"/>
          <w:u w:val="single"/>
        </w:rPr>
        <w:t>1.0</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u w:val="single"/>
        </w:rPr>
        <w:t>1.0</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u w:val="single"/>
        </w:rPr>
        <w:t>1.0</w:t>
      </w:r>
      <w:r>
        <w:rPr>
          <w:color w:val="auto"/>
          <w:szCs w:val="21"/>
          <w:highlight w:val="none"/>
          <w:u w:val="single"/>
        </w:rPr>
        <w:t xml:space="preserve"> </w:t>
      </w:r>
    </w:p>
    <w:p>
      <w:pPr>
        <w:tabs>
          <w:tab w:val="left" w:pos="426"/>
        </w:tabs>
        <w:spacing w:line="360" w:lineRule="exact"/>
        <w:ind w:firstLine="2373" w:firstLineChars="1130"/>
        <w:rPr>
          <w:rFonts w:hint="eastAsia"/>
          <w:color w:val="auto"/>
          <w:szCs w:val="21"/>
          <w:highlight w:val="none"/>
        </w:rPr>
      </w:pP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万元。</w:t>
      </w:r>
    </w:p>
    <w:p>
      <w:pPr>
        <w:pStyle w:val="2"/>
        <w:ind w:firstLine="422" w:firstLineChars="200"/>
        <w:rPr>
          <w:rFonts w:hint="eastAsia"/>
        </w:rPr>
      </w:pPr>
      <w:r>
        <w:rPr>
          <w:rFonts w:hint="eastAsia"/>
          <w:b/>
          <w:color w:val="auto"/>
          <w:kern w:val="18"/>
          <w:szCs w:val="21"/>
          <w:highlight w:val="none"/>
        </w:rPr>
        <w:t>本工程监理服务酬金总额包括施工阶段监理服务酬金和保修阶段监理服务酬金两部分</w:t>
      </w:r>
      <w:r>
        <w:rPr>
          <w:rFonts w:hint="eastAsia"/>
          <w:b/>
          <w:color w:val="auto"/>
          <w:kern w:val="18"/>
          <w:szCs w:val="21"/>
          <w:highlight w:val="none"/>
          <w:lang w:eastAsia="zh-CN"/>
        </w:rPr>
        <w:t>，</w:t>
      </w:r>
      <w:r>
        <w:rPr>
          <w:rFonts w:hint="eastAsia"/>
          <w:b/>
          <w:color w:val="auto"/>
          <w:kern w:val="18"/>
          <w:szCs w:val="21"/>
          <w:highlight w:val="none"/>
          <w:lang w:val="en-US" w:eastAsia="zh-CN"/>
        </w:rPr>
        <w:t>其中</w:t>
      </w:r>
      <w:r>
        <w:rPr>
          <w:rFonts w:hint="eastAsia"/>
          <w:b/>
          <w:color w:val="auto"/>
          <w:kern w:val="18"/>
          <w:szCs w:val="21"/>
          <w:highlight w:val="none"/>
        </w:rPr>
        <w:t>施工阶段监理服务酬金</w:t>
      </w:r>
      <w:r>
        <w:rPr>
          <w:rFonts w:hint="eastAsia"/>
          <w:b/>
          <w:color w:val="auto"/>
          <w:kern w:val="18"/>
          <w:szCs w:val="21"/>
          <w:highlight w:val="none"/>
          <w:lang w:val="en-US" w:eastAsia="zh-CN"/>
        </w:rPr>
        <w:t>占监理服务酬金总额的97%，</w:t>
      </w:r>
      <w:r>
        <w:rPr>
          <w:rFonts w:hint="eastAsia"/>
          <w:b/>
          <w:color w:val="auto"/>
          <w:kern w:val="18"/>
          <w:szCs w:val="21"/>
          <w:highlight w:val="none"/>
        </w:rPr>
        <w:t>保修阶段监理服务酬金</w:t>
      </w:r>
      <w:r>
        <w:rPr>
          <w:rFonts w:hint="eastAsia"/>
          <w:b/>
          <w:color w:val="auto"/>
          <w:kern w:val="18"/>
          <w:szCs w:val="21"/>
          <w:highlight w:val="none"/>
          <w:lang w:val="en-US" w:eastAsia="zh-CN"/>
        </w:rPr>
        <w:t>占监理服务酬金总额的3%。</w:t>
      </w:r>
    </w:p>
    <w:p>
      <w:pPr>
        <w:pStyle w:val="2"/>
        <w:rPr>
          <w:rFonts w:hint="eastAsia"/>
        </w:rPr>
      </w:pPr>
    </w:p>
    <w:p>
      <w:pPr>
        <w:tabs>
          <w:tab w:val="left" w:pos="426"/>
        </w:tabs>
        <w:ind w:firstLine="422" w:firstLineChars="200"/>
        <w:rPr>
          <w:b/>
          <w:color w:val="auto"/>
          <w:kern w:val="18"/>
          <w:szCs w:val="21"/>
          <w:highlight w:val="none"/>
        </w:rPr>
      </w:pPr>
      <w:r>
        <w:rPr>
          <w:rFonts w:hint="eastAsia"/>
          <w:b/>
          <w:color w:val="auto"/>
          <w:kern w:val="18"/>
          <w:szCs w:val="21"/>
          <w:highlight w:val="none"/>
        </w:rPr>
        <w:t>特别</w:t>
      </w:r>
      <w:r>
        <w:rPr>
          <w:b/>
          <w:color w:val="auto"/>
          <w:kern w:val="18"/>
          <w:szCs w:val="21"/>
          <w:highlight w:val="none"/>
        </w:rPr>
        <w:t>说明：</w:t>
      </w:r>
    </w:p>
    <w:p>
      <w:pPr>
        <w:tabs>
          <w:tab w:val="left" w:pos="426"/>
        </w:tabs>
        <w:ind w:firstLine="422" w:firstLineChars="200"/>
        <w:rPr>
          <w:b/>
          <w:color w:val="auto"/>
          <w:kern w:val="18"/>
          <w:szCs w:val="21"/>
          <w:highlight w:val="none"/>
        </w:rPr>
      </w:pPr>
      <w:r>
        <w:rPr>
          <w:b/>
          <w:color w:val="auto"/>
          <w:kern w:val="18"/>
          <w:szCs w:val="21"/>
          <w:highlight w:val="none"/>
        </w:rPr>
        <w:t>招标人结算</w:t>
      </w:r>
      <w:r>
        <w:rPr>
          <w:rFonts w:hint="eastAsia"/>
          <w:b/>
          <w:color w:val="auto"/>
          <w:kern w:val="18"/>
          <w:szCs w:val="21"/>
          <w:highlight w:val="none"/>
        </w:rPr>
        <w:t>监理服务酬金总额</w:t>
      </w:r>
      <w:r>
        <w:rPr>
          <w:b/>
          <w:color w:val="auto"/>
          <w:kern w:val="18"/>
          <w:szCs w:val="21"/>
          <w:highlight w:val="none"/>
        </w:rPr>
        <w:t>根据实际</w:t>
      </w:r>
      <w:r>
        <w:rPr>
          <w:rFonts w:hint="eastAsia"/>
          <w:b/>
          <w:color w:val="auto"/>
          <w:kern w:val="18"/>
          <w:szCs w:val="21"/>
          <w:highlight w:val="none"/>
        </w:rPr>
        <w:t>最终结算</w:t>
      </w:r>
      <w:r>
        <w:rPr>
          <w:rFonts w:hint="eastAsia"/>
          <w:b/>
          <w:color w:val="auto"/>
          <w:kern w:val="18"/>
          <w:szCs w:val="21"/>
          <w:highlight w:val="none"/>
          <w:lang w:val="en-US" w:eastAsia="zh-CN"/>
        </w:rPr>
        <w:t>工程建设费用</w:t>
      </w:r>
      <w:r>
        <w:rPr>
          <w:b/>
          <w:color w:val="auto"/>
          <w:kern w:val="18"/>
          <w:szCs w:val="21"/>
          <w:highlight w:val="none"/>
        </w:rPr>
        <w:t>及</w:t>
      </w:r>
      <w:r>
        <w:rPr>
          <w:rFonts w:hint="eastAsia"/>
          <w:b/>
          <w:color w:val="auto"/>
          <w:kern w:val="18"/>
          <w:szCs w:val="21"/>
          <w:highlight w:val="none"/>
          <w:lang w:eastAsia="zh-CN"/>
        </w:rPr>
        <w:t>投标监理费费率</w:t>
      </w:r>
      <w:r>
        <w:rPr>
          <w:b/>
          <w:color w:val="auto"/>
          <w:kern w:val="18"/>
          <w:szCs w:val="21"/>
          <w:highlight w:val="none"/>
        </w:rPr>
        <w:t>重新核算。</w:t>
      </w:r>
    </w:p>
    <w:p>
      <w:pPr>
        <w:tabs>
          <w:tab w:val="left" w:pos="426"/>
        </w:tabs>
        <w:ind w:firstLine="422" w:firstLineChars="200"/>
        <w:rPr>
          <w:b/>
          <w:color w:val="auto"/>
          <w:szCs w:val="21"/>
          <w:highlight w:val="none"/>
        </w:rPr>
      </w:pPr>
      <w:r>
        <w:rPr>
          <w:rFonts w:hint="eastAsia"/>
          <w:b/>
          <w:color w:val="auto"/>
          <w:kern w:val="18"/>
          <w:szCs w:val="21"/>
          <w:highlight w:val="none"/>
        </w:rPr>
        <w:t>本工程监理服务酬金总额结算时，以最终结算的</w:t>
      </w:r>
      <w:r>
        <w:rPr>
          <w:rFonts w:hint="eastAsia"/>
          <w:b/>
          <w:color w:val="auto"/>
          <w:kern w:val="18"/>
          <w:szCs w:val="21"/>
          <w:highlight w:val="none"/>
          <w:lang w:val="en-US" w:eastAsia="zh-CN"/>
        </w:rPr>
        <w:t>工程建设费用</w:t>
      </w:r>
      <w:r>
        <w:rPr>
          <w:rFonts w:hint="eastAsia"/>
          <w:b/>
          <w:color w:val="auto"/>
          <w:kern w:val="18"/>
          <w:szCs w:val="21"/>
          <w:highlight w:val="none"/>
        </w:rPr>
        <w:t>作为监理酬金计费额</w:t>
      </w:r>
      <w:r>
        <w:rPr>
          <w:rFonts w:hint="eastAsia"/>
          <w:b/>
          <w:color w:val="auto"/>
          <w:kern w:val="18"/>
          <w:szCs w:val="21"/>
          <w:highlight w:val="none"/>
          <w:lang w:val="en-US" w:eastAsia="zh-CN"/>
        </w:rPr>
        <w:t>依据</w:t>
      </w:r>
      <w:r>
        <w:rPr>
          <w:rFonts w:hint="eastAsia"/>
          <w:b/>
          <w:color w:val="auto"/>
          <w:kern w:val="18"/>
          <w:szCs w:val="21"/>
          <w:highlight w:val="none"/>
        </w:rPr>
        <w:t>，但监理服务酬金结算价</w:t>
      </w:r>
      <w:r>
        <w:rPr>
          <w:rFonts w:hint="eastAsia"/>
          <w:b/>
          <w:color w:val="auto"/>
          <w:kern w:val="18"/>
          <w:szCs w:val="21"/>
          <w:highlight w:val="none"/>
          <w:lang w:val="en-US" w:eastAsia="zh-CN"/>
        </w:rPr>
        <w:t>总金额</w:t>
      </w:r>
      <w:r>
        <w:rPr>
          <w:rFonts w:hint="eastAsia"/>
          <w:b/>
          <w:color w:val="auto"/>
          <w:kern w:val="18"/>
          <w:szCs w:val="21"/>
          <w:highlight w:val="none"/>
        </w:rPr>
        <w:t>最高为</w:t>
      </w:r>
      <w:r>
        <w:rPr>
          <w:rFonts w:hint="eastAsia"/>
          <w:b/>
          <w:color w:val="FF0000"/>
          <w:kern w:val="18"/>
          <w:szCs w:val="21"/>
          <w:highlight w:val="none"/>
          <w:lang w:val="en-US" w:eastAsia="zh-CN"/>
        </w:rPr>
        <w:t>23.37</w:t>
      </w:r>
      <w:r>
        <w:rPr>
          <w:rFonts w:hint="eastAsia"/>
          <w:b/>
          <w:color w:val="auto"/>
          <w:kern w:val="18"/>
          <w:szCs w:val="21"/>
          <w:highlight w:val="none"/>
        </w:rPr>
        <w:t>万元。若监理服务酬金结算价</w:t>
      </w:r>
      <w:r>
        <w:rPr>
          <w:rFonts w:hint="eastAsia"/>
          <w:b/>
          <w:color w:val="auto"/>
          <w:kern w:val="18"/>
          <w:szCs w:val="21"/>
          <w:highlight w:val="none"/>
          <w:lang w:val="en-US" w:eastAsia="zh-CN"/>
        </w:rPr>
        <w:t>总金额</w:t>
      </w:r>
      <w:r>
        <w:rPr>
          <w:rFonts w:hint="eastAsia"/>
          <w:b/>
          <w:color w:val="auto"/>
          <w:kern w:val="18"/>
          <w:szCs w:val="21"/>
          <w:highlight w:val="none"/>
        </w:rPr>
        <w:t>超过</w:t>
      </w:r>
      <w:r>
        <w:rPr>
          <w:rFonts w:hint="eastAsia"/>
          <w:b/>
          <w:color w:val="FF0000"/>
          <w:kern w:val="18"/>
          <w:szCs w:val="21"/>
          <w:highlight w:val="none"/>
          <w:lang w:val="en-US" w:eastAsia="zh-CN"/>
        </w:rPr>
        <w:t>23.37</w:t>
      </w:r>
      <w:r>
        <w:rPr>
          <w:rFonts w:hint="eastAsia"/>
          <w:b/>
          <w:color w:val="auto"/>
          <w:kern w:val="18"/>
          <w:szCs w:val="21"/>
          <w:highlight w:val="none"/>
        </w:rPr>
        <w:t>万元，则最终监理服务酬金结算价</w:t>
      </w:r>
      <w:r>
        <w:rPr>
          <w:rFonts w:hint="eastAsia"/>
          <w:b/>
          <w:color w:val="auto"/>
          <w:kern w:val="18"/>
          <w:szCs w:val="21"/>
          <w:highlight w:val="none"/>
          <w:lang w:val="en-US" w:eastAsia="zh-CN"/>
        </w:rPr>
        <w:t>总金额</w:t>
      </w:r>
      <w:r>
        <w:rPr>
          <w:rFonts w:hint="eastAsia"/>
          <w:b/>
          <w:color w:val="auto"/>
          <w:kern w:val="18"/>
          <w:szCs w:val="21"/>
          <w:highlight w:val="none"/>
        </w:rPr>
        <w:t>为</w:t>
      </w:r>
      <w:r>
        <w:rPr>
          <w:rFonts w:hint="eastAsia"/>
          <w:b/>
          <w:color w:val="FF0000"/>
          <w:kern w:val="18"/>
          <w:szCs w:val="21"/>
          <w:highlight w:val="none"/>
          <w:lang w:val="en-US" w:eastAsia="zh-CN"/>
        </w:rPr>
        <w:t>23.37</w:t>
      </w:r>
      <w:r>
        <w:rPr>
          <w:rFonts w:hint="eastAsia"/>
          <w:b/>
          <w:color w:val="auto"/>
          <w:kern w:val="18"/>
          <w:szCs w:val="21"/>
          <w:highlight w:val="none"/>
        </w:rPr>
        <w:t>万元。</w:t>
      </w:r>
    </w:p>
    <w:p>
      <w:pPr>
        <w:tabs>
          <w:tab w:val="left" w:pos="426"/>
        </w:tabs>
        <w:ind w:firstLine="420" w:firstLineChars="200"/>
        <w:rPr>
          <w:color w:val="auto"/>
          <w:szCs w:val="21"/>
          <w:highlight w:val="none"/>
        </w:rPr>
      </w:pPr>
      <w:r>
        <w:rPr>
          <w:rFonts w:hint="eastAsia"/>
          <w:color w:val="auto"/>
          <w:szCs w:val="21"/>
          <w:highlight w:val="none"/>
        </w:rPr>
        <w:t>2.2投标报价应以人民币为结算单位；</w:t>
      </w:r>
    </w:p>
    <w:p>
      <w:pPr>
        <w:tabs>
          <w:tab w:val="left" w:pos="426"/>
        </w:tabs>
        <w:ind w:firstLine="420" w:firstLineChars="200"/>
        <w:rPr>
          <w:color w:val="auto"/>
          <w:szCs w:val="21"/>
          <w:highlight w:val="none"/>
        </w:rPr>
      </w:pPr>
      <w:r>
        <w:rPr>
          <w:rFonts w:hint="eastAsia"/>
          <w:color w:val="auto"/>
          <w:szCs w:val="21"/>
          <w:highlight w:val="none"/>
        </w:rPr>
        <w:t>2.3 投标单位应在投标文件中填报 “监理服务费构成明细报价”表，写明分项单价和投标总价。如果单价与总价有出入，以单价为准。投标单位对每种项目只允许有一个报价，招标单位不接受有任何选择的报价；</w:t>
      </w:r>
    </w:p>
    <w:p>
      <w:pPr>
        <w:tabs>
          <w:tab w:val="left" w:pos="426"/>
        </w:tabs>
        <w:ind w:firstLine="420" w:firstLineChars="200"/>
        <w:rPr>
          <w:color w:val="auto"/>
          <w:szCs w:val="21"/>
          <w:highlight w:val="none"/>
        </w:rPr>
      </w:pPr>
      <w:r>
        <w:rPr>
          <w:rFonts w:hint="eastAsia"/>
          <w:color w:val="auto"/>
          <w:szCs w:val="21"/>
          <w:highlight w:val="none"/>
          <w:lang w:val="en-US" w:eastAsia="zh-CN"/>
        </w:rPr>
        <w:t>2</w:t>
      </w:r>
      <w:r>
        <w:rPr>
          <w:rFonts w:hint="eastAsia"/>
          <w:color w:val="auto"/>
          <w:szCs w:val="21"/>
          <w:highlight w:val="none"/>
        </w:rPr>
        <w:t>.4 投标单位的投标总价为完成项目监理及招标文件或合同条款所规定的工作内容的各项费用，应包括人工、设备、项目管理、场地踏勘、监理费、利润、税金、包干预备费、政策性文件规定及招标文件、合同包含的所有风险、责任等各项应有的费用；</w:t>
      </w:r>
    </w:p>
    <w:p>
      <w:pPr>
        <w:tabs>
          <w:tab w:val="left" w:pos="426"/>
        </w:tabs>
        <w:ind w:firstLine="420" w:firstLineChars="200"/>
        <w:rPr>
          <w:color w:val="auto"/>
          <w:szCs w:val="21"/>
          <w:highlight w:val="none"/>
        </w:rPr>
      </w:pPr>
      <w:r>
        <w:rPr>
          <w:rFonts w:hint="eastAsia"/>
          <w:color w:val="auto"/>
          <w:szCs w:val="21"/>
          <w:highlight w:val="none"/>
        </w:rPr>
        <w:t>2.5 投标总价为投标单位的投标文件中提出的各项支付金额的总和，投标单位应充分考虑项目至竣工验收、保修为止期间物价上涨、政策性调整等诸多因素以及由此引起的费用变动并计入报价；</w:t>
      </w:r>
    </w:p>
    <w:p>
      <w:pPr>
        <w:tabs>
          <w:tab w:val="left" w:pos="426"/>
        </w:tabs>
        <w:ind w:firstLine="420" w:firstLineChars="200"/>
        <w:rPr>
          <w:color w:val="auto"/>
          <w:szCs w:val="21"/>
          <w:highlight w:val="none"/>
        </w:rPr>
      </w:pPr>
      <w:r>
        <w:rPr>
          <w:rFonts w:hint="eastAsia"/>
          <w:color w:val="auto"/>
          <w:szCs w:val="21"/>
          <w:highlight w:val="none"/>
        </w:rPr>
        <w:t>2.6投标单位的投标报价，应是本项目招标范围和招标文件及合同条款上所列的各项内容中所述的全部，不得以任何理由予以重复；</w:t>
      </w:r>
    </w:p>
    <w:p>
      <w:pPr>
        <w:tabs>
          <w:tab w:val="left" w:pos="426"/>
        </w:tabs>
        <w:ind w:firstLine="420" w:firstLineChars="200"/>
        <w:rPr>
          <w:color w:val="auto"/>
          <w:szCs w:val="21"/>
          <w:highlight w:val="none"/>
        </w:rPr>
      </w:pPr>
      <w:r>
        <w:rPr>
          <w:rFonts w:hint="eastAsia"/>
          <w:color w:val="auto"/>
          <w:szCs w:val="21"/>
          <w:highlight w:val="none"/>
        </w:rPr>
        <w:t>2.7投标单位不得期望通过索赔、签证等方式获取补偿，否则，除可能遭到拒绝外，还可能将被作为不良行为记录在案，并可能影响其以后参加政府采购的项目投标。各投标单位在投标报价时，应充分考虑投标报价的风险；</w:t>
      </w:r>
    </w:p>
    <w:p>
      <w:pPr>
        <w:tabs>
          <w:tab w:val="left" w:pos="426"/>
        </w:tabs>
        <w:ind w:firstLine="420" w:firstLineChars="200"/>
        <w:rPr>
          <w:color w:val="auto"/>
          <w:szCs w:val="21"/>
          <w:highlight w:val="none"/>
        </w:rPr>
      </w:pPr>
      <w:r>
        <w:rPr>
          <w:rFonts w:hint="eastAsia"/>
          <w:color w:val="auto"/>
          <w:szCs w:val="21"/>
          <w:highlight w:val="none"/>
        </w:rPr>
        <w:t>2.8中标单位根据有关法律法规与招标单位签订合同，对该项目统一管理，综合服务，自主经营，自负盈亏。</w:t>
      </w:r>
    </w:p>
    <w:p>
      <w:pPr>
        <w:tabs>
          <w:tab w:val="left" w:pos="426"/>
        </w:tabs>
        <w:spacing w:before="160" w:beforeLines="0" w:after="160" w:afterLines="0"/>
        <w:ind w:firstLine="422" w:firstLineChars="200"/>
        <w:outlineLvl w:val="1"/>
        <w:rPr>
          <w:rFonts w:hint="eastAsia" w:cs="Arial"/>
          <w:b/>
          <w:color w:val="auto"/>
          <w:szCs w:val="21"/>
          <w:highlight w:val="none"/>
        </w:rPr>
      </w:pPr>
      <w:bookmarkStart w:id="361" w:name="_Toc25837"/>
      <w:bookmarkStart w:id="362" w:name="_Toc23563"/>
      <w:bookmarkStart w:id="363" w:name="_Toc30294"/>
      <w:bookmarkStart w:id="364" w:name="_Toc32517"/>
      <w:r>
        <w:rPr>
          <w:rFonts w:hint="eastAsia" w:cs="Arial"/>
          <w:b/>
          <w:color w:val="auto"/>
          <w:szCs w:val="21"/>
          <w:highlight w:val="none"/>
          <w:lang w:eastAsia="zh-CN"/>
        </w:rPr>
        <w:t>（二）</w:t>
      </w:r>
      <w:r>
        <w:rPr>
          <w:rFonts w:hint="eastAsia" w:cs="Arial"/>
          <w:b/>
          <w:color w:val="auto"/>
          <w:szCs w:val="21"/>
          <w:highlight w:val="none"/>
        </w:rPr>
        <w:t>付款方式</w:t>
      </w:r>
      <w:bookmarkEnd w:id="361"/>
      <w:bookmarkEnd w:id="362"/>
      <w:bookmarkEnd w:id="363"/>
      <w:bookmarkEnd w:id="364"/>
    </w:p>
    <w:p>
      <w:pPr>
        <w:tabs>
          <w:tab w:val="left" w:pos="426"/>
        </w:tabs>
        <w:ind w:firstLine="420" w:firstLineChars="200"/>
        <w:rPr>
          <w:color w:val="auto"/>
          <w:szCs w:val="21"/>
          <w:highlight w:val="none"/>
        </w:rPr>
      </w:pPr>
      <w:r>
        <w:rPr>
          <w:rFonts w:hint="eastAsia"/>
          <w:color w:val="auto"/>
          <w:szCs w:val="21"/>
          <w:highlight w:val="none"/>
        </w:rPr>
        <w:t>2.1第一次付款：合同签订后支付合同</w:t>
      </w:r>
      <w:r>
        <w:rPr>
          <w:rFonts w:hint="eastAsia"/>
          <w:color w:val="auto"/>
          <w:szCs w:val="21"/>
          <w:highlight w:val="none"/>
          <w:lang w:val="en-US" w:eastAsia="zh-CN"/>
        </w:rPr>
        <w:t>暂定</w:t>
      </w:r>
      <w:r>
        <w:rPr>
          <w:rFonts w:hint="eastAsia"/>
          <w:color w:val="auto"/>
          <w:szCs w:val="21"/>
          <w:highlight w:val="none"/>
        </w:rPr>
        <w:t xml:space="preserve">价款总额的30%； </w:t>
      </w:r>
    </w:p>
    <w:p>
      <w:pPr>
        <w:pStyle w:val="8"/>
        <w:spacing w:line="360" w:lineRule="exact"/>
        <w:rPr>
          <w:color w:val="auto"/>
          <w:szCs w:val="21"/>
          <w:highlight w:val="none"/>
        </w:rPr>
      </w:pPr>
      <w:r>
        <w:rPr>
          <w:color w:val="auto"/>
          <w:szCs w:val="21"/>
          <w:highlight w:val="none"/>
        </w:rPr>
        <w:tab/>
      </w:r>
      <w:r>
        <w:rPr>
          <w:rFonts w:hint="eastAsia"/>
          <w:color w:val="auto"/>
          <w:szCs w:val="21"/>
          <w:highlight w:val="none"/>
        </w:rPr>
        <w:t>自本合同签订之日起15个工作日内，根据</w:t>
      </w:r>
      <w:r>
        <w:rPr>
          <w:rFonts w:hint="eastAsia"/>
          <w:color w:val="auto"/>
          <w:szCs w:val="21"/>
          <w:highlight w:val="none"/>
          <w:lang w:val="en-US" w:eastAsia="zh-CN"/>
        </w:rPr>
        <w:t>中标单位</w:t>
      </w:r>
      <w:r>
        <w:rPr>
          <w:rFonts w:hint="eastAsia"/>
          <w:color w:val="auto"/>
          <w:szCs w:val="21"/>
          <w:highlight w:val="none"/>
        </w:rPr>
        <w:t>提出的付款申请，</w:t>
      </w:r>
      <w:r>
        <w:rPr>
          <w:rFonts w:hint="eastAsia"/>
          <w:lang w:val="en-US" w:eastAsia="zh-CN"/>
        </w:rPr>
        <w:t>招标单位</w:t>
      </w:r>
      <w:r>
        <w:rPr>
          <w:rFonts w:hint="eastAsia"/>
          <w:color w:val="auto"/>
          <w:szCs w:val="21"/>
          <w:highlight w:val="none"/>
        </w:rPr>
        <w:t>向</w:t>
      </w:r>
      <w:r>
        <w:rPr>
          <w:rFonts w:hint="eastAsia"/>
          <w:color w:val="auto"/>
          <w:szCs w:val="21"/>
          <w:highlight w:val="none"/>
          <w:lang w:val="en-US" w:eastAsia="zh-CN"/>
        </w:rPr>
        <w:t>中标单位</w:t>
      </w:r>
      <w:r>
        <w:rPr>
          <w:rFonts w:hint="eastAsia"/>
          <w:color w:val="auto"/>
          <w:szCs w:val="21"/>
          <w:highlight w:val="none"/>
        </w:rPr>
        <w:t xml:space="preserve">支付人民币 </w:t>
      </w:r>
      <w:r>
        <w:rPr>
          <w:rFonts w:hint="eastAsia"/>
          <w:color w:val="auto"/>
          <w:szCs w:val="21"/>
          <w:highlight w:val="none"/>
          <w:u w:val="single"/>
        </w:rPr>
        <w:t xml:space="preserve">         </w:t>
      </w:r>
      <w:r>
        <w:rPr>
          <w:rFonts w:hint="eastAsia"/>
          <w:color w:val="auto"/>
          <w:szCs w:val="21"/>
          <w:highlight w:val="none"/>
        </w:rPr>
        <w:t>元整，小写￥</w:t>
      </w:r>
      <w:r>
        <w:rPr>
          <w:rFonts w:hint="eastAsia"/>
          <w:color w:val="auto"/>
          <w:szCs w:val="21"/>
          <w:highlight w:val="none"/>
          <w:u w:val="single"/>
        </w:rPr>
        <w:t xml:space="preserve">        </w:t>
      </w:r>
      <w:r>
        <w:rPr>
          <w:rFonts w:hint="eastAsia"/>
          <w:color w:val="auto"/>
          <w:szCs w:val="21"/>
          <w:highlight w:val="none"/>
        </w:rPr>
        <w:t>元。</w:t>
      </w:r>
    </w:p>
    <w:p>
      <w:pPr>
        <w:tabs>
          <w:tab w:val="left" w:pos="426"/>
        </w:tabs>
        <w:ind w:firstLine="420" w:firstLineChars="200"/>
        <w:rPr>
          <w:rFonts w:hint="default" w:eastAsia="宋体"/>
          <w:color w:val="auto"/>
          <w:kern w:val="18"/>
          <w:szCs w:val="21"/>
          <w:highlight w:val="none"/>
          <w:lang w:val="en-US" w:eastAsia="zh-CN"/>
        </w:rPr>
      </w:pPr>
      <w:r>
        <w:rPr>
          <w:rFonts w:hint="eastAsia"/>
          <w:color w:val="auto"/>
          <w:szCs w:val="21"/>
          <w:highlight w:val="none"/>
        </w:rPr>
        <w:t>2.2</w:t>
      </w:r>
      <w:r>
        <w:rPr>
          <w:rFonts w:hint="eastAsia"/>
          <w:color w:val="auto"/>
          <w:szCs w:val="21"/>
          <w:highlight w:val="none"/>
          <w:lang w:val="en-US" w:eastAsia="zh-CN"/>
        </w:rPr>
        <w:t>结算时，监理服务酬金总</w:t>
      </w:r>
      <w:r>
        <w:rPr>
          <w:rFonts w:hint="eastAsia"/>
          <w:color w:val="auto"/>
          <w:kern w:val="18"/>
          <w:szCs w:val="21"/>
          <w:highlight w:val="none"/>
          <w:lang w:eastAsia="zh-CN"/>
        </w:rPr>
        <w:t>额</w:t>
      </w:r>
      <w:r>
        <w:rPr>
          <w:rFonts w:hint="eastAsia"/>
          <w:color w:val="auto"/>
          <w:kern w:val="18"/>
          <w:szCs w:val="21"/>
          <w:highlight w:val="none"/>
        </w:rPr>
        <w:t>以</w:t>
      </w:r>
      <w:r>
        <w:rPr>
          <w:rFonts w:hint="eastAsia"/>
          <w:color w:val="auto"/>
          <w:kern w:val="18"/>
          <w:szCs w:val="21"/>
          <w:highlight w:val="none"/>
          <w:lang w:val="en-US" w:eastAsia="zh-CN"/>
        </w:rPr>
        <w:t>经政府审计机构审计的</w:t>
      </w:r>
      <w:r>
        <w:rPr>
          <w:rFonts w:hint="eastAsia"/>
          <w:color w:val="auto"/>
          <w:kern w:val="18"/>
          <w:szCs w:val="21"/>
          <w:highlight w:val="none"/>
        </w:rPr>
        <w:t>工程</w:t>
      </w:r>
      <w:r>
        <w:rPr>
          <w:rFonts w:hint="eastAsia"/>
          <w:color w:val="auto"/>
          <w:kern w:val="18"/>
          <w:szCs w:val="21"/>
          <w:highlight w:val="none"/>
          <w:lang w:val="en-US" w:eastAsia="zh-CN"/>
        </w:rPr>
        <w:t>建设费用</w:t>
      </w:r>
      <w:r>
        <w:rPr>
          <w:rFonts w:hint="eastAsia"/>
          <w:color w:val="auto"/>
          <w:kern w:val="18"/>
          <w:szCs w:val="21"/>
          <w:highlight w:val="none"/>
        </w:rPr>
        <w:t>结算价为取费基数计算</w:t>
      </w:r>
      <w:r>
        <w:rPr>
          <w:rFonts w:hint="eastAsia"/>
          <w:color w:val="auto"/>
          <w:kern w:val="18"/>
          <w:szCs w:val="21"/>
          <w:highlight w:val="none"/>
          <w:lang w:eastAsia="zh-CN"/>
        </w:rPr>
        <w:t>，</w:t>
      </w:r>
      <w:r>
        <w:rPr>
          <w:rFonts w:hint="eastAsia"/>
          <w:color w:val="auto"/>
          <w:kern w:val="18"/>
          <w:szCs w:val="21"/>
          <w:highlight w:val="none"/>
          <w:lang w:val="en-US" w:eastAsia="zh-CN"/>
        </w:rPr>
        <w:t>其计算公式为：</w:t>
      </w:r>
    </w:p>
    <w:p>
      <w:pPr>
        <w:tabs>
          <w:tab w:val="left" w:pos="426"/>
        </w:tabs>
        <w:spacing w:line="360" w:lineRule="exact"/>
        <w:ind w:firstLine="0" w:firstLineChars="0"/>
        <w:jc w:val="center"/>
        <w:rPr>
          <w:rFonts w:hint="default" w:eastAsia="宋体"/>
          <w:color w:val="auto"/>
          <w:szCs w:val="21"/>
          <w:highlight w:val="none"/>
          <w:lang w:val="en-US" w:eastAsia="zh-CN"/>
        </w:rPr>
      </w:pPr>
      <w:r>
        <w:rPr>
          <w:rFonts w:hint="eastAsia"/>
          <w:color w:val="auto"/>
          <w:szCs w:val="21"/>
          <w:highlight w:val="none"/>
          <w:lang w:val="en-US" w:eastAsia="zh-CN"/>
        </w:rPr>
        <w:t xml:space="preserve"> </w:t>
      </w:r>
      <w:r>
        <w:rPr>
          <w:rFonts w:hint="eastAsia"/>
          <w:color w:val="auto"/>
          <w:szCs w:val="21"/>
          <w:highlight w:val="none"/>
        </w:rPr>
        <w:t>监理服务酬金</w:t>
      </w:r>
      <w:r>
        <w:rPr>
          <w:rFonts w:hint="eastAsia"/>
          <w:color w:val="auto"/>
          <w:szCs w:val="21"/>
          <w:highlight w:val="none"/>
          <w:lang w:val="en-US" w:eastAsia="zh-CN"/>
        </w:rPr>
        <w:t>总额</w:t>
      </w:r>
      <w:r>
        <w:rPr>
          <w:rFonts w:hint="eastAsia"/>
          <w:color w:val="auto"/>
          <w:szCs w:val="21"/>
          <w:highlight w:val="none"/>
        </w:rPr>
        <w:t>＝监理服务酬金基价×专业调整系数×工程复杂程度调整系数×高程调整系数</w:t>
      </w:r>
    </w:p>
    <w:p>
      <w:pPr>
        <w:tabs>
          <w:tab w:val="left" w:pos="426"/>
        </w:tabs>
        <w:ind w:firstLine="1890" w:firstLineChars="900"/>
        <w:rPr>
          <w:color w:val="auto"/>
          <w:szCs w:val="21"/>
          <w:highlight w:val="none"/>
        </w:rPr>
      </w:pPr>
      <w:r>
        <w:rPr>
          <w:rFonts w:hint="eastAsia"/>
          <w:color w:val="auto"/>
          <w:szCs w:val="21"/>
          <w:highlight w:val="none"/>
        </w:rPr>
        <w:t>＝</w:t>
      </w:r>
      <w:r>
        <w:rPr>
          <w:rFonts w:hint="eastAsia"/>
          <w:color w:val="auto"/>
          <w:szCs w:val="21"/>
          <w:highlight w:val="none"/>
          <w:u w:val="single"/>
          <w:lang w:val="en-US" w:eastAsia="zh-CN"/>
        </w:rPr>
        <w:t>审计后</w:t>
      </w:r>
      <w:r>
        <w:rPr>
          <w:rFonts w:hint="eastAsia"/>
          <w:color w:val="auto"/>
          <w:kern w:val="18"/>
          <w:szCs w:val="21"/>
          <w:highlight w:val="none"/>
          <w:u w:val="single"/>
          <w:lang w:val="en-US" w:eastAsia="zh-CN"/>
        </w:rPr>
        <w:t>工程建设费用</w:t>
      </w:r>
      <w:r>
        <w:rPr>
          <w:rFonts w:hint="eastAsia"/>
          <w:color w:val="auto"/>
          <w:kern w:val="18"/>
          <w:szCs w:val="21"/>
          <w:highlight w:val="none"/>
        </w:rPr>
        <w:t>×</w:t>
      </w:r>
      <w:r>
        <w:rPr>
          <w:rFonts w:hint="eastAsia"/>
          <w:color w:val="auto"/>
          <w:kern w:val="18"/>
          <w:szCs w:val="21"/>
          <w:highlight w:val="none"/>
          <w:lang w:val="en-US" w:eastAsia="zh-CN"/>
        </w:rPr>
        <w:t>投标监理费费率为</w:t>
      </w:r>
      <w:r>
        <w:rPr>
          <w:rFonts w:hint="eastAsia"/>
          <w:color w:val="auto"/>
          <w:kern w:val="18"/>
          <w:szCs w:val="21"/>
          <w:highlight w:val="none"/>
          <w:u w:val="single"/>
        </w:rPr>
        <w:t xml:space="preserve"> </w:t>
      </w:r>
      <w:r>
        <w:rPr>
          <w:rFonts w:hint="eastAsia"/>
          <w:color w:val="auto"/>
          <w:kern w:val="18"/>
          <w:szCs w:val="21"/>
          <w:highlight w:val="none"/>
          <w:u w:val="single"/>
          <w:lang w:val="en-US" w:eastAsia="zh-CN"/>
        </w:rPr>
        <w:t xml:space="preserve">  </w:t>
      </w:r>
      <w:r>
        <w:rPr>
          <w:rFonts w:hint="eastAsia"/>
          <w:color w:val="auto"/>
          <w:kern w:val="18"/>
          <w:szCs w:val="21"/>
          <w:highlight w:val="none"/>
          <w:u w:val="single"/>
        </w:rPr>
        <w:t xml:space="preserve"> </w:t>
      </w:r>
      <w:r>
        <w:rPr>
          <w:rFonts w:hint="eastAsia"/>
          <w:color w:val="auto"/>
          <w:kern w:val="18"/>
          <w:szCs w:val="21"/>
          <w:highlight w:val="none"/>
          <w:u w:val="single"/>
          <w:lang w:val="en-US" w:eastAsia="zh-CN"/>
        </w:rPr>
        <w:t>%</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u w:val="single"/>
        </w:rPr>
        <w:t>1.0</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u w:val="single"/>
        </w:rPr>
        <w:t>1.0</w:t>
      </w:r>
      <w:r>
        <w:rPr>
          <w:color w:val="auto"/>
          <w:szCs w:val="21"/>
          <w:highlight w:val="none"/>
          <w:u w:val="single"/>
        </w:rPr>
        <w:t xml:space="preserve"> </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u w:val="single"/>
        </w:rPr>
        <w:t>1.0</w:t>
      </w:r>
      <w:r>
        <w:rPr>
          <w:color w:val="auto"/>
          <w:szCs w:val="21"/>
          <w:highlight w:val="none"/>
          <w:u w:val="single"/>
        </w:rPr>
        <w:t xml:space="preserve"> </w:t>
      </w:r>
    </w:p>
    <w:p>
      <w:pPr>
        <w:tabs>
          <w:tab w:val="left" w:pos="426"/>
        </w:tabs>
        <w:ind w:firstLine="420" w:firstLineChars="200"/>
        <w:rPr>
          <w:color w:val="auto"/>
          <w:szCs w:val="21"/>
          <w:highlight w:val="none"/>
        </w:rPr>
      </w:pPr>
      <w:r>
        <w:rPr>
          <w:rFonts w:hint="eastAsia"/>
          <w:color w:val="auto"/>
          <w:szCs w:val="21"/>
          <w:highlight w:val="none"/>
        </w:rPr>
        <w:t>第二次付款：</w:t>
      </w:r>
      <w:r>
        <w:rPr>
          <w:rFonts w:hint="eastAsia"/>
          <w:color w:val="auto"/>
          <w:szCs w:val="21"/>
          <w:highlight w:val="none"/>
          <w:lang w:val="en-US" w:eastAsia="zh-CN"/>
        </w:rPr>
        <w:t>项目</w:t>
      </w:r>
      <w:r>
        <w:rPr>
          <w:rFonts w:hint="eastAsia"/>
          <w:color w:val="auto"/>
          <w:szCs w:val="21"/>
          <w:highlight w:val="none"/>
        </w:rPr>
        <w:t>竣工验收</w:t>
      </w:r>
      <w:r>
        <w:rPr>
          <w:rFonts w:hint="eastAsia"/>
          <w:color w:val="auto"/>
          <w:szCs w:val="21"/>
          <w:highlight w:val="none"/>
          <w:lang w:val="en-US" w:eastAsia="zh-CN"/>
        </w:rPr>
        <w:t>后支付至结算监理服务酬金总额的97%。</w:t>
      </w:r>
    </w:p>
    <w:p>
      <w:pPr>
        <w:tabs>
          <w:tab w:val="left" w:pos="426"/>
        </w:tabs>
        <w:ind w:firstLine="420" w:firstLineChars="200"/>
        <w:rPr>
          <w:color w:val="auto"/>
          <w:szCs w:val="21"/>
          <w:highlight w:val="none"/>
        </w:rPr>
      </w:pPr>
      <w:r>
        <w:rPr>
          <w:color w:val="auto"/>
          <w:szCs w:val="21"/>
          <w:highlight w:val="none"/>
        </w:rPr>
        <w:t>2.3第三次付款：项目保修期完成后</w:t>
      </w:r>
      <w:r>
        <w:rPr>
          <w:rFonts w:hint="eastAsia"/>
          <w:color w:val="auto"/>
          <w:szCs w:val="21"/>
          <w:highlight w:val="none"/>
          <w:lang w:eastAsia="zh-CN"/>
        </w:rPr>
        <w:t>，</w:t>
      </w:r>
      <w:r>
        <w:rPr>
          <w:color w:val="auto"/>
          <w:szCs w:val="21"/>
          <w:highlight w:val="none"/>
        </w:rPr>
        <w:t>支付</w:t>
      </w:r>
      <w:r>
        <w:rPr>
          <w:rFonts w:hint="eastAsia"/>
          <w:color w:val="auto"/>
          <w:szCs w:val="21"/>
          <w:highlight w:val="none"/>
          <w:lang w:val="en-US" w:eastAsia="zh-CN"/>
        </w:rPr>
        <w:t>监理服务酬金剩余款项，</w:t>
      </w:r>
      <w:r>
        <w:rPr>
          <w:rFonts w:hint="eastAsia"/>
          <w:color w:val="auto"/>
          <w:kern w:val="18"/>
          <w:szCs w:val="21"/>
          <w:highlight w:val="none"/>
          <w:lang w:val="en-US" w:eastAsia="zh-CN"/>
        </w:rPr>
        <w:t>为结算监理服务酬金总额的3%。</w:t>
      </w:r>
    </w:p>
    <w:p>
      <w:pPr>
        <w:bidi w:val="0"/>
        <w:ind w:firstLine="630" w:firstLineChars="300"/>
        <w:rPr>
          <w:rFonts w:hint="eastAsia"/>
          <w:color w:val="auto"/>
          <w:highlight w:val="none"/>
        </w:rPr>
      </w:pPr>
      <w:r>
        <w:rPr>
          <w:rFonts w:hint="eastAsia"/>
          <w:color w:val="auto"/>
          <w:highlight w:val="none"/>
        </w:rPr>
        <w:t>本合同以人民币付款。</w:t>
      </w:r>
      <w:r>
        <w:rPr>
          <w:rFonts w:hint="eastAsia"/>
          <w:color w:val="auto"/>
          <w:szCs w:val="21"/>
          <w:highlight w:val="none"/>
        </w:rPr>
        <w:t>上述每期款项均在</w:t>
      </w:r>
      <w:r>
        <w:rPr>
          <w:rFonts w:hint="eastAsia"/>
          <w:color w:val="auto"/>
          <w:szCs w:val="21"/>
          <w:highlight w:val="none"/>
          <w:lang w:eastAsia="zh-CN"/>
        </w:rPr>
        <w:t>招标单位</w:t>
      </w:r>
      <w:r>
        <w:rPr>
          <w:rFonts w:hint="eastAsia"/>
          <w:color w:val="auto"/>
          <w:szCs w:val="21"/>
          <w:highlight w:val="none"/>
        </w:rPr>
        <w:t>收到</w:t>
      </w:r>
      <w:r>
        <w:rPr>
          <w:rFonts w:hint="eastAsia"/>
          <w:color w:val="auto"/>
          <w:szCs w:val="21"/>
          <w:highlight w:val="none"/>
          <w:lang w:eastAsia="zh-CN"/>
        </w:rPr>
        <w:t>中标单位</w:t>
      </w:r>
      <w:r>
        <w:rPr>
          <w:rFonts w:hint="eastAsia"/>
          <w:color w:val="auto"/>
          <w:szCs w:val="21"/>
          <w:highlight w:val="none"/>
        </w:rPr>
        <w:t>开具的载明相应金额的正式发票后15个工作日内支付。如未及时收到发票，则</w:t>
      </w:r>
      <w:r>
        <w:rPr>
          <w:rFonts w:hint="eastAsia"/>
          <w:color w:val="auto"/>
          <w:szCs w:val="21"/>
          <w:highlight w:val="none"/>
          <w:lang w:eastAsia="zh-CN"/>
        </w:rPr>
        <w:t>招标单位</w:t>
      </w:r>
      <w:r>
        <w:rPr>
          <w:rFonts w:hint="eastAsia"/>
          <w:color w:val="auto"/>
          <w:szCs w:val="21"/>
          <w:highlight w:val="none"/>
        </w:rPr>
        <w:t>付款时间相应顺延。若因</w:t>
      </w:r>
      <w:r>
        <w:rPr>
          <w:rFonts w:hint="eastAsia"/>
          <w:color w:val="auto"/>
          <w:szCs w:val="21"/>
          <w:highlight w:val="none"/>
          <w:lang w:eastAsia="zh-CN"/>
        </w:rPr>
        <w:t>招标单位</w:t>
      </w:r>
      <w:r>
        <w:rPr>
          <w:rFonts w:hint="eastAsia"/>
          <w:color w:val="auto"/>
          <w:szCs w:val="21"/>
          <w:highlight w:val="none"/>
        </w:rPr>
        <w:t>付款审批影响支付进度，请</w:t>
      </w:r>
      <w:r>
        <w:rPr>
          <w:rFonts w:hint="eastAsia"/>
          <w:color w:val="auto"/>
          <w:szCs w:val="21"/>
          <w:highlight w:val="none"/>
          <w:lang w:eastAsia="zh-CN"/>
        </w:rPr>
        <w:t>中标单位</w:t>
      </w:r>
      <w:r>
        <w:rPr>
          <w:rFonts w:hint="eastAsia"/>
          <w:color w:val="auto"/>
          <w:szCs w:val="21"/>
          <w:highlight w:val="none"/>
        </w:rPr>
        <w:t>予以谅解，并不得就此向</w:t>
      </w:r>
      <w:r>
        <w:rPr>
          <w:rFonts w:hint="eastAsia"/>
          <w:color w:val="auto"/>
          <w:szCs w:val="21"/>
          <w:highlight w:val="none"/>
          <w:lang w:eastAsia="zh-CN"/>
        </w:rPr>
        <w:t>招标单位</w:t>
      </w:r>
      <w:r>
        <w:rPr>
          <w:rFonts w:hint="eastAsia"/>
          <w:color w:val="auto"/>
          <w:szCs w:val="21"/>
          <w:highlight w:val="none"/>
        </w:rPr>
        <w:t>索赔。</w:t>
      </w:r>
    </w:p>
    <w:p>
      <w:pPr>
        <w:tabs>
          <w:tab w:val="left" w:pos="426"/>
        </w:tabs>
        <w:spacing w:before="160" w:beforeLines="0" w:after="160" w:afterLines="0"/>
        <w:ind w:firstLine="422" w:firstLineChars="200"/>
        <w:outlineLvl w:val="1"/>
        <w:rPr>
          <w:rFonts w:hint="eastAsia" w:cs="Arial"/>
          <w:b/>
          <w:color w:val="auto"/>
          <w:szCs w:val="21"/>
          <w:highlight w:val="none"/>
        </w:rPr>
      </w:pPr>
      <w:bookmarkStart w:id="365" w:name="_Toc9269"/>
      <w:bookmarkStart w:id="366" w:name="_Toc25558"/>
      <w:bookmarkStart w:id="367" w:name="_Toc1242"/>
      <w:bookmarkStart w:id="368" w:name="_Toc7346"/>
      <w:r>
        <w:rPr>
          <w:rFonts w:hint="eastAsia" w:cs="Arial"/>
          <w:b/>
          <w:color w:val="auto"/>
          <w:szCs w:val="21"/>
          <w:highlight w:val="none"/>
          <w:lang w:eastAsia="zh-CN"/>
        </w:rPr>
        <w:t>（三）</w:t>
      </w:r>
      <w:r>
        <w:rPr>
          <w:rFonts w:hint="eastAsia" w:cs="Arial"/>
          <w:b/>
          <w:color w:val="auto"/>
          <w:szCs w:val="21"/>
          <w:highlight w:val="none"/>
        </w:rPr>
        <w:t>关于现场踏勘</w:t>
      </w:r>
      <w:bookmarkEnd w:id="365"/>
      <w:bookmarkEnd w:id="366"/>
      <w:bookmarkEnd w:id="367"/>
      <w:bookmarkEnd w:id="368"/>
    </w:p>
    <w:p>
      <w:pPr>
        <w:pStyle w:val="15"/>
        <w:spacing w:before="0" w:after="0" w:line="240" w:lineRule="auto"/>
        <w:ind w:firstLine="420" w:firstLineChars="200"/>
        <w:jc w:val="left"/>
        <w:outlineLvl w:val="9"/>
        <w:rPr>
          <w:rFonts w:ascii="宋体" w:hAnsi="宋体" w:cs="宋体"/>
          <w:b w:val="0"/>
          <w:bCs w:val="0"/>
          <w:color w:val="auto"/>
          <w:kern w:val="0"/>
          <w:sz w:val="21"/>
          <w:szCs w:val="21"/>
          <w:highlight w:val="none"/>
        </w:rPr>
      </w:pPr>
      <w:bookmarkStart w:id="369" w:name="_Toc4414"/>
      <w:bookmarkStart w:id="370" w:name="_Toc11764"/>
      <w:bookmarkStart w:id="371" w:name="_Toc30296"/>
      <w:bookmarkStart w:id="372" w:name="_Toc16863"/>
      <w:r>
        <w:rPr>
          <w:rFonts w:hint="eastAsia" w:ascii="宋体" w:hAnsi="宋体" w:cs="宋体"/>
          <w:b w:val="0"/>
          <w:bCs w:val="0"/>
          <w:color w:val="auto"/>
          <w:kern w:val="0"/>
          <w:sz w:val="21"/>
          <w:szCs w:val="21"/>
          <w:highlight w:val="none"/>
        </w:rPr>
        <w:t>本项目不安排现场踏勘。</w:t>
      </w:r>
      <w:bookmarkEnd w:id="369"/>
      <w:bookmarkEnd w:id="370"/>
      <w:bookmarkEnd w:id="371"/>
      <w:bookmarkEnd w:id="372"/>
    </w:p>
    <w:p>
      <w:pPr>
        <w:widowControl/>
        <w:spacing w:line="360" w:lineRule="auto"/>
        <w:ind w:firstLine="600" w:firstLineChars="200"/>
        <w:rPr>
          <w:rFonts w:ascii="宋体" w:hAnsi="宋体"/>
          <w:color w:val="auto"/>
          <w:szCs w:val="21"/>
          <w:highlight w:val="none"/>
        </w:rPr>
      </w:pPr>
      <w:r>
        <w:rPr>
          <w:rFonts w:eastAsia="黑体"/>
          <w:color w:val="auto"/>
          <w:sz w:val="30"/>
          <w:szCs w:val="30"/>
          <w:highlight w:val="none"/>
        </w:rPr>
        <w:br w:type="page"/>
      </w:r>
    </w:p>
    <w:p>
      <w:pPr>
        <w:pStyle w:val="3"/>
        <w:numPr>
          <w:ilvl w:val="-1"/>
          <w:numId w:val="0"/>
        </w:numPr>
        <w:bidi w:val="0"/>
        <w:rPr>
          <w:rFonts w:hint="eastAsia"/>
          <w:color w:val="auto"/>
          <w:highlight w:val="none"/>
          <w:lang w:val="en-US" w:eastAsia="zh-CN"/>
        </w:rPr>
      </w:pPr>
      <w:bookmarkStart w:id="373" w:name="_Toc15383"/>
      <w:bookmarkStart w:id="374" w:name="_Toc24201"/>
      <w:bookmarkStart w:id="375" w:name="_Toc17672"/>
      <w:bookmarkStart w:id="376" w:name="_Toc26919"/>
      <w:r>
        <w:rPr>
          <w:rFonts w:hint="eastAsia"/>
          <w:color w:val="auto"/>
          <w:highlight w:val="none"/>
          <w:lang w:val="en-US" w:eastAsia="zh-CN"/>
        </w:rPr>
        <w:t>★六、成果归属</w:t>
      </w:r>
      <w:bookmarkEnd w:id="373"/>
      <w:bookmarkEnd w:id="374"/>
      <w:bookmarkEnd w:id="375"/>
      <w:bookmarkEnd w:id="376"/>
    </w:p>
    <w:p>
      <w:pPr>
        <w:tabs>
          <w:tab w:val="left" w:pos="426"/>
        </w:tabs>
        <w:spacing w:line="380" w:lineRule="exact"/>
        <w:ind w:firstLine="420" w:firstLineChars="200"/>
        <w:rPr>
          <w:color w:val="auto"/>
          <w:szCs w:val="21"/>
          <w:highlight w:val="none"/>
        </w:rPr>
      </w:pPr>
      <w:r>
        <w:rPr>
          <w:rFonts w:hint="eastAsia"/>
          <w:color w:val="auto"/>
          <w:szCs w:val="21"/>
          <w:highlight w:val="none"/>
        </w:rPr>
        <w:t>本工程编制的所有阶段性成果和最终成果文件（包括为保修阶段服务范围所编制的文件）的所有权、知识产权以及与之相关的所有权利归委托方所有，</w:t>
      </w:r>
      <w:r>
        <w:rPr>
          <w:rFonts w:hint="eastAsia"/>
          <w:color w:val="auto"/>
          <w:szCs w:val="21"/>
          <w:highlight w:val="none"/>
          <w:lang w:val="en-US" w:eastAsia="zh-CN"/>
        </w:rPr>
        <w:t>中标人</w:t>
      </w:r>
      <w:r>
        <w:rPr>
          <w:rFonts w:hint="eastAsia"/>
          <w:color w:val="auto"/>
          <w:szCs w:val="21"/>
          <w:highlight w:val="none"/>
        </w:rPr>
        <w:t>仅有权为本工程使用和复制此类文件，未经委托方书面在先同意，监理方不得将本项目的阶段性成果和/或最终成果文件及任何数据、资料、软件向任何第三方转让、授权任何第三方使用或用于本合同项目外的其他项目。如发生以上情况，监理方应向委托方支付本合同总价款20%的违约金，同时，委托方保留要求监理方赔偿全部损失的权利。</w:t>
      </w:r>
    </w:p>
    <w:p>
      <w:pPr>
        <w:numPr>
          <w:ilvl w:val="0"/>
          <w:numId w:val="0"/>
        </w:numPr>
        <w:rPr>
          <w:rFonts w:hint="default"/>
          <w:color w:val="auto"/>
          <w:highlight w:val="none"/>
          <w:lang w:val="en-US" w:eastAsia="zh-CN"/>
        </w:rPr>
      </w:pPr>
    </w:p>
    <w:p>
      <w:pPr>
        <w:pStyle w:val="3"/>
        <w:bidi w:val="0"/>
        <w:rPr>
          <w:rFonts w:hint="eastAsia"/>
          <w:color w:val="auto"/>
          <w:highlight w:val="none"/>
        </w:rPr>
      </w:pPr>
      <w:bookmarkStart w:id="377" w:name="_Toc31405"/>
      <w:bookmarkStart w:id="378" w:name="_Toc7998"/>
      <w:bookmarkStart w:id="379" w:name="_Toc14995"/>
      <w:bookmarkStart w:id="380" w:name="_Toc14926"/>
      <w:r>
        <w:rPr>
          <w:rFonts w:hint="eastAsia"/>
          <w:color w:val="auto"/>
          <w:highlight w:val="none"/>
          <w:lang w:val="en-US" w:eastAsia="zh-CN"/>
        </w:rPr>
        <w:t>★七、</w:t>
      </w:r>
      <w:r>
        <w:rPr>
          <w:rFonts w:hint="eastAsia"/>
          <w:color w:val="auto"/>
          <w:highlight w:val="none"/>
        </w:rPr>
        <w:t>保密条款</w:t>
      </w:r>
      <w:bookmarkEnd w:id="377"/>
      <w:bookmarkEnd w:id="378"/>
      <w:bookmarkEnd w:id="379"/>
      <w:bookmarkEnd w:id="380"/>
    </w:p>
    <w:p>
      <w:pPr>
        <w:widowControl/>
        <w:spacing w:line="360" w:lineRule="auto"/>
        <w:ind w:firstLine="420" w:firstLineChars="200"/>
        <w:rPr>
          <w:rFonts w:hint="eastAsia" w:ascii="宋体" w:hAnsi="宋体"/>
          <w:color w:val="auto"/>
          <w:szCs w:val="21"/>
          <w:highlight w:val="none"/>
          <w:lang w:val="en-US" w:eastAsia="zh-CN"/>
        </w:rPr>
      </w:pPr>
      <w:r>
        <w:rPr>
          <w:rFonts w:hint="eastAsia"/>
          <w:lang w:val="en-US" w:eastAsia="zh-Hans"/>
        </w:rPr>
        <w:t>中标人应与采购人签订《保密协议》，《保密协议》的具体内容详见第四部分。</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 xml:space="preserve">1. </w:t>
      </w:r>
      <w:r>
        <w:rPr>
          <w:rFonts w:hint="eastAsia" w:ascii="宋体" w:hAnsi="宋体"/>
          <w:color w:val="auto"/>
          <w:szCs w:val="21"/>
          <w:highlight w:val="none"/>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 xml:space="preserve">2. </w:t>
      </w:r>
      <w:r>
        <w:rPr>
          <w:rFonts w:hint="eastAsia" w:ascii="宋体" w:hAnsi="宋体"/>
          <w:color w:val="auto"/>
          <w:szCs w:val="21"/>
          <w:highlight w:val="none"/>
        </w:rPr>
        <w:t>监理方应以保密方式处理监理过程中自委托方、委托方工作人员或委托方关联机构获得的相关信息、资料、图纸、数据等，或由委托方在履行本合同过程中明确指明为秘密的任何信息，以及因监理方本项目工作内容所直接或间接取得、处理或接触的任何其他资料。未经委托方书面在先同意，监理方不得向任何第三方透露与本项目有关的内容，或公开本项目的阶段性成果或最终成果内容。即使向履行本合同有关的人员提供，也应注意保密并限于履行合同的必需范围，且这些人员应接受至少与本条款同等严格的保密条款的约束。</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 xml:space="preserve">3. </w:t>
      </w:r>
      <w:r>
        <w:rPr>
          <w:rFonts w:hint="eastAsia" w:ascii="宋体" w:hAnsi="宋体"/>
          <w:color w:val="auto"/>
          <w:szCs w:val="21"/>
          <w:highlight w:val="none"/>
        </w:rPr>
        <w:t>监理方实施项目的程序应符合国家安全、保密的有关规定和标准。</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 xml:space="preserve">4. </w:t>
      </w:r>
      <w:r>
        <w:rPr>
          <w:rFonts w:hint="eastAsia" w:ascii="宋体" w:hAnsi="宋体"/>
          <w:color w:val="auto"/>
          <w:szCs w:val="21"/>
          <w:highlight w:val="none"/>
        </w:rPr>
        <w:t>上述保密义务不适用以下情况：</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①</w:t>
      </w:r>
      <w:r>
        <w:rPr>
          <w:rFonts w:hint="eastAsia" w:ascii="宋体" w:hAnsi="宋体"/>
          <w:color w:val="auto"/>
          <w:szCs w:val="21"/>
          <w:highlight w:val="none"/>
        </w:rPr>
        <w:tab/>
      </w:r>
      <w:r>
        <w:rPr>
          <w:rFonts w:hint="eastAsia" w:ascii="宋体" w:hAnsi="宋体"/>
          <w:color w:val="auto"/>
          <w:szCs w:val="21"/>
          <w:highlight w:val="none"/>
        </w:rPr>
        <w:t>获取的信息已被合法公开；</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②</w:t>
      </w:r>
      <w:r>
        <w:rPr>
          <w:rFonts w:hint="eastAsia" w:ascii="宋体" w:hAnsi="宋体"/>
          <w:color w:val="auto"/>
          <w:szCs w:val="21"/>
          <w:highlight w:val="none"/>
        </w:rPr>
        <w:tab/>
      </w:r>
      <w:r>
        <w:rPr>
          <w:rFonts w:hint="eastAsia" w:ascii="宋体" w:hAnsi="宋体"/>
          <w:color w:val="auto"/>
          <w:szCs w:val="21"/>
          <w:highlight w:val="none"/>
        </w:rPr>
        <w:t>获得信息拥有方书面许可；</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③</w:t>
      </w:r>
      <w:r>
        <w:rPr>
          <w:rFonts w:hint="eastAsia" w:ascii="宋体" w:hAnsi="宋体"/>
          <w:color w:val="auto"/>
          <w:szCs w:val="21"/>
          <w:highlight w:val="none"/>
        </w:rPr>
        <w:tab/>
      </w:r>
      <w:r>
        <w:rPr>
          <w:rFonts w:hint="eastAsia" w:ascii="宋体" w:hAnsi="宋体"/>
          <w:color w:val="auto"/>
          <w:szCs w:val="21"/>
          <w:highlight w:val="none"/>
        </w:rPr>
        <w:t>国家法律、法规规定的情形。</w:t>
      </w:r>
    </w:p>
    <w:p>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 xml:space="preserve">5. </w:t>
      </w:r>
      <w:r>
        <w:rPr>
          <w:rFonts w:hint="eastAsia" w:ascii="宋体" w:hAnsi="宋体"/>
          <w:color w:val="auto"/>
          <w:szCs w:val="21"/>
          <w:highlight w:val="none"/>
        </w:rPr>
        <w:t>如违反上述保密条款，监理方应向委托方支付本合同服务费总金额20%的违约金，如果违约金无法弥补委托方损失，委托方保留要求监理方赔偿全部损失的权利。</w:t>
      </w:r>
    </w:p>
    <w:p>
      <w:pPr>
        <w:widowControl/>
        <w:spacing w:line="360" w:lineRule="auto"/>
        <w:ind w:firstLine="420"/>
        <w:rPr>
          <w:rFonts w:hint="eastAsia" w:ascii="宋体" w:hAnsi="宋体"/>
          <w:color w:val="auto"/>
          <w:szCs w:val="21"/>
          <w:highlight w:val="none"/>
        </w:rPr>
      </w:pPr>
      <w:r>
        <w:rPr>
          <w:rFonts w:hint="eastAsia" w:ascii="宋体" w:hAnsi="宋体"/>
          <w:color w:val="auto"/>
          <w:szCs w:val="21"/>
          <w:highlight w:val="none"/>
          <w:lang w:val="en-US" w:eastAsia="zh-CN"/>
        </w:rPr>
        <w:t xml:space="preserve">6. </w:t>
      </w:r>
      <w:r>
        <w:rPr>
          <w:rFonts w:hint="eastAsia" w:ascii="宋体" w:hAnsi="宋体"/>
          <w:color w:val="auto"/>
          <w:szCs w:val="21"/>
          <w:highlight w:val="none"/>
        </w:rPr>
        <w:t>无论本合同或本合同其他条款是否有效，或者本合同终止、解除、履行完毕后，本保密条款始终约束双方。国家秘密的保密期限由国家有关部门确定，工作秘密的保密期限由委托方确定。</w:t>
      </w:r>
    </w:p>
    <w:p>
      <w:pPr>
        <w:pStyle w:val="3"/>
        <w:rPr>
          <w:rFonts w:hint="eastAsia" w:ascii="Calibri Light" w:hAnsi="Calibri Light" w:eastAsia="黑体"/>
          <w:b/>
          <w:color w:val="auto"/>
          <w:kern w:val="44"/>
          <w:sz w:val="28"/>
          <w:szCs w:val="28"/>
          <w:highlight w:val="none"/>
        </w:rPr>
      </w:pPr>
      <w:bookmarkStart w:id="381" w:name="_Toc20349"/>
      <w:bookmarkStart w:id="382" w:name="_Toc3448"/>
      <w:bookmarkStart w:id="383" w:name="_Toc4879"/>
      <w:r>
        <w:rPr>
          <w:rFonts w:hint="eastAsia"/>
          <w:color w:val="auto"/>
          <w:highlight w:val="none"/>
          <w:lang w:val="en-US" w:eastAsia="zh-CN"/>
        </w:rPr>
        <w:t>★</w:t>
      </w:r>
      <w:r>
        <w:rPr>
          <w:rFonts w:hint="eastAsia" w:ascii="Calibri Light" w:hAnsi="Calibri Light" w:eastAsia="黑体" w:cs="Times New Roman"/>
          <w:b/>
          <w:color w:val="auto"/>
          <w:kern w:val="44"/>
          <w:sz w:val="28"/>
          <w:szCs w:val="28"/>
          <w:highlight w:val="none"/>
          <w:lang w:val="en-US" w:eastAsia="zh-CN"/>
        </w:rPr>
        <w:t>八、</w:t>
      </w:r>
      <w:r>
        <w:rPr>
          <w:rFonts w:hint="eastAsia" w:ascii="Calibri Light" w:hAnsi="Calibri Light" w:eastAsia="黑体"/>
          <w:b/>
          <w:color w:val="auto"/>
          <w:kern w:val="44"/>
          <w:sz w:val="28"/>
          <w:szCs w:val="28"/>
          <w:highlight w:val="none"/>
        </w:rPr>
        <w:t>违约责任</w:t>
      </w:r>
      <w:bookmarkEnd w:id="381"/>
      <w:bookmarkEnd w:id="382"/>
      <w:bookmarkEnd w:id="383"/>
    </w:p>
    <w:p>
      <w:pPr>
        <w:adjustRightInd w:val="0"/>
        <w:snapToGrid w:val="0"/>
        <w:spacing w:line="360" w:lineRule="auto"/>
        <w:ind w:firstLine="422" w:firstLineChars="200"/>
        <w:jc w:val="left"/>
        <w:rPr>
          <w:rFonts w:hint="eastAsia" w:ascii="宋体" w:hAnsi="宋体" w:eastAsia="宋体" w:cs="宋体"/>
          <w:snapToGrid w:val="0"/>
          <w:kern w:val="0"/>
          <w:highlight w:val="none"/>
        </w:rPr>
      </w:pPr>
      <w:r>
        <w:rPr>
          <w:rFonts w:hint="eastAsia" w:ascii="宋体" w:hAnsi="宋体" w:eastAsia="宋体" w:cs="宋体"/>
          <w:b/>
          <w:snapToGrid w:val="0"/>
          <w:kern w:val="0"/>
          <w:highlight w:val="none"/>
        </w:rPr>
        <w:t>4.1</w:t>
      </w:r>
      <w:r>
        <w:rPr>
          <w:rFonts w:hint="eastAsia" w:ascii="宋体" w:hAnsi="宋体" w:cs="宋体"/>
          <w:b/>
          <w:snapToGrid w:val="0"/>
          <w:kern w:val="0"/>
          <w:highlight w:val="none"/>
          <w:lang w:val="en-US" w:eastAsia="zh-CN"/>
        </w:rPr>
        <w:t>监理方</w:t>
      </w:r>
      <w:r>
        <w:rPr>
          <w:rFonts w:hint="eastAsia" w:ascii="宋体" w:hAnsi="宋体" w:eastAsia="宋体" w:cs="宋体"/>
          <w:b/>
          <w:snapToGrid w:val="0"/>
          <w:kern w:val="0"/>
          <w:highlight w:val="none"/>
        </w:rPr>
        <w:t>的违约责任</w:t>
      </w:r>
    </w:p>
    <w:p>
      <w:pPr>
        <w:adjustRightInd w:val="0"/>
        <w:snapToGrid w:val="0"/>
        <w:spacing w:line="460" w:lineRule="exact"/>
        <w:ind w:firstLine="420" w:firstLineChars="200"/>
        <w:jc w:val="left"/>
        <w:rPr>
          <w:rFonts w:hint="eastAsia" w:ascii="宋体" w:hAnsi="宋体" w:eastAsia="宋体" w:cs="宋体"/>
          <w:snapToGrid w:val="0"/>
          <w:kern w:val="0"/>
          <w:szCs w:val="21"/>
          <w:highlight w:val="none"/>
        </w:rPr>
      </w:pPr>
      <w:r>
        <w:rPr>
          <w:rFonts w:hint="eastAsia" w:ascii="宋体" w:hAnsi="宋体" w:cs="宋体"/>
          <w:snapToGrid w:val="0"/>
          <w:kern w:val="0"/>
          <w:szCs w:val="21"/>
          <w:highlight w:val="none"/>
          <w:lang w:val="en-US" w:eastAsia="zh-CN"/>
        </w:rPr>
        <w:t>监理方</w:t>
      </w:r>
      <w:r>
        <w:rPr>
          <w:rFonts w:hint="eastAsia" w:ascii="宋体" w:hAnsi="宋体" w:eastAsia="宋体" w:cs="宋体"/>
          <w:snapToGrid w:val="0"/>
          <w:kern w:val="0"/>
          <w:szCs w:val="21"/>
          <w:highlight w:val="none"/>
        </w:rPr>
        <w:t>未履行合同义务的，应承担相应的责任。</w:t>
      </w:r>
    </w:p>
    <w:p>
      <w:pPr>
        <w:adjustRightInd w:val="0"/>
        <w:snapToGrid w:val="0"/>
        <w:spacing w:line="460" w:lineRule="exact"/>
        <w:ind w:firstLine="420" w:firstLineChars="200"/>
        <w:jc w:val="left"/>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4.1.1因</w:t>
      </w:r>
      <w:r>
        <w:rPr>
          <w:rFonts w:hint="eastAsia" w:ascii="宋体" w:hAnsi="宋体" w:cs="宋体"/>
          <w:snapToGrid w:val="0"/>
          <w:kern w:val="0"/>
          <w:szCs w:val="21"/>
          <w:highlight w:val="none"/>
          <w:lang w:val="en-US" w:eastAsia="zh-CN"/>
        </w:rPr>
        <w:t>监理方</w:t>
      </w:r>
      <w:r>
        <w:rPr>
          <w:rFonts w:hint="eastAsia" w:ascii="宋体" w:hAnsi="宋体" w:eastAsia="宋体" w:cs="宋体"/>
          <w:snapToGrid w:val="0"/>
          <w:kern w:val="0"/>
          <w:szCs w:val="21"/>
          <w:highlight w:val="none"/>
        </w:rPr>
        <w:t>违反合同约定给</w:t>
      </w:r>
      <w:r>
        <w:rPr>
          <w:rFonts w:hint="eastAsia" w:ascii="宋体" w:hAnsi="宋体" w:cs="宋体"/>
          <w:snapToGrid w:val="0"/>
          <w:kern w:val="0"/>
          <w:szCs w:val="21"/>
          <w:highlight w:val="none"/>
          <w:lang w:val="en-US" w:eastAsia="zh-CN"/>
        </w:rPr>
        <w:t>委托方</w:t>
      </w:r>
      <w:r>
        <w:rPr>
          <w:rFonts w:hint="eastAsia" w:ascii="宋体" w:hAnsi="宋体" w:eastAsia="宋体" w:cs="宋体"/>
          <w:snapToGrid w:val="0"/>
          <w:kern w:val="0"/>
          <w:szCs w:val="21"/>
          <w:highlight w:val="none"/>
        </w:rPr>
        <w:t>造成损失的，</w:t>
      </w:r>
      <w:r>
        <w:rPr>
          <w:rFonts w:hint="eastAsia" w:ascii="宋体" w:hAnsi="宋体" w:cs="宋体"/>
          <w:snapToGrid w:val="0"/>
          <w:kern w:val="0"/>
          <w:szCs w:val="21"/>
          <w:highlight w:val="none"/>
          <w:lang w:val="en-US" w:eastAsia="zh-CN"/>
        </w:rPr>
        <w:t>监理方</w:t>
      </w:r>
      <w:r>
        <w:rPr>
          <w:rFonts w:hint="eastAsia" w:ascii="宋体" w:hAnsi="宋体" w:eastAsia="宋体" w:cs="宋体"/>
          <w:snapToGrid w:val="0"/>
          <w:kern w:val="0"/>
          <w:szCs w:val="21"/>
          <w:highlight w:val="none"/>
        </w:rPr>
        <w:t>应当赔偿</w:t>
      </w:r>
      <w:r>
        <w:rPr>
          <w:rFonts w:hint="eastAsia" w:ascii="宋体" w:hAnsi="宋体" w:cs="宋体"/>
          <w:snapToGrid w:val="0"/>
          <w:kern w:val="0"/>
          <w:szCs w:val="21"/>
          <w:highlight w:val="none"/>
          <w:lang w:val="en-US" w:eastAsia="zh-CN"/>
        </w:rPr>
        <w:t>委托方</w:t>
      </w:r>
      <w:r>
        <w:rPr>
          <w:rFonts w:hint="eastAsia" w:ascii="宋体" w:hAnsi="宋体" w:eastAsia="宋体" w:cs="宋体"/>
          <w:snapToGrid w:val="0"/>
          <w:kern w:val="0"/>
          <w:szCs w:val="21"/>
          <w:highlight w:val="none"/>
        </w:rPr>
        <w:t>损失。赔偿金额的确定方法在</w:t>
      </w:r>
      <w:r>
        <w:rPr>
          <w:rFonts w:hint="eastAsia" w:ascii="宋体" w:hAnsi="宋体" w:cs="宋体"/>
          <w:snapToGrid w:val="0"/>
          <w:kern w:val="0"/>
          <w:szCs w:val="21"/>
          <w:highlight w:val="none"/>
          <w:lang w:val="en-US" w:eastAsia="zh-CN"/>
        </w:rPr>
        <w:t>合同</w:t>
      </w:r>
      <w:r>
        <w:rPr>
          <w:rFonts w:hint="eastAsia" w:ascii="宋体" w:hAnsi="宋体" w:eastAsia="宋体" w:cs="宋体"/>
          <w:snapToGrid w:val="0"/>
          <w:kern w:val="0"/>
          <w:szCs w:val="21"/>
          <w:highlight w:val="none"/>
        </w:rPr>
        <w:t>中约定。</w:t>
      </w:r>
      <w:r>
        <w:rPr>
          <w:rFonts w:hint="eastAsia" w:ascii="宋体" w:hAnsi="宋体" w:cs="宋体"/>
          <w:snapToGrid w:val="0"/>
          <w:kern w:val="0"/>
          <w:szCs w:val="21"/>
          <w:highlight w:val="none"/>
          <w:lang w:val="en-US" w:eastAsia="zh-CN"/>
        </w:rPr>
        <w:t>监理方</w:t>
      </w:r>
      <w:r>
        <w:rPr>
          <w:rFonts w:hint="eastAsia" w:ascii="宋体" w:hAnsi="宋体" w:eastAsia="宋体" w:cs="宋体"/>
          <w:snapToGrid w:val="0"/>
          <w:kern w:val="0"/>
          <w:szCs w:val="21"/>
          <w:highlight w:val="none"/>
        </w:rPr>
        <w:t>承担部分赔偿责任的，其承担赔偿金额由双方协商确定。</w:t>
      </w:r>
    </w:p>
    <w:p>
      <w:pPr>
        <w:tabs>
          <w:tab w:val="left" w:pos="426"/>
        </w:tabs>
        <w:spacing w:line="460" w:lineRule="exact"/>
        <w:ind w:firstLine="420" w:firstLineChars="200"/>
        <w:rPr>
          <w:color w:val="auto"/>
          <w:szCs w:val="21"/>
          <w:highlight w:val="none"/>
        </w:rPr>
      </w:pPr>
      <w:r>
        <w:rPr>
          <w:rFonts w:hint="eastAsia" w:ascii="宋体" w:hAnsi="宋体" w:eastAsia="宋体" w:cs="宋体"/>
          <w:snapToGrid w:val="0"/>
          <w:kern w:val="0"/>
          <w:szCs w:val="21"/>
          <w:highlight w:val="none"/>
        </w:rPr>
        <w:t>4.1.2</w:t>
      </w:r>
      <w:r>
        <w:rPr>
          <w:rFonts w:hint="eastAsia"/>
          <w:color w:val="auto"/>
          <w:szCs w:val="21"/>
          <w:highlight w:val="none"/>
        </w:rPr>
        <w:t>本合同履行期间，发生下述情形时，委托方有权解除本合同，监理方除应退还委托方支付的全部款项外，还应支付本合同项下服务费总金额20%的违约金。监理方应同时将已完成的项目成果移交给委托方，并将全部有关资料退还委托方：</w:t>
      </w:r>
    </w:p>
    <w:p>
      <w:pPr>
        <w:tabs>
          <w:tab w:val="left" w:pos="426"/>
        </w:tabs>
        <w:spacing w:line="460" w:lineRule="exact"/>
        <w:ind w:firstLine="420" w:firstLineChars="200"/>
        <w:rPr>
          <w:color w:val="auto"/>
          <w:szCs w:val="21"/>
          <w:highlight w:val="none"/>
        </w:rPr>
      </w:pPr>
      <w:r>
        <w:rPr>
          <w:rFonts w:hint="eastAsia"/>
          <w:color w:val="auto"/>
          <w:szCs w:val="21"/>
          <w:highlight w:val="none"/>
        </w:rPr>
        <w:t>(1)</w:t>
      </w:r>
      <w:r>
        <w:rPr>
          <w:rFonts w:hint="eastAsia"/>
          <w:color w:val="auto"/>
          <w:szCs w:val="21"/>
          <w:highlight w:val="none"/>
        </w:rPr>
        <w:tab/>
      </w:r>
      <w:r>
        <w:rPr>
          <w:rFonts w:hint="eastAsia"/>
          <w:color w:val="auto"/>
          <w:szCs w:val="21"/>
          <w:highlight w:val="none"/>
        </w:rPr>
        <w:t>未经委托方书面在先同意，监理方擅自将本合同项目与任何第三方合作，或将本合同标的的全部或部分擅自转包给任何第三方，且未按委托方的要求终止与第三方的协议的。</w:t>
      </w:r>
    </w:p>
    <w:p>
      <w:pPr>
        <w:tabs>
          <w:tab w:val="left" w:pos="426"/>
        </w:tabs>
        <w:spacing w:line="460" w:lineRule="exact"/>
        <w:ind w:firstLine="420" w:firstLineChars="200"/>
        <w:rPr>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项目负责人为承担本协议项目实质性工作，或未经委托方书面在先同意，监理方擅自更换总监理工程师的。</w:t>
      </w:r>
    </w:p>
    <w:p>
      <w:pPr>
        <w:tabs>
          <w:tab w:val="left" w:pos="426"/>
        </w:tabs>
        <w:spacing w:line="440" w:lineRule="exact"/>
        <w:ind w:firstLine="420" w:firstLineChars="200"/>
        <w:rPr>
          <w:color w:val="auto"/>
          <w:szCs w:val="21"/>
          <w:highlight w:val="none"/>
        </w:rPr>
      </w:pPr>
      <w:r>
        <w:rPr>
          <w:rFonts w:hint="eastAsia"/>
          <w:color w:val="auto"/>
          <w:szCs w:val="21"/>
          <w:highlight w:val="none"/>
        </w:rPr>
        <w:t>(3)</w:t>
      </w:r>
      <w:r>
        <w:rPr>
          <w:rFonts w:hint="eastAsia"/>
          <w:color w:val="auto"/>
          <w:szCs w:val="21"/>
          <w:highlight w:val="none"/>
        </w:rPr>
        <w:tab/>
      </w:r>
      <w:r>
        <w:rPr>
          <w:rFonts w:hint="eastAsia"/>
          <w:color w:val="auto"/>
          <w:szCs w:val="21"/>
          <w:highlight w:val="none"/>
        </w:rPr>
        <w:t>发现监理方或监理方工作人员出现全部或部分丧失履行委托服务能力的情况，委托方有权通知监理方限期整改或更换工作人员，期限届满监理方并未进行改善的。</w:t>
      </w:r>
    </w:p>
    <w:p>
      <w:pPr>
        <w:tabs>
          <w:tab w:val="left" w:pos="426"/>
        </w:tabs>
        <w:adjustRightInd/>
        <w:snapToGrid/>
        <w:spacing w:line="440" w:lineRule="exact"/>
        <w:ind w:firstLine="420" w:firstLineChars="200"/>
        <w:jc w:val="left"/>
        <w:rPr>
          <w:rFonts w:hint="eastAsia" w:ascii="宋体" w:hAnsi="宋体" w:eastAsia="宋体" w:cs="宋体"/>
          <w:snapToGrid w:val="0"/>
          <w:kern w:val="0"/>
          <w:szCs w:val="21"/>
          <w:highlight w:val="none"/>
        </w:rPr>
      </w:pPr>
      <w:r>
        <w:rPr>
          <w:rFonts w:hint="eastAsia"/>
          <w:color w:val="auto"/>
          <w:szCs w:val="21"/>
          <w:highlight w:val="none"/>
        </w:rPr>
        <w:t>(4)</w:t>
      </w:r>
      <w:r>
        <w:rPr>
          <w:rFonts w:hint="eastAsia"/>
          <w:color w:val="auto"/>
          <w:szCs w:val="21"/>
          <w:highlight w:val="none"/>
        </w:rPr>
        <w:tab/>
      </w:r>
      <w:r>
        <w:rPr>
          <w:rFonts w:hint="eastAsia"/>
          <w:color w:val="auto"/>
          <w:szCs w:val="21"/>
          <w:highlight w:val="none"/>
        </w:rPr>
        <w:t>监理方明确表示或者以自己的行为表明不履行本合同的。</w:t>
      </w:r>
    </w:p>
    <w:p>
      <w:pPr>
        <w:adjustRightInd w:val="0"/>
        <w:snapToGrid w:val="0"/>
        <w:spacing w:line="440" w:lineRule="exact"/>
        <w:ind w:firstLine="420" w:firstLineChars="200"/>
        <w:jc w:val="left"/>
        <w:rPr>
          <w:rFonts w:hint="eastAsia" w:ascii="宋体" w:hAnsi="宋体" w:eastAsia="宋体" w:cs="宋体"/>
          <w:snapToGrid w:val="0"/>
          <w:kern w:val="0"/>
          <w:szCs w:val="21"/>
          <w:highlight w:val="none"/>
        </w:rPr>
      </w:pPr>
      <w:r>
        <w:rPr>
          <w:rFonts w:hint="eastAsia" w:ascii="宋体" w:hAnsi="宋体" w:cs="宋体"/>
          <w:snapToGrid w:val="0"/>
          <w:kern w:val="0"/>
          <w:szCs w:val="21"/>
          <w:highlight w:val="none"/>
          <w:lang w:val="en-US" w:eastAsia="zh-CN"/>
        </w:rPr>
        <w:t>4.1.3监理方</w:t>
      </w:r>
      <w:r>
        <w:rPr>
          <w:rFonts w:hint="eastAsia" w:ascii="宋体" w:hAnsi="宋体" w:eastAsia="宋体" w:cs="宋体"/>
          <w:snapToGrid w:val="0"/>
          <w:kern w:val="0"/>
          <w:szCs w:val="21"/>
          <w:highlight w:val="none"/>
        </w:rPr>
        <w:t>向</w:t>
      </w:r>
      <w:r>
        <w:rPr>
          <w:rFonts w:hint="eastAsia" w:ascii="宋体" w:hAnsi="宋体" w:cs="宋体"/>
          <w:snapToGrid w:val="0"/>
          <w:kern w:val="0"/>
          <w:szCs w:val="21"/>
          <w:highlight w:val="none"/>
          <w:lang w:val="en-US" w:eastAsia="zh-CN"/>
        </w:rPr>
        <w:t>委托方</w:t>
      </w:r>
      <w:r>
        <w:rPr>
          <w:rFonts w:hint="eastAsia" w:ascii="宋体" w:hAnsi="宋体" w:eastAsia="宋体" w:cs="宋体"/>
          <w:snapToGrid w:val="0"/>
          <w:kern w:val="0"/>
          <w:szCs w:val="21"/>
          <w:highlight w:val="none"/>
        </w:rPr>
        <w:t>的索赔不成立时，</w:t>
      </w:r>
      <w:r>
        <w:rPr>
          <w:rFonts w:hint="eastAsia" w:ascii="宋体" w:hAnsi="宋体" w:cs="宋体"/>
          <w:snapToGrid w:val="0"/>
          <w:kern w:val="0"/>
          <w:szCs w:val="21"/>
          <w:highlight w:val="none"/>
          <w:lang w:val="en-US" w:eastAsia="zh-CN"/>
        </w:rPr>
        <w:t>监理方</w:t>
      </w:r>
      <w:r>
        <w:rPr>
          <w:rFonts w:hint="eastAsia" w:ascii="宋体" w:hAnsi="宋体" w:eastAsia="宋体" w:cs="宋体"/>
          <w:snapToGrid w:val="0"/>
          <w:kern w:val="0"/>
          <w:szCs w:val="21"/>
          <w:highlight w:val="none"/>
        </w:rPr>
        <w:t>应赔偿</w:t>
      </w:r>
      <w:r>
        <w:rPr>
          <w:rFonts w:hint="eastAsia" w:ascii="宋体" w:hAnsi="宋体" w:cs="宋体"/>
          <w:snapToGrid w:val="0"/>
          <w:kern w:val="0"/>
          <w:szCs w:val="21"/>
          <w:highlight w:val="none"/>
          <w:lang w:val="en-US" w:eastAsia="zh-CN"/>
        </w:rPr>
        <w:t>委托方</w:t>
      </w:r>
      <w:r>
        <w:rPr>
          <w:rFonts w:hint="eastAsia" w:ascii="宋体" w:hAnsi="宋体" w:eastAsia="宋体" w:cs="宋体"/>
          <w:snapToGrid w:val="0"/>
          <w:kern w:val="0"/>
          <w:szCs w:val="21"/>
          <w:highlight w:val="none"/>
        </w:rPr>
        <w:t>由此发生的费用。</w:t>
      </w:r>
    </w:p>
    <w:p>
      <w:pPr>
        <w:adjustRightInd w:val="0"/>
        <w:snapToGrid w:val="0"/>
        <w:spacing w:line="440" w:lineRule="exact"/>
        <w:ind w:firstLine="422" w:firstLineChars="200"/>
        <w:jc w:val="left"/>
        <w:rPr>
          <w:rFonts w:hint="eastAsia" w:ascii="宋体" w:hAnsi="宋体" w:eastAsia="宋体" w:cs="宋体"/>
          <w:snapToGrid w:val="0"/>
          <w:kern w:val="0"/>
          <w:highlight w:val="none"/>
        </w:rPr>
      </w:pPr>
      <w:r>
        <w:rPr>
          <w:rFonts w:hint="eastAsia" w:ascii="宋体" w:hAnsi="宋体" w:eastAsia="宋体" w:cs="宋体"/>
          <w:b/>
          <w:snapToGrid w:val="0"/>
          <w:kern w:val="0"/>
          <w:highlight w:val="none"/>
        </w:rPr>
        <w:t>4.2</w:t>
      </w:r>
      <w:r>
        <w:rPr>
          <w:rFonts w:hint="eastAsia" w:ascii="宋体" w:hAnsi="宋体" w:cs="宋体"/>
          <w:b/>
          <w:snapToGrid w:val="0"/>
          <w:kern w:val="0"/>
          <w:highlight w:val="none"/>
          <w:lang w:val="en-US" w:eastAsia="zh-CN"/>
        </w:rPr>
        <w:t>委托方</w:t>
      </w:r>
      <w:r>
        <w:rPr>
          <w:rFonts w:hint="eastAsia" w:ascii="宋体" w:hAnsi="宋体" w:eastAsia="宋体" w:cs="宋体"/>
          <w:b/>
          <w:snapToGrid w:val="0"/>
          <w:kern w:val="0"/>
          <w:highlight w:val="none"/>
        </w:rPr>
        <w:t>的违约责任</w:t>
      </w:r>
    </w:p>
    <w:p>
      <w:pPr>
        <w:adjustRightInd w:val="0"/>
        <w:snapToGrid w:val="0"/>
        <w:spacing w:line="440" w:lineRule="exact"/>
        <w:ind w:firstLine="420" w:firstLineChars="200"/>
        <w:jc w:val="left"/>
        <w:rPr>
          <w:rFonts w:hint="eastAsia" w:ascii="宋体" w:hAnsi="宋体" w:eastAsia="宋体" w:cs="宋体"/>
          <w:snapToGrid w:val="0"/>
          <w:kern w:val="0"/>
          <w:szCs w:val="21"/>
          <w:highlight w:val="none"/>
        </w:rPr>
      </w:pPr>
      <w:r>
        <w:rPr>
          <w:rFonts w:hint="eastAsia" w:ascii="宋体" w:hAnsi="宋体" w:cs="宋体"/>
          <w:snapToGrid w:val="0"/>
          <w:kern w:val="0"/>
          <w:szCs w:val="21"/>
          <w:highlight w:val="none"/>
          <w:lang w:val="en-US" w:eastAsia="zh-CN"/>
        </w:rPr>
        <w:t>委托方</w:t>
      </w:r>
      <w:r>
        <w:rPr>
          <w:rFonts w:hint="eastAsia" w:ascii="宋体" w:hAnsi="宋体" w:eastAsia="宋体" w:cs="宋体"/>
          <w:snapToGrid w:val="0"/>
          <w:kern w:val="0"/>
          <w:szCs w:val="21"/>
          <w:highlight w:val="none"/>
        </w:rPr>
        <w:t>未履行本合同义务的，应承担相应的责任。</w:t>
      </w:r>
    </w:p>
    <w:p>
      <w:pPr>
        <w:adjustRightInd w:val="0"/>
        <w:snapToGrid w:val="0"/>
        <w:spacing w:line="440" w:lineRule="exact"/>
        <w:ind w:firstLine="420" w:firstLineChars="200"/>
        <w:jc w:val="left"/>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4.2.1</w:t>
      </w:r>
      <w:r>
        <w:rPr>
          <w:rFonts w:hint="eastAsia" w:ascii="宋体" w:hAnsi="宋体" w:cs="宋体"/>
          <w:snapToGrid w:val="0"/>
          <w:kern w:val="0"/>
          <w:szCs w:val="21"/>
          <w:highlight w:val="none"/>
          <w:lang w:val="en-US" w:eastAsia="zh-CN"/>
        </w:rPr>
        <w:t>委托方</w:t>
      </w:r>
      <w:r>
        <w:rPr>
          <w:rFonts w:hint="eastAsia" w:ascii="宋体" w:hAnsi="宋体" w:eastAsia="宋体" w:cs="宋体"/>
          <w:snapToGrid w:val="0"/>
          <w:kern w:val="0"/>
          <w:szCs w:val="21"/>
          <w:highlight w:val="none"/>
        </w:rPr>
        <w:t>违反合同约定造成</w:t>
      </w:r>
      <w:r>
        <w:rPr>
          <w:rFonts w:hint="eastAsia" w:ascii="宋体" w:hAnsi="宋体" w:cs="宋体"/>
          <w:snapToGrid w:val="0"/>
          <w:kern w:val="0"/>
          <w:szCs w:val="21"/>
          <w:highlight w:val="none"/>
          <w:lang w:val="en-US" w:eastAsia="zh-CN"/>
        </w:rPr>
        <w:t>监理方</w:t>
      </w:r>
      <w:r>
        <w:rPr>
          <w:rFonts w:hint="eastAsia" w:ascii="宋体" w:hAnsi="宋体" w:eastAsia="宋体" w:cs="宋体"/>
          <w:snapToGrid w:val="0"/>
          <w:kern w:val="0"/>
          <w:szCs w:val="21"/>
          <w:highlight w:val="none"/>
        </w:rPr>
        <w:t>损失的，</w:t>
      </w:r>
      <w:r>
        <w:rPr>
          <w:rFonts w:hint="eastAsia" w:ascii="宋体" w:hAnsi="宋体" w:cs="宋体"/>
          <w:snapToGrid w:val="0"/>
          <w:kern w:val="0"/>
          <w:szCs w:val="21"/>
          <w:highlight w:val="none"/>
          <w:lang w:val="en-US" w:eastAsia="zh-CN"/>
        </w:rPr>
        <w:t>委托方</w:t>
      </w:r>
      <w:r>
        <w:rPr>
          <w:rFonts w:hint="eastAsia" w:ascii="宋体" w:hAnsi="宋体" w:eastAsia="宋体" w:cs="宋体"/>
          <w:snapToGrid w:val="0"/>
          <w:kern w:val="0"/>
          <w:szCs w:val="21"/>
          <w:highlight w:val="none"/>
        </w:rPr>
        <w:t>应予以赔偿。</w:t>
      </w:r>
    </w:p>
    <w:p>
      <w:pPr>
        <w:adjustRightInd w:val="0"/>
        <w:snapToGrid w:val="0"/>
        <w:spacing w:line="440" w:lineRule="exact"/>
        <w:ind w:firstLine="420" w:firstLineChars="200"/>
        <w:jc w:val="left"/>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4.2.2</w:t>
      </w:r>
      <w:r>
        <w:rPr>
          <w:rFonts w:hint="eastAsia" w:ascii="宋体" w:hAnsi="宋体" w:cs="宋体"/>
          <w:snapToGrid w:val="0"/>
          <w:kern w:val="0"/>
          <w:szCs w:val="21"/>
          <w:highlight w:val="none"/>
          <w:lang w:val="en-US" w:eastAsia="zh-CN"/>
        </w:rPr>
        <w:t>委托方</w:t>
      </w:r>
      <w:r>
        <w:rPr>
          <w:rFonts w:hint="eastAsia" w:ascii="宋体" w:hAnsi="宋体" w:eastAsia="宋体" w:cs="宋体"/>
          <w:snapToGrid w:val="0"/>
          <w:kern w:val="0"/>
          <w:szCs w:val="21"/>
          <w:highlight w:val="none"/>
        </w:rPr>
        <w:t>向</w:t>
      </w:r>
      <w:r>
        <w:rPr>
          <w:rFonts w:hint="eastAsia" w:ascii="宋体" w:hAnsi="宋体" w:cs="宋体"/>
          <w:snapToGrid w:val="0"/>
          <w:kern w:val="0"/>
          <w:szCs w:val="21"/>
          <w:highlight w:val="none"/>
          <w:lang w:val="en-US" w:eastAsia="zh-CN"/>
        </w:rPr>
        <w:t>监理方</w:t>
      </w:r>
      <w:r>
        <w:rPr>
          <w:rFonts w:hint="eastAsia" w:ascii="宋体" w:hAnsi="宋体" w:eastAsia="宋体" w:cs="宋体"/>
          <w:snapToGrid w:val="0"/>
          <w:kern w:val="0"/>
          <w:szCs w:val="21"/>
          <w:highlight w:val="none"/>
        </w:rPr>
        <w:t>的索赔不成立时，应赔偿</w:t>
      </w:r>
      <w:r>
        <w:rPr>
          <w:rFonts w:hint="eastAsia" w:ascii="宋体" w:hAnsi="宋体" w:cs="宋体"/>
          <w:snapToGrid w:val="0"/>
          <w:kern w:val="0"/>
          <w:szCs w:val="21"/>
          <w:highlight w:val="none"/>
          <w:lang w:val="en-US" w:eastAsia="zh-CN"/>
        </w:rPr>
        <w:t>监理方</w:t>
      </w:r>
      <w:r>
        <w:rPr>
          <w:rFonts w:hint="eastAsia" w:ascii="宋体" w:hAnsi="宋体" w:eastAsia="宋体" w:cs="宋体"/>
          <w:snapToGrid w:val="0"/>
          <w:kern w:val="0"/>
          <w:szCs w:val="21"/>
          <w:highlight w:val="none"/>
        </w:rPr>
        <w:t>由此引起的费用。</w:t>
      </w:r>
    </w:p>
    <w:p>
      <w:pPr>
        <w:adjustRightInd w:val="0"/>
        <w:snapToGrid w:val="0"/>
        <w:spacing w:line="440" w:lineRule="exact"/>
        <w:ind w:firstLine="420" w:firstLineChars="200"/>
        <w:jc w:val="left"/>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4.2.3</w:t>
      </w:r>
      <w:r>
        <w:rPr>
          <w:rFonts w:hint="eastAsia"/>
          <w:color w:val="auto"/>
          <w:szCs w:val="21"/>
          <w:highlight w:val="none"/>
        </w:rPr>
        <w:t>如委托方未按照本合同约定的时间支付服务费，监理方书面催告委托方并给予不少于7个工作日的履行期限后委托方仍未支付的，监理方有权自该期限届满之日起要求委托方支付该阶段应付而未付合同价款每日3‰的逾期违约金。</w:t>
      </w:r>
    </w:p>
    <w:p>
      <w:pPr>
        <w:adjustRightInd w:val="0"/>
        <w:snapToGrid w:val="0"/>
        <w:spacing w:line="440" w:lineRule="exact"/>
        <w:ind w:firstLine="422" w:firstLineChars="200"/>
        <w:jc w:val="left"/>
        <w:rPr>
          <w:rFonts w:hint="eastAsia" w:ascii="宋体" w:hAnsi="宋体" w:eastAsia="宋体" w:cs="宋体"/>
          <w:snapToGrid w:val="0"/>
          <w:kern w:val="0"/>
          <w:highlight w:val="none"/>
        </w:rPr>
      </w:pPr>
      <w:r>
        <w:rPr>
          <w:rFonts w:hint="eastAsia" w:ascii="宋体" w:hAnsi="宋体" w:eastAsia="宋体" w:cs="宋体"/>
          <w:b/>
          <w:snapToGrid w:val="0"/>
          <w:kern w:val="0"/>
          <w:highlight w:val="none"/>
        </w:rPr>
        <w:t>4.3除外责任</w:t>
      </w:r>
    </w:p>
    <w:p>
      <w:pPr>
        <w:adjustRightInd w:val="0"/>
        <w:snapToGrid w:val="0"/>
        <w:spacing w:line="440" w:lineRule="exact"/>
        <w:ind w:firstLine="420" w:firstLineChars="200"/>
        <w:jc w:val="left"/>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因非</w:t>
      </w:r>
      <w:r>
        <w:rPr>
          <w:rFonts w:hint="eastAsia" w:ascii="宋体" w:hAnsi="宋体" w:cs="宋体"/>
          <w:snapToGrid w:val="0"/>
          <w:kern w:val="0"/>
          <w:szCs w:val="21"/>
          <w:highlight w:val="none"/>
          <w:lang w:val="en-US" w:eastAsia="zh-CN"/>
        </w:rPr>
        <w:t>监理方</w:t>
      </w:r>
      <w:r>
        <w:rPr>
          <w:rFonts w:hint="eastAsia" w:ascii="宋体" w:hAnsi="宋体" w:eastAsia="宋体" w:cs="宋体"/>
          <w:snapToGrid w:val="0"/>
          <w:kern w:val="0"/>
          <w:szCs w:val="21"/>
          <w:highlight w:val="none"/>
        </w:rPr>
        <w:t>的原因，且</w:t>
      </w:r>
      <w:r>
        <w:rPr>
          <w:rFonts w:hint="eastAsia" w:ascii="宋体" w:hAnsi="宋体" w:cs="宋体"/>
          <w:snapToGrid w:val="0"/>
          <w:kern w:val="0"/>
          <w:szCs w:val="21"/>
          <w:highlight w:val="none"/>
          <w:lang w:val="en-US" w:eastAsia="zh-CN"/>
        </w:rPr>
        <w:t>监理方</w:t>
      </w:r>
      <w:r>
        <w:rPr>
          <w:rFonts w:hint="eastAsia" w:ascii="宋体" w:hAnsi="宋体" w:eastAsia="宋体" w:cs="宋体"/>
          <w:snapToGrid w:val="0"/>
          <w:kern w:val="0"/>
          <w:szCs w:val="21"/>
          <w:highlight w:val="none"/>
        </w:rPr>
        <w:t>无过错，发生工程质量事故、安全事故、工期延误等造成的损失，</w:t>
      </w:r>
      <w:r>
        <w:rPr>
          <w:rFonts w:hint="eastAsia" w:ascii="宋体" w:hAnsi="宋体" w:cs="宋体"/>
          <w:snapToGrid w:val="0"/>
          <w:kern w:val="0"/>
          <w:szCs w:val="21"/>
          <w:highlight w:val="none"/>
          <w:lang w:val="en-US" w:eastAsia="zh-CN"/>
        </w:rPr>
        <w:t>监理方</w:t>
      </w:r>
      <w:r>
        <w:rPr>
          <w:rFonts w:hint="eastAsia" w:ascii="宋体" w:hAnsi="宋体" w:eastAsia="宋体" w:cs="宋体"/>
          <w:snapToGrid w:val="0"/>
          <w:kern w:val="0"/>
          <w:szCs w:val="21"/>
          <w:highlight w:val="none"/>
        </w:rPr>
        <w:t>不承担赔偿责任。</w:t>
      </w:r>
    </w:p>
    <w:p>
      <w:pPr>
        <w:adjustRightInd w:val="0"/>
        <w:snapToGrid w:val="0"/>
        <w:spacing w:line="440" w:lineRule="exact"/>
        <w:ind w:firstLine="420" w:firstLineChars="200"/>
        <w:jc w:val="left"/>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因不可抗力导致本合同全部或部分不能履行时，双方各自承担其因此而造成的损失、损害。</w:t>
      </w:r>
    </w:p>
    <w:p>
      <w:pPr>
        <w:pStyle w:val="24"/>
        <w:rPr>
          <w:rFonts w:hint="eastAsia"/>
          <w:color w:val="auto"/>
          <w:highlight w:val="none"/>
        </w:rPr>
      </w:pPr>
    </w:p>
    <w:p>
      <w:pPr>
        <w:pStyle w:val="24"/>
        <w:rPr>
          <w:color w:val="auto"/>
          <w:highlight w:val="none"/>
        </w:rPr>
        <w:sectPr>
          <w:footerReference r:id="rId5" w:type="default"/>
          <w:pgSz w:w="11906" w:h="16838"/>
          <w:pgMar w:top="1440" w:right="1286" w:bottom="1440" w:left="1440" w:header="851" w:footer="992" w:gutter="0"/>
          <w:pgNumType w:start="1"/>
          <w:cols w:space="720" w:num="1"/>
          <w:docGrid w:type="lines" w:linePitch="312" w:charSpace="0"/>
        </w:sectPr>
      </w:pPr>
    </w:p>
    <w:p>
      <w:pPr>
        <w:pStyle w:val="24"/>
        <w:rPr>
          <w:color w:val="auto"/>
          <w:highlight w:val="none"/>
        </w:rPr>
      </w:pPr>
    </w:p>
    <w:bookmarkEnd w:id="299"/>
    <w:bookmarkEnd w:id="300"/>
    <w:bookmarkEnd w:id="301"/>
    <w:bookmarkEnd w:id="302"/>
    <w:bookmarkEnd w:id="303"/>
    <w:bookmarkEnd w:id="304"/>
    <w:p>
      <w:pPr>
        <w:rPr>
          <w:color w:val="auto"/>
          <w:highlight w:val="none"/>
        </w:rPr>
      </w:pPr>
    </w:p>
    <w:p>
      <w:pPr>
        <w:spacing w:line="360" w:lineRule="auto"/>
        <w:ind w:firstLine="3360" w:firstLineChars="1046"/>
        <w:outlineLvl w:val="0"/>
        <w:rPr>
          <w:b/>
          <w:bCs/>
          <w:color w:val="auto"/>
          <w:sz w:val="32"/>
          <w:highlight w:val="none"/>
        </w:rPr>
      </w:pPr>
      <w:bookmarkStart w:id="384" w:name="_Toc18513"/>
      <w:bookmarkStart w:id="385" w:name="_Toc51746102"/>
      <w:bookmarkStart w:id="386" w:name="_Toc24074"/>
      <w:bookmarkStart w:id="387" w:name="_Toc77523183"/>
      <w:bookmarkStart w:id="388" w:name="_Toc9015"/>
      <w:bookmarkStart w:id="389" w:name="_Toc10366"/>
      <w:bookmarkStart w:id="390" w:name="_Toc679"/>
      <w:bookmarkStart w:id="391" w:name="_Toc31783"/>
      <w:bookmarkStart w:id="392" w:name="_Toc14381"/>
      <w:bookmarkStart w:id="393" w:name="_Toc17726"/>
      <w:r>
        <w:rPr>
          <w:rFonts w:hint="eastAsia"/>
          <w:b/>
          <w:bCs/>
          <w:color w:val="auto"/>
          <w:sz w:val="32"/>
          <w:highlight w:val="none"/>
        </w:rPr>
        <w:t>第六章 附件</w:t>
      </w:r>
      <w:bookmarkEnd w:id="384"/>
      <w:bookmarkEnd w:id="385"/>
      <w:bookmarkEnd w:id="386"/>
      <w:bookmarkEnd w:id="387"/>
      <w:bookmarkEnd w:id="388"/>
      <w:bookmarkEnd w:id="389"/>
      <w:bookmarkEnd w:id="390"/>
      <w:bookmarkEnd w:id="391"/>
      <w:bookmarkEnd w:id="392"/>
      <w:bookmarkEnd w:id="393"/>
    </w:p>
    <w:p>
      <w:pPr>
        <w:jc w:val="center"/>
        <w:outlineLvl w:val="1"/>
        <w:rPr>
          <w:b/>
          <w:bCs/>
          <w:color w:val="auto"/>
          <w:sz w:val="30"/>
          <w:highlight w:val="none"/>
        </w:rPr>
      </w:pPr>
      <w:bookmarkStart w:id="394" w:name="_Toc8377"/>
      <w:bookmarkStart w:id="395" w:name="_Toc8411"/>
      <w:bookmarkStart w:id="396" w:name="_Toc7067"/>
      <w:bookmarkStart w:id="397" w:name="_Toc21877"/>
      <w:bookmarkStart w:id="398" w:name="_Toc25915"/>
      <w:bookmarkStart w:id="399" w:name="_Toc29270"/>
      <w:bookmarkStart w:id="400" w:name="_Toc51746103"/>
      <w:bookmarkStart w:id="401" w:name="_Toc30225"/>
      <w:bookmarkStart w:id="402" w:name="_Toc77523184"/>
      <w:bookmarkStart w:id="403" w:name="_Toc16502"/>
      <w:r>
        <w:rPr>
          <w:rFonts w:hint="eastAsia"/>
          <w:b/>
          <w:bCs/>
          <w:color w:val="auto"/>
          <w:sz w:val="30"/>
          <w:highlight w:val="none"/>
        </w:rPr>
        <w:t>（一）投标人资格证明文件</w:t>
      </w:r>
      <w:bookmarkEnd w:id="394"/>
      <w:bookmarkEnd w:id="395"/>
      <w:bookmarkEnd w:id="396"/>
      <w:bookmarkEnd w:id="397"/>
      <w:bookmarkEnd w:id="398"/>
      <w:bookmarkEnd w:id="399"/>
      <w:bookmarkEnd w:id="400"/>
      <w:bookmarkEnd w:id="401"/>
      <w:bookmarkEnd w:id="402"/>
      <w:bookmarkEnd w:id="403"/>
    </w:p>
    <w:p>
      <w:pPr>
        <w:widowControl/>
        <w:spacing w:line="360" w:lineRule="auto"/>
        <w:jc w:val="left"/>
        <w:outlineLvl w:val="2"/>
        <w:rPr>
          <w:b/>
          <w:bCs/>
          <w:color w:val="auto"/>
          <w:sz w:val="24"/>
          <w:highlight w:val="none"/>
        </w:rPr>
      </w:pPr>
      <w:bookmarkStart w:id="404" w:name="_Toc10198"/>
      <w:r>
        <w:rPr>
          <w:rFonts w:hint="eastAsia"/>
          <w:b/>
          <w:bCs/>
          <w:color w:val="auto"/>
          <w:sz w:val="24"/>
          <w:highlight w:val="none"/>
        </w:rPr>
        <w:t>1)</w:t>
      </w:r>
      <w:r>
        <w:rPr>
          <w:rFonts w:hint="eastAsia"/>
          <w:b/>
          <w:bCs/>
          <w:color w:val="auto"/>
          <w:sz w:val="24"/>
          <w:highlight w:val="none"/>
          <w:lang w:val="en-US" w:eastAsia="zh-CN"/>
        </w:rPr>
        <w:t xml:space="preserve"> </w:t>
      </w:r>
      <w:r>
        <w:rPr>
          <w:rFonts w:hint="eastAsia"/>
          <w:b/>
          <w:bCs/>
          <w:color w:val="auto"/>
          <w:sz w:val="24"/>
          <w:highlight w:val="none"/>
        </w:rPr>
        <w:t>《营业执照》或法人证书复印件（加盖投标人公章）；</w:t>
      </w:r>
      <w:bookmarkEnd w:id="404"/>
    </w:p>
    <w:p>
      <w:pPr>
        <w:widowControl/>
        <w:spacing w:line="360" w:lineRule="auto"/>
        <w:jc w:val="left"/>
        <w:rPr>
          <w:b/>
          <w:bCs/>
          <w:color w:val="auto"/>
          <w:sz w:val="24"/>
          <w:highlight w:val="none"/>
        </w:rPr>
      </w:pPr>
    </w:p>
    <w:p>
      <w:pPr>
        <w:widowControl/>
        <w:jc w:val="left"/>
        <w:rPr>
          <w:b/>
          <w:bCs/>
          <w:color w:val="auto"/>
          <w:sz w:val="24"/>
          <w:highlight w:val="none"/>
        </w:rPr>
      </w:pPr>
      <w:r>
        <w:rPr>
          <w:b/>
          <w:bCs/>
          <w:color w:val="auto"/>
          <w:sz w:val="24"/>
          <w:highlight w:val="none"/>
        </w:rPr>
        <w:br w:type="page"/>
      </w:r>
    </w:p>
    <w:p>
      <w:pPr>
        <w:widowControl/>
        <w:spacing w:line="360" w:lineRule="auto"/>
        <w:jc w:val="left"/>
        <w:rPr>
          <w:b/>
          <w:bCs/>
          <w:color w:val="auto"/>
          <w:sz w:val="24"/>
          <w:highlight w:val="none"/>
        </w:rPr>
      </w:pPr>
    </w:p>
    <w:p>
      <w:pPr>
        <w:widowControl/>
        <w:spacing w:line="360" w:lineRule="auto"/>
        <w:jc w:val="left"/>
        <w:outlineLvl w:val="2"/>
        <w:rPr>
          <w:b/>
          <w:bCs/>
          <w:color w:val="auto"/>
          <w:sz w:val="24"/>
          <w:highlight w:val="none"/>
        </w:rPr>
      </w:pPr>
      <w:bookmarkStart w:id="405" w:name="_Toc23354"/>
      <w:r>
        <w:rPr>
          <w:rFonts w:hint="eastAsia"/>
          <w:b/>
          <w:bCs/>
          <w:color w:val="auto"/>
          <w:sz w:val="24"/>
          <w:highlight w:val="none"/>
          <w:lang w:val="en-US" w:eastAsia="zh-CN"/>
        </w:rPr>
        <w:t>2</w:t>
      </w:r>
      <w:r>
        <w:rPr>
          <w:rFonts w:hint="eastAsia"/>
          <w:b/>
          <w:bCs/>
          <w:color w:val="auto"/>
          <w:sz w:val="24"/>
          <w:highlight w:val="none"/>
        </w:rPr>
        <w:t>)</w:t>
      </w:r>
      <w:r>
        <w:rPr>
          <w:rFonts w:hint="eastAsia"/>
          <w:b/>
          <w:bCs/>
          <w:color w:val="auto"/>
          <w:sz w:val="24"/>
          <w:highlight w:val="none"/>
          <w:lang w:val="en-US" w:eastAsia="zh-CN"/>
        </w:rPr>
        <w:t xml:space="preserve"> </w:t>
      </w:r>
      <w:r>
        <w:rPr>
          <w:rFonts w:hint="eastAsia"/>
          <w:b/>
          <w:bCs/>
          <w:color w:val="auto"/>
          <w:sz w:val="24"/>
          <w:highlight w:val="none"/>
        </w:rPr>
        <w:t>法定代表人证明书原件及身份证复印件（加盖投标人公章）；</w:t>
      </w:r>
      <w:bookmarkEnd w:id="405"/>
    </w:p>
    <w:p>
      <w:pPr>
        <w:spacing w:line="480" w:lineRule="exact"/>
        <w:jc w:val="center"/>
        <w:rPr>
          <w:rFonts w:ascii="黑体" w:eastAsia="黑体"/>
          <w:color w:val="auto"/>
          <w:sz w:val="28"/>
          <w:szCs w:val="28"/>
          <w:highlight w:val="none"/>
        </w:rPr>
      </w:pPr>
    </w:p>
    <w:p>
      <w:pPr>
        <w:spacing w:line="480" w:lineRule="exact"/>
        <w:jc w:val="center"/>
        <w:rPr>
          <w:rFonts w:ascii="宋体" w:hAnsi="宋体" w:cs="Arial"/>
          <w:b/>
          <w:bCs/>
          <w:color w:val="auto"/>
          <w:sz w:val="24"/>
          <w:highlight w:val="none"/>
        </w:rPr>
      </w:pPr>
      <w:r>
        <w:rPr>
          <w:rFonts w:hint="eastAsia" w:ascii="宋体" w:hAnsi="宋体" w:cs="Arial"/>
          <w:b/>
          <w:bCs/>
          <w:color w:val="auto"/>
          <w:sz w:val="24"/>
          <w:highlight w:val="none"/>
        </w:rPr>
        <w:t>法定代表人资格证明书</w:t>
      </w:r>
    </w:p>
    <w:p>
      <w:pPr>
        <w:spacing w:line="480" w:lineRule="exact"/>
        <w:jc w:val="center"/>
        <w:rPr>
          <w:rFonts w:ascii="黑体" w:eastAsia="黑体"/>
          <w:color w:val="auto"/>
          <w:sz w:val="28"/>
          <w:szCs w:val="28"/>
          <w:highlight w:val="none"/>
        </w:rPr>
      </w:pPr>
    </w:p>
    <w:p>
      <w:pPr>
        <w:spacing w:line="480" w:lineRule="exact"/>
        <w:jc w:val="center"/>
        <w:rPr>
          <w:rFonts w:ascii="宋体"/>
          <w:color w:val="auto"/>
          <w:sz w:val="24"/>
          <w:highlight w:val="none"/>
        </w:rPr>
      </w:pPr>
    </w:p>
    <w:p>
      <w:pPr>
        <w:snapToGrid w:val="0"/>
        <w:rPr>
          <w:rFonts w:hint="default" w:ascii="宋体" w:hAnsi="宋体" w:eastAsia="宋体" w:cs="Arial"/>
          <w:bCs/>
          <w:color w:val="auto"/>
          <w:sz w:val="24"/>
          <w:highlight w:val="none"/>
          <w:lang w:val="en-US" w:eastAsia="zh-CN"/>
        </w:rPr>
      </w:pPr>
      <w:r>
        <w:rPr>
          <w:rFonts w:hint="eastAsia" w:ascii="宋体" w:hAnsi="宋体" w:cs="Arial"/>
          <w:bCs/>
          <w:color w:val="auto"/>
          <w:sz w:val="24"/>
          <w:highlight w:val="none"/>
        </w:rPr>
        <w:t>单位名称：</w:t>
      </w:r>
      <w:r>
        <w:rPr>
          <w:rFonts w:hint="eastAsia" w:ascii="宋体" w:hAnsi="宋体" w:cs="Arial"/>
          <w:bCs/>
          <w:color w:val="auto"/>
          <w:sz w:val="24"/>
          <w:highlight w:val="none"/>
          <w:u w:val="single"/>
          <w:lang w:val="en-US" w:eastAsia="zh-CN"/>
        </w:rPr>
        <w:t xml:space="preserve">                           </w:t>
      </w:r>
    </w:p>
    <w:p>
      <w:pPr>
        <w:snapToGrid w:val="0"/>
        <w:rPr>
          <w:rFonts w:hint="default" w:ascii="宋体" w:hAnsi="宋体" w:eastAsia="宋体" w:cs="Arial"/>
          <w:bCs/>
          <w:color w:val="auto"/>
          <w:sz w:val="24"/>
          <w:highlight w:val="none"/>
          <w:lang w:val="en-US" w:eastAsia="zh-CN"/>
        </w:rPr>
      </w:pPr>
      <w:r>
        <w:rPr>
          <w:rFonts w:hint="eastAsia" w:ascii="宋体" w:hAnsi="宋体" w:cs="Arial"/>
          <w:bCs/>
          <w:color w:val="auto"/>
          <w:sz w:val="24"/>
          <w:highlight w:val="none"/>
        </w:rPr>
        <w:t>地    址：</w:t>
      </w:r>
      <w:r>
        <w:rPr>
          <w:rFonts w:hint="eastAsia" w:ascii="宋体" w:hAnsi="宋体" w:cs="Arial"/>
          <w:bCs/>
          <w:color w:val="auto"/>
          <w:sz w:val="24"/>
          <w:highlight w:val="none"/>
          <w:u w:val="single"/>
          <w:lang w:val="en-US" w:eastAsia="zh-CN"/>
        </w:rPr>
        <w:t xml:space="preserve">                           </w:t>
      </w:r>
    </w:p>
    <w:p>
      <w:pPr>
        <w:snapToGrid w:val="0"/>
        <w:rPr>
          <w:rFonts w:hint="default" w:ascii="宋体" w:hAnsi="宋体" w:eastAsia="宋体" w:cs="Arial"/>
          <w:bCs/>
          <w:color w:val="auto"/>
          <w:sz w:val="24"/>
          <w:highlight w:val="none"/>
          <w:lang w:val="en-US" w:eastAsia="zh-CN"/>
        </w:rPr>
      </w:pPr>
      <w:r>
        <w:rPr>
          <w:rFonts w:hint="eastAsia" w:ascii="宋体" w:hAnsi="宋体" w:cs="Arial"/>
          <w:bCs/>
          <w:color w:val="auto"/>
          <w:sz w:val="24"/>
          <w:highlight w:val="none"/>
        </w:rPr>
        <w:t>姓名：</w:t>
      </w:r>
      <w:r>
        <w:rPr>
          <w:rFonts w:hint="eastAsia" w:ascii="宋体" w:hAnsi="宋体" w:cs="Arial"/>
          <w:bCs/>
          <w:color w:val="auto"/>
          <w:sz w:val="24"/>
          <w:highlight w:val="none"/>
          <w:u w:val="single"/>
        </w:rPr>
        <w:t xml:space="preserve"> </w:t>
      </w:r>
      <w:r>
        <w:rPr>
          <w:rFonts w:ascii="宋体" w:hAnsi="宋体" w:cs="Arial"/>
          <w:bCs/>
          <w:color w:val="auto"/>
          <w:sz w:val="24"/>
          <w:highlight w:val="none"/>
          <w:u w:val="single"/>
        </w:rPr>
        <w:t xml:space="preserve">    </w:t>
      </w:r>
      <w:r>
        <w:rPr>
          <w:rFonts w:hint="eastAsia" w:ascii="宋体" w:hAnsi="宋体" w:cs="Arial"/>
          <w:bCs/>
          <w:color w:val="auto"/>
          <w:sz w:val="24"/>
          <w:highlight w:val="none"/>
        </w:rPr>
        <w:t xml:space="preserve"> 性别：</w:t>
      </w:r>
      <w:r>
        <w:rPr>
          <w:rFonts w:hint="eastAsia" w:ascii="宋体" w:hAnsi="宋体" w:cs="Arial"/>
          <w:bCs/>
          <w:color w:val="auto"/>
          <w:sz w:val="24"/>
          <w:highlight w:val="none"/>
          <w:u w:val="single"/>
        </w:rPr>
        <w:t xml:space="preserve"> </w:t>
      </w:r>
      <w:r>
        <w:rPr>
          <w:rFonts w:ascii="宋体" w:hAnsi="宋体" w:cs="Arial"/>
          <w:bCs/>
          <w:color w:val="auto"/>
          <w:sz w:val="24"/>
          <w:highlight w:val="none"/>
          <w:u w:val="single"/>
        </w:rPr>
        <w:t xml:space="preserve">    </w:t>
      </w:r>
      <w:r>
        <w:rPr>
          <w:rFonts w:hint="eastAsia" w:ascii="宋体" w:hAnsi="宋体" w:cs="Arial"/>
          <w:bCs/>
          <w:color w:val="auto"/>
          <w:sz w:val="24"/>
          <w:highlight w:val="none"/>
          <w:u w:val="single"/>
        </w:rPr>
        <w:t xml:space="preserve"> </w:t>
      </w:r>
      <w:r>
        <w:rPr>
          <w:rFonts w:ascii="宋体" w:hAnsi="宋体" w:cs="Arial"/>
          <w:bCs/>
          <w:color w:val="auto"/>
          <w:sz w:val="24"/>
          <w:highlight w:val="none"/>
        </w:rPr>
        <w:t xml:space="preserve"> </w:t>
      </w:r>
      <w:r>
        <w:rPr>
          <w:rFonts w:hint="eastAsia" w:ascii="宋体" w:hAnsi="宋体" w:cs="Arial"/>
          <w:bCs/>
          <w:color w:val="auto"/>
          <w:sz w:val="24"/>
          <w:highlight w:val="none"/>
        </w:rPr>
        <w:t>年龄：</w:t>
      </w:r>
      <w:r>
        <w:rPr>
          <w:rFonts w:hint="eastAsia" w:ascii="宋体" w:hAnsi="宋体" w:cs="Arial"/>
          <w:bCs/>
          <w:color w:val="auto"/>
          <w:sz w:val="24"/>
          <w:highlight w:val="none"/>
          <w:u w:val="single"/>
        </w:rPr>
        <w:t xml:space="preserve"> </w:t>
      </w:r>
      <w:r>
        <w:rPr>
          <w:rFonts w:ascii="宋体" w:hAnsi="宋体" w:cs="Arial"/>
          <w:bCs/>
          <w:color w:val="auto"/>
          <w:sz w:val="24"/>
          <w:highlight w:val="none"/>
          <w:u w:val="single"/>
        </w:rPr>
        <w:t xml:space="preserve">     </w:t>
      </w:r>
      <w:r>
        <w:rPr>
          <w:rFonts w:ascii="宋体" w:hAnsi="宋体" w:cs="Arial"/>
          <w:bCs/>
          <w:color w:val="auto"/>
          <w:sz w:val="24"/>
          <w:highlight w:val="none"/>
        </w:rPr>
        <w:t xml:space="preserve"> </w:t>
      </w:r>
      <w:r>
        <w:rPr>
          <w:rFonts w:hint="eastAsia" w:ascii="宋体" w:hAnsi="宋体" w:cs="Arial"/>
          <w:bCs/>
          <w:color w:val="auto"/>
          <w:sz w:val="24"/>
          <w:highlight w:val="none"/>
        </w:rPr>
        <w:t>职务：</w:t>
      </w:r>
      <w:r>
        <w:rPr>
          <w:rFonts w:hint="eastAsia" w:ascii="宋体" w:hAnsi="宋体" w:cs="Arial"/>
          <w:bCs/>
          <w:color w:val="auto"/>
          <w:sz w:val="24"/>
          <w:highlight w:val="none"/>
          <w:u w:val="single"/>
          <w:lang w:val="en-US" w:eastAsia="zh-CN"/>
        </w:rPr>
        <w:t xml:space="preserve">      </w:t>
      </w:r>
      <w:r>
        <w:rPr>
          <w:rFonts w:hint="eastAsia" w:ascii="宋体" w:hAnsi="宋体" w:cs="Arial"/>
          <w:bCs/>
          <w:color w:val="auto"/>
          <w:sz w:val="24"/>
          <w:highlight w:val="none"/>
          <w:lang w:val="en-US" w:eastAsia="zh-CN"/>
        </w:rPr>
        <w:t xml:space="preserve">     </w:t>
      </w:r>
    </w:p>
    <w:p>
      <w:pPr>
        <w:snapToGrid w:val="0"/>
        <w:ind w:firstLine="1080" w:firstLineChars="450"/>
        <w:rPr>
          <w:rFonts w:ascii="宋体" w:hAnsi="宋体" w:cs="Arial"/>
          <w:bCs/>
          <w:color w:val="auto"/>
          <w:sz w:val="24"/>
          <w:highlight w:val="none"/>
          <w:u w:val="single"/>
        </w:rPr>
      </w:pPr>
    </w:p>
    <w:p>
      <w:pPr>
        <w:snapToGrid w:val="0"/>
        <w:ind w:firstLine="480" w:firstLineChars="200"/>
        <w:rPr>
          <w:rFonts w:ascii="宋体" w:hAnsi="宋体" w:cs="Arial"/>
          <w:bCs/>
          <w:color w:val="auto"/>
          <w:sz w:val="24"/>
          <w:highlight w:val="none"/>
        </w:rPr>
      </w:pPr>
      <w:r>
        <w:rPr>
          <w:rFonts w:hint="eastAsia" w:ascii="宋体" w:hAnsi="宋体" w:cs="Arial"/>
          <w:bCs/>
          <w:color w:val="auto"/>
          <w:sz w:val="24"/>
          <w:highlight w:val="none"/>
        </w:rPr>
        <w:t>系</w:t>
      </w:r>
      <w:r>
        <w:rPr>
          <w:rFonts w:hint="eastAsia" w:ascii="宋体" w:hAnsi="宋体" w:cs="Arial"/>
          <w:bCs/>
          <w:color w:val="auto"/>
          <w:sz w:val="24"/>
          <w:highlight w:val="none"/>
          <w:u w:val="single"/>
        </w:rPr>
        <w:t xml:space="preserve">  </w:t>
      </w:r>
      <w:r>
        <w:rPr>
          <w:rFonts w:hint="eastAsia" w:ascii="宋体" w:hAnsi="宋体" w:cs="Arial"/>
          <w:bCs/>
          <w:color w:val="auto"/>
          <w:sz w:val="24"/>
          <w:highlight w:val="none"/>
          <w:u w:val="single"/>
          <w:lang w:val="en-US" w:eastAsia="zh-CN"/>
        </w:rPr>
        <w:t xml:space="preserve">   </w:t>
      </w:r>
      <w:r>
        <w:rPr>
          <w:rFonts w:hint="eastAsia" w:ascii="宋体" w:hAnsi="宋体" w:cs="Arial"/>
          <w:bCs/>
          <w:color w:val="auto"/>
          <w:sz w:val="24"/>
          <w:highlight w:val="none"/>
        </w:rPr>
        <w:t>的法定代表人。为</w:t>
      </w:r>
      <w:r>
        <w:rPr>
          <w:rFonts w:hint="eastAsia" w:ascii="宋体" w:hAnsi="宋体" w:cs="Arial"/>
          <w:bCs/>
          <w:color w:val="auto"/>
          <w:sz w:val="24"/>
          <w:highlight w:val="none"/>
          <w:u w:val="single"/>
        </w:rPr>
        <w:t xml:space="preserve">  </w:t>
      </w:r>
      <w:r>
        <w:rPr>
          <w:rFonts w:hint="eastAsia" w:ascii="宋体" w:hAnsi="宋体" w:cs="Arial"/>
          <w:bCs/>
          <w:color w:val="auto"/>
          <w:sz w:val="24"/>
          <w:highlight w:val="none"/>
          <w:u w:val="single"/>
          <w:lang w:val="en-US" w:eastAsia="zh-CN"/>
        </w:rPr>
        <w:t xml:space="preserve"> </w:t>
      </w:r>
      <w:r>
        <w:rPr>
          <w:rFonts w:hint="eastAsia" w:ascii="宋体" w:hAnsi="宋体" w:cs="Arial"/>
          <w:bCs/>
          <w:color w:val="auto"/>
          <w:sz w:val="24"/>
          <w:highlight w:val="none"/>
          <w:u w:val="single"/>
        </w:rPr>
        <w:t xml:space="preserve">  </w:t>
      </w:r>
      <w:r>
        <w:rPr>
          <w:rFonts w:hint="eastAsia" w:ascii="宋体" w:hAnsi="宋体" w:cs="Arial"/>
          <w:bCs/>
          <w:color w:val="auto"/>
          <w:sz w:val="24"/>
          <w:highlight w:val="none"/>
        </w:rPr>
        <w:t>项目签署投标文件、进行合同投标、签署合同和处理与之有关的一切事务。</w:t>
      </w:r>
    </w:p>
    <w:p>
      <w:pPr>
        <w:snapToGrid w:val="0"/>
        <w:rPr>
          <w:rFonts w:ascii="宋体" w:hAnsi="宋体" w:cs="Arial"/>
          <w:bCs/>
          <w:color w:val="auto"/>
          <w:sz w:val="24"/>
          <w:highlight w:val="none"/>
        </w:rPr>
      </w:pPr>
      <w:r>
        <w:rPr>
          <w:rFonts w:hint="eastAsia" w:ascii="宋体" w:hAnsi="宋体" w:cs="Arial"/>
          <w:bCs/>
          <w:color w:val="auto"/>
          <w:sz w:val="24"/>
          <w:highlight w:val="none"/>
        </w:rPr>
        <w:t>特此证明</w:t>
      </w:r>
    </w:p>
    <w:p>
      <w:pPr>
        <w:snapToGrid w:val="0"/>
        <w:rPr>
          <w:color w:val="auto"/>
          <w:sz w:val="24"/>
          <w:highlight w:val="none"/>
        </w:rPr>
      </w:pPr>
    </w:p>
    <w:p>
      <w:pPr>
        <w:ind w:firstLine="3600" w:firstLineChars="1500"/>
        <w:jc w:val="left"/>
        <w:rPr>
          <w:rFonts w:hint="default" w:eastAsia="宋体"/>
          <w:color w:val="auto"/>
          <w:sz w:val="24"/>
          <w:highlight w:val="none"/>
          <w:lang w:val="en-US" w:eastAsia="zh-CN"/>
        </w:rPr>
      </w:pPr>
      <w:r>
        <w:rPr>
          <w:rFonts w:hint="eastAsia"/>
          <w:color w:val="auto"/>
          <w:sz w:val="24"/>
          <w:highlight w:val="none"/>
        </w:rPr>
        <w:t>法定代表人（</w:t>
      </w:r>
      <w:r>
        <w:rPr>
          <w:rFonts w:hint="eastAsia"/>
          <w:b/>
          <w:color w:val="auto"/>
          <w:sz w:val="24"/>
          <w:highlight w:val="none"/>
        </w:rPr>
        <w:t>签名</w:t>
      </w:r>
      <w:r>
        <w:rPr>
          <w:rFonts w:hint="eastAsia"/>
          <w:color w:val="auto"/>
          <w:sz w:val="24"/>
          <w:highlight w:val="none"/>
        </w:rPr>
        <w:t>）：</w:t>
      </w:r>
      <w:r>
        <w:rPr>
          <w:rFonts w:hint="eastAsia"/>
          <w:color w:val="auto"/>
          <w:sz w:val="24"/>
          <w:highlight w:val="none"/>
          <w:u w:val="single"/>
          <w:lang w:val="en-US" w:eastAsia="zh-CN"/>
        </w:rPr>
        <w:t xml:space="preserve">                 </w:t>
      </w:r>
    </w:p>
    <w:p>
      <w:pPr>
        <w:jc w:val="left"/>
        <w:rPr>
          <w:color w:val="auto"/>
          <w:sz w:val="24"/>
          <w:highlight w:val="none"/>
        </w:rPr>
      </w:pPr>
    </w:p>
    <w:p>
      <w:pPr>
        <w:ind w:firstLine="3600" w:firstLineChars="1500"/>
        <w:jc w:val="left"/>
        <w:rPr>
          <w:rFonts w:hint="default" w:eastAsia="宋体"/>
          <w:color w:val="auto"/>
          <w:sz w:val="24"/>
          <w:highlight w:val="none"/>
          <w:lang w:val="en-US" w:eastAsia="zh-CN"/>
        </w:rPr>
      </w:pPr>
      <w:r>
        <w:rPr>
          <w:rFonts w:hint="eastAsia"/>
          <w:color w:val="auto"/>
          <w:sz w:val="24"/>
          <w:highlight w:val="none"/>
        </w:rPr>
        <w:t>投标单位（</w:t>
      </w:r>
      <w:r>
        <w:rPr>
          <w:rFonts w:hint="eastAsia"/>
          <w:b/>
          <w:color w:val="auto"/>
          <w:sz w:val="24"/>
          <w:highlight w:val="none"/>
        </w:rPr>
        <w:t>盖公章</w:t>
      </w:r>
      <w:r>
        <w:rPr>
          <w:rFonts w:hint="eastAsia"/>
          <w:color w:val="auto"/>
          <w:sz w:val="24"/>
          <w:highlight w:val="none"/>
        </w:rPr>
        <w:t>）：</w:t>
      </w:r>
      <w:r>
        <w:rPr>
          <w:rFonts w:hint="eastAsia"/>
          <w:color w:val="auto"/>
          <w:sz w:val="24"/>
          <w:highlight w:val="none"/>
          <w:u w:val="single"/>
          <w:lang w:val="en-US" w:eastAsia="zh-CN"/>
        </w:rPr>
        <w:t xml:space="preserve">                 </w:t>
      </w:r>
    </w:p>
    <w:p>
      <w:pPr>
        <w:jc w:val="left"/>
        <w:rPr>
          <w:color w:val="auto"/>
          <w:sz w:val="24"/>
          <w:highlight w:val="none"/>
        </w:rPr>
      </w:pPr>
    </w:p>
    <w:p>
      <w:pPr>
        <w:jc w:val="right"/>
        <w:rPr>
          <w:color w:val="auto"/>
          <w:sz w:val="24"/>
          <w:highlight w:val="none"/>
        </w:rPr>
      </w:pPr>
      <w:r>
        <w:rPr>
          <w:rFonts w:hint="eastAsia"/>
          <w:color w:val="auto"/>
          <w:sz w:val="24"/>
          <w:highlight w:val="none"/>
        </w:rPr>
        <w:t>日期：</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rPr>
        <w:t>日</w:t>
      </w:r>
    </w:p>
    <w:p>
      <w:pPr>
        <w:snapToGrid w:val="0"/>
        <w:ind w:firstLine="4080" w:firstLineChars="1700"/>
        <w:rPr>
          <w:rFonts w:ascii="宋体" w:hAnsi="宋体" w:cs="Arial"/>
          <w:bCs/>
          <w:color w:val="auto"/>
          <w:sz w:val="24"/>
          <w:highlight w:val="none"/>
        </w:rPr>
      </w:pPr>
    </w:p>
    <w:p>
      <w:pPr>
        <w:snapToGrid w:val="0"/>
        <w:ind w:firstLine="4080" w:firstLineChars="1700"/>
        <w:rPr>
          <w:rFonts w:ascii="宋体" w:hAnsi="宋体" w:cs="Arial"/>
          <w:bCs/>
          <w:color w:val="auto"/>
          <w:sz w:val="24"/>
          <w:highlight w:val="none"/>
        </w:rPr>
      </w:pPr>
    </w:p>
    <w:p>
      <w:pPr>
        <w:snapToGrid w:val="0"/>
        <w:ind w:firstLine="4080" w:firstLineChars="1700"/>
        <w:rPr>
          <w:rFonts w:ascii="宋体" w:hAnsi="宋体" w:cs="Arial"/>
          <w:bCs/>
          <w:color w:val="auto"/>
          <w:sz w:val="24"/>
          <w:highlight w:val="none"/>
        </w:rPr>
      </w:pPr>
    </w:p>
    <w:p>
      <w:pPr>
        <w:snapToGrid w:val="0"/>
        <w:ind w:firstLine="4080" w:firstLineChars="1700"/>
        <w:rPr>
          <w:rFonts w:ascii="宋体" w:hAnsi="宋体" w:cs="Arial"/>
          <w:bCs/>
          <w:color w:val="auto"/>
          <w:sz w:val="24"/>
          <w:highlight w:val="none"/>
        </w:rPr>
      </w:pPr>
    </w:p>
    <w:p>
      <w:pPr>
        <w:snapToGrid w:val="0"/>
        <w:ind w:firstLine="4080" w:firstLineChars="1700"/>
        <w:rPr>
          <w:rFonts w:ascii="宋体" w:hAnsi="宋体" w:cs="Arial"/>
          <w:bCs/>
          <w:color w:val="auto"/>
          <w:sz w:val="24"/>
          <w:highlight w:val="none"/>
        </w:rPr>
      </w:pPr>
    </w:p>
    <w:p>
      <w:pPr>
        <w:snapToGrid w:val="0"/>
        <w:ind w:left="735" w:hanging="735" w:hangingChars="350"/>
        <w:rPr>
          <w:rFonts w:ascii="宋体" w:hAnsi="宋体" w:cs="Arial"/>
          <w:bCs/>
          <w:color w:val="auto"/>
          <w:szCs w:val="21"/>
          <w:highlight w:val="none"/>
        </w:rPr>
      </w:pPr>
      <w:r>
        <w:rPr>
          <w:rFonts w:hint="eastAsia" w:ascii="宋体" w:hAnsi="宋体" w:cs="Arial"/>
          <w:bCs/>
          <w:color w:val="auto"/>
          <w:szCs w:val="21"/>
          <w:highlight w:val="none"/>
        </w:rPr>
        <w:t>说明：</w:t>
      </w:r>
    </w:p>
    <w:p>
      <w:pPr>
        <w:snapToGrid w:val="0"/>
        <w:ind w:firstLine="420" w:firstLineChars="200"/>
        <w:rPr>
          <w:rFonts w:ascii="宋体" w:hAnsi="宋体" w:cs="Arial"/>
          <w:bCs/>
          <w:color w:val="auto"/>
          <w:szCs w:val="21"/>
          <w:highlight w:val="none"/>
        </w:rPr>
      </w:pPr>
      <w:r>
        <w:rPr>
          <w:rFonts w:hint="eastAsia" w:ascii="宋体" w:hAnsi="宋体" w:cs="Arial"/>
          <w:bCs/>
          <w:color w:val="auto"/>
          <w:szCs w:val="21"/>
          <w:highlight w:val="none"/>
        </w:rPr>
        <w:t>1. 本证明书要求投标人提供</w:t>
      </w:r>
      <w:r>
        <w:rPr>
          <w:rFonts w:hint="eastAsia" w:ascii="宋体" w:hAnsi="宋体" w:cs="Arial"/>
          <w:b/>
          <w:bCs/>
          <w:color w:val="auto"/>
          <w:szCs w:val="21"/>
          <w:highlight w:val="none"/>
        </w:rPr>
        <w:t>加盖公章</w:t>
      </w:r>
      <w:r>
        <w:rPr>
          <w:rFonts w:hint="eastAsia" w:ascii="宋体" w:hAnsi="宋体" w:cs="Arial"/>
          <w:bCs/>
          <w:color w:val="auto"/>
          <w:szCs w:val="21"/>
          <w:highlight w:val="none"/>
        </w:rPr>
        <w:t>后的原件方为有效；</w:t>
      </w:r>
    </w:p>
    <w:p>
      <w:pPr>
        <w:snapToGrid w:val="0"/>
        <w:ind w:firstLine="420" w:firstLineChars="200"/>
        <w:rPr>
          <w:rFonts w:ascii="宋体" w:hAnsi="宋体" w:cs="Arial"/>
          <w:bCs/>
          <w:color w:val="auto"/>
          <w:szCs w:val="21"/>
          <w:highlight w:val="none"/>
        </w:rPr>
      </w:pPr>
      <w:r>
        <w:rPr>
          <w:rFonts w:hint="eastAsia" w:ascii="宋体" w:hAnsi="宋体" w:cs="Arial"/>
          <w:bCs/>
          <w:color w:val="auto"/>
          <w:szCs w:val="21"/>
          <w:highlight w:val="none"/>
        </w:rPr>
        <w:t>2. 须提供法定代表人的身份证复印件（附后）。</w:t>
      </w:r>
    </w:p>
    <w:p>
      <w:pPr>
        <w:widowControl/>
        <w:spacing w:line="360" w:lineRule="auto"/>
        <w:jc w:val="left"/>
        <w:rPr>
          <w:b/>
          <w:bCs/>
          <w:color w:val="auto"/>
          <w:sz w:val="24"/>
          <w:highlight w:val="none"/>
        </w:rPr>
      </w:pPr>
      <w:r>
        <w:rPr>
          <w:color w:val="auto"/>
          <w:highlight w:val="none"/>
        </w:rPr>
        <w:br w:type="page"/>
      </w:r>
    </w:p>
    <w:p>
      <w:pPr>
        <w:widowControl/>
        <w:spacing w:line="360" w:lineRule="auto"/>
        <w:jc w:val="left"/>
        <w:outlineLvl w:val="2"/>
        <w:rPr>
          <w:b/>
          <w:bCs/>
          <w:color w:val="auto"/>
          <w:sz w:val="24"/>
          <w:highlight w:val="none"/>
        </w:rPr>
      </w:pPr>
      <w:bookmarkStart w:id="406" w:name="_Toc12596"/>
      <w:r>
        <w:rPr>
          <w:rFonts w:hint="eastAsia"/>
          <w:b/>
          <w:bCs/>
          <w:color w:val="auto"/>
          <w:sz w:val="24"/>
          <w:highlight w:val="none"/>
          <w:lang w:val="en-US" w:eastAsia="zh-CN"/>
        </w:rPr>
        <w:t>3</w:t>
      </w:r>
      <w:r>
        <w:rPr>
          <w:rFonts w:hint="eastAsia"/>
          <w:b/>
          <w:bCs/>
          <w:color w:val="auto"/>
          <w:sz w:val="24"/>
          <w:highlight w:val="none"/>
        </w:rPr>
        <w:t>)</w:t>
      </w:r>
      <w:r>
        <w:rPr>
          <w:rFonts w:hint="eastAsia"/>
          <w:b/>
          <w:bCs/>
          <w:color w:val="auto"/>
          <w:sz w:val="24"/>
          <w:highlight w:val="none"/>
          <w:lang w:val="en-US" w:eastAsia="zh-CN"/>
        </w:rPr>
        <w:t xml:space="preserve"> </w:t>
      </w:r>
      <w:r>
        <w:rPr>
          <w:rFonts w:hint="eastAsia"/>
          <w:b/>
          <w:bCs/>
          <w:color w:val="auto"/>
          <w:sz w:val="24"/>
          <w:highlight w:val="none"/>
        </w:rPr>
        <w:t>法人授权委托证明书原件及身份证复印件（加盖投标人公章）；</w:t>
      </w:r>
      <w:bookmarkEnd w:id="406"/>
    </w:p>
    <w:p>
      <w:pPr>
        <w:spacing w:before="120" w:after="120"/>
        <w:jc w:val="center"/>
        <w:rPr>
          <w:color w:val="auto"/>
          <w:highlight w:val="none"/>
        </w:rPr>
      </w:pPr>
    </w:p>
    <w:p>
      <w:pPr>
        <w:spacing w:before="120" w:after="120"/>
        <w:jc w:val="center"/>
        <w:rPr>
          <w:rFonts w:ascii="宋体" w:hAnsi="宋体" w:cs="Arial"/>
          <w:b/>
          <w:color w:val="auto"/>
          <w:sz w:val="24"/>
          <w:highlight w:val="none"/>
        </w:rPr>
      </w:pPr>
      <w:r>
        <w:rPr>
          <w:rFonts w:hint="eastAsia" w:ascii="宋体" w:hAnsi="宋体" w:eastAsia="黑体" w:cs="Arial"/>
          <w:b/>
          <w:bCs/>
          <w:color w:val="auto"/>
          <w:sz w:val="24"/>
          <w:szCs w:val="28"/>
          <w:highlight w:val="none"/>
          <w:u w:val="single"/>
        </w:rPr>
        <w:t>法定代表人授权书</w:t>
      </w:r>
    </w:p>
    <w:p>
      <w:pPr>
        <w:rPr>
          <w:rFonts w:ascii="宋体" w:cs="Arial"/>
          <w:bCs/>
          <w:color w:val="auto"/>
          <w:sz w:val="24"/>
          <w:highlight w:val="none"/>
        </w:rPr>
      </w:pPr>
    </w:p>
    <w:p>
      <w:pPr>
        <w:rPr>
          <w:rFonts w:hint="default" w:ascii="宋体" w:hAnsi="宋体" w:eastAsia="宋体" w:cs="Arial"/>
          <w:bCs/>
          <w:color w:val="auto"/>
          <w:sz w:val="24"/>
          <w:highlight w:val="none"/>
          <w:lang w:val="en-US" w:eastAsia="zh-CN"/>
        </w:rPr>
      </w:pPr>
      <w:r>
        <w:rPr>
          <w:rFonts w:hint="eastAsia" w:ascii="宋体" w:hAnsi="宋体" w:cs="Arial"/>
          <w:bCs/>
          <w:color w:val="auto"/>
          <w:sz w:val="24"/>
          <w:highlight w:val="none"/>
        </w:rPr>
        <w:t>致（采购单位）：</w:t>
      </w:r>
      <w:r>
        <w:rPr>
          <w:rFonts w:hint="eastAsia" w:ascii="宋体" w:hAnsi="宋体" w:cs="Arial"/>
          <w:bCs/>
          <w:color w:val="auto"/>
          <w:sz w:val="24"/>
          <w:highlight w:val="none"/>
          <w:u w:val="single"/>
          <w:lang w:val="en-US" w:eastAsia="zh-CN"/>
        </w:rPr>
        <w:t xml:space="preserve">             </w:t>
      </w:r>
    </w:p>
    <w:p>
      <w:pPr>
        <w:rPr>
          <w:rFonts w:ascii="宋体" w:hAnsi="宋体" w:cs="Arial"/>
          <w:bCs/>
          <w:color w:val="auto"/>
          <w:sz w:val="24"/>
          <w:highlight w:val="none"/>
        </w:rPr>
      </w:pPr>
    </w:p>
    <w:p>
      <w:pPr>
        <w:ind w:firstLine="480" w:firstLineChars="200"/>
        <w:rPr>
          <w:rFonts w:ascii="宋体" w:hAnsi="宋体" w:cs="Arial"/>
          <w:bCs/>
          <w:color w:val="auto"/>
          <w:sz w:val="24"/>
          <w:highlight w:val="none"/>
        </w:rPr>
      </w:pPr>
      <w:r>
        <w:rPr>
          <w:rFonts w:ascii="宋体" w:hAnsi="宋体" w:cs="Arial"/>
          <w:bCs/>
          <w:color w:val="auto"/>
          <w:sz w:val="24"/>
          <w:highlight w:val="none"/>
          <w:u w:val="single"/>
        </w:rPr>
        <w:t xml:space="preserve">          （投标人全称）     </w:t>
      </w:r>
      <w:r>
        <w:rPr>
          <w:rFonts w:hint="eastAsia" w:ascii="宋体" w:hAnsi="宋体" w:cs="Arial"/>
          <w:bCs/>
          <w:color w:val="auto"/>
          <w:sz w:val="24"/>
          <w:highlight w:val="none"/>
          <w:u w:val="single"/>
        </w:rPr>
        <w:t xml:space="preserve"> </w:t>
      </w:r>
      <w:r>
        <w:rPr>
          <w:rFonts w:hint="eastAsia" w:ascii="宋体" w:hAnsi="宋体" w:cs="Arial"/>
          <w:bCs/>
          <w:color w:val="auto"/>
          <w:sz w:val="24"/>
          <w:highlight w:val="none"/>
        </w:rPr>
        <w:t>法定代表人</w:t>
      </w:r>
      <w:r>
        <w:rPr>
          <w:rFonts w:ascii="宋体" w:hAnsi="宋体" w:cs="Arial"/>
          <w:bCs/>
          <w:color w:val="auto"/>
          <w:sz w:val="24"/>
          <w:highlight w:val="none"/>
          <w:u w:val="single"/>
        </w:rPr>
        <w:t xml:space="preserve">  （姓名、职务）            </w:t>
      </w:r>
      <w:r>
        <w:rPr>
          <w:rFonts w:ascii="宋体" w:hAnsi="宋体" w:cs="Arial"/>
          <w:bCs/>
          <w:color w:val="auto"/>
          <w:sz w:val="24"/>
          <w:highlight w:val="none"/>
        </w:rPr>
        <w:t xml:space="preserve">  </w:t>
      </w:r>
      <w:r>
        <w:rPr>
          <w:rFonts w:hint="eastAsia" w:ascii="宋体" w:hAnsi="宋体" w:cs="Arial"/>
          <w:bCs/>
          <w:color w:val="auto"/>
          <w:sz w:val="24"/>
          <w:highlight w:val="none"/>
        </w:rPr>
        <w:t>授权</w:t>
      </w:r>
      <w:r>
        <w:rPr>
          <w:rFonts w:hint="eastAsia" w:ascii="宋体" w:hAnsi="宋体" w:cs="Arial"/>
          <w:bCs/>
          <w:color w:val="auto"/>
          <w:sz w:val="24"/>
          <w:highlight w:val="none"/>
          <w:u w:val="single"/>
        </w:rPr>
        <w:t xml:space="preserve"> </w:t>
      </w:r>
      <w:r>
        <w:rPr>
          <w:rFonts w:ascii="宋体" w:hAnsi="宋体" w:cs="Arial"/>
          <w:bCs/>
          <w:color w:val="auto"/>
          <w:sz w:val="24"/>
          <w:highlight w:val="none"/>
          <w:u w:val="single"/>
        </w:rPr>
        <w:t xml:space="preserve">  （被授权代表姓名、职务）            </w:t>
      </w:r>
      <w:r>
        <w:rPr>
          <w:rFonts w:ascii="宋体" w:hAnsi="宋体" w:cs="Arial"/>
          <w:bCs/>
          <w:color w:val="auto"/>
          <w:sz w:val="24"/>
          <w:highlight w:val="none"/>
        </w:rPr>
        <w:t xml:space="preserve">  </w:t>
      </w:r>
      <w:r>
        <w:rPr>
          <w:rFonts w:hint="eastAsia" w:ascii="宋体" w:hAnsi="宋体" w:cs="Arial"/>
          <w:bCs/>
          <w:color w:val="auto"/>
          <w:sz w:val="24"/>
          <w:highlight w:val="none"/>
        </w:rPr>
        <w:t>为本公司合法代理人，参加贵单位组织的</w:t>
      </w:r>
      <w:r>
        <w:rPr>
          <w:rFonts w:ascii="宋体" w:hAnsi="宋体" w:cs="Arial"/>
          <w:bCs/>
          <w:color w:val="auto"/>
          <w:sz w:val="24"/>
          <w:highlight w:val="none"/>
          <w:u w:val="single"/>
        </w:rPr>
        <w:t xml:space="preserve">   (项目名称)（项目编号）                      </w:t>
      </w:r>
      <w:r>
        <w:rPr>
          <w:rFonts w:hint="eastAsia" w:ascii="宋体" w:hAnsi="宋体" w:cs="Arial"/>
          <w:bCs/>
          <w:color w:val="auto"/>
          <w:sz w:val="24"/>
          <w:highlight w:val="none"/>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pPr>
        <w:rPr>
          <w:rFonts w:ascii="宋体" w:hAnsi="宋体" w:cs="Arial"/>
          <w:bCs/>
          <w:color w:val="auto"/>
          <w:sz w:val="24"/>
          <w:highlight w:val="none"/>
        </w:rPr>
      </w:pPr>
      <w:r>
        <w:rPr>
          <w:rFonts w:hint="eastAsia" w:ascii="宋体" w:hAnsi="宋体" w:cs="Arial"/>
          <w:bCs/>
          <w:color w:val="auto"/>
          <w:sz w:val="24"/>
          <w:highlight w:val="none"/>
        </w:rPr>
        <w:t xml:space="preserve">     本授权书于</w:t>
      </w:r>
      <w:r>
        <w:rPr>
          <w:rFonts w:hint="eastAsia" w:ascii="宋体" w:hAnsi="宋体" w:cs="Arial"/>
          <w:bCs/>
          <w:color w:val="auto"/>
          <w:sz w:val="24"/>
          <w:highlight w:val="none"/>
          <w:u w:val="single"/>
          <w:lang w:val="en-US" w:eastAsia="zh-CN"/>
        </w:rPr>
        <w:t xml:space="preserve">   </w:t>
      </w:r>
      <w:r>
        <w:rPr>
          <w:rFonts w:hint="eastAsia" w:ascii="宋体" w:hAnsi="宋体" w:cs="Arial"/>
          <w:bCs/>
          <w:color w:val="auto"/>
          <w:sz w:val="24"/>
          <w:highlight w:val="none"/>
          <w:u w:val="single"/>
        </w:rPr>
        <w:t>年</w:t>
      </w:r>
      <w:r>
        <w:rPr>
          <w:rFonts w:hint="eastAsia" w:ascii="宋体" w:hAnsi="宋体" w:cs="Arial"/>
          <w:bCs/>
          <w:color w:val="auto"/>
          <w:sz w:val="24"/>
          <w:highlight w:val="none"/>
          <w:u w:val="single"/>
          <w:lang w:val="en-US" w:eastAsia="zh-CN"/>
        </w:rPr>
        <w:t xml:space="preserve">   </w:t>
      </w:r>
      <w:r>
        <w:rPr>
          <w:rFonts w:hint="eastAsia" w:ascii="宋体" w:hAnsi="宋体" w:cs="Arial"/>
          <w:bCs/>
          <w:color w:val="auto"/>
          <w:sz w:val="24"/>
          <w:highlight w:val="none"/>
          <w:u w:val="single"/>
        </w:rPr>
        <w:t>月</w:t>
      </w:r>
      <w:r>
        <w:rPr>
          <w:rFonts w:hint="eastAsia" w:ascii="宋体" w:hAnsi="宋体" w:cs="Arial"/>
          <w:bCs/>
          <w:color w:val="auto"/>
          <w:sz w:val="24"/>
          <w:highlight w:val="none"/>
          <w:u w:val="single"/>
          <w:lang w:val="en-US" w:eastAsia="zh-CN"/>
        </w:rPr>
        <w:t xml:space="preserve">    </w:t>
      </w:r>
      <w:r>
        <w:rPr>
          <w:rFonts w:hint="eastAsia" w:ascii="宋体" w:hAnsi="宋体" w:cs="Arial"/>
          <w:bCs/>
          <w:color w:val="auto"/>
          <w:sz w:val="24"/>
          <w:highlight w:val="none"/>
          <w:u w:val="single"/>
        </w:rPr>
        <w:t>日</w:t>
      </w:r>
      <w:r>
        <w:rPr>
          <w:rFonts w:hint="eastAsia" w:ascii="宋体" w:hAnsi="宋体" w:cs="Arial"/>
          <w:bCs/>
          <w:color w:val="auto"/>
          <w:sz w:val="24"/>
          <w:highlight w:val="none"/>
        </w:rPr>
        <w:t>签字生效,特此声明。</w:t>
      </w:r>
    </w:p>
    <w:p>
      <w:pPr>
        <w:rPr>
          <w:rFonts w:ascii="宋体" w:hAnsi="宋体" w:cs="Arial"/>
          <w:bCs/>
          <w:color w:val="auto"/>
          <w:sz w:val="24"/>
          <w:highlight w:val="none"/>
        </w:rPr>
      </w:pPr>
    </w:p>
    <w:p>
      <w:pPr>
        <w:ind w:firstLine="120" w:firstLineChars="50"/>
        <w:rPr>
          <w:rFonts w:hint="default" w:ascii="宋体" w:hAnsi="宋体" w:eastAsia="宋体" w:cs="Arial"/>
          <w:bCs/>
          <w:color w:val="auto"/>
          <w:sz w:val="24"/>
          <w:highlight w:val="none"/>
          <w:lang w:val="en-US" w:eastAsia="zh-CN"/>
        </w:rPr>
      </w:pPr>
      <w:r>
        <w:rPr>
          <w:rFonts w:hint="eastAsia" w:ascii="宋体" w:hAnsi="宋体" w:cs="Arial"/>
          <w:bCs/>
          <w:color w:val="auto"/>
          <w:sz w:val="24"/>
          <w:highlight w:val="none"/>
        </w:rPr>
        <w:t>被授权人：</w:t>
      </w:r>
      <w:r>
        <w:rPr>
          <w:rFonts w:hint="eastAsia" w:ascii="宋体" w:hAnsi="宋体" w:cs="Arial"/>
          <w:bCs/>
          <w:color w:val="auto"/>
          <w:sz w:val="24"/>
          <w:highlight w:val="none"/>
          <w:u w:val="single"/>
        </w:rPr>
        <w:t xml:space="preserve">   </w:t>
      </w:r>
      <w:r>
        <w:rPr>
          <w:rFonts w:hint="eastAsia" w:ascii="宋体" w:hAnsi="宋体" w:cs="Arial"/>
          <w:bCs/>
          <w:color w:val="auto"/>
          <w:sz w:val="24"/>
          <w:highlight w:val="none"/>
          <w:u w:val="single"/>
          <w:lang w:val="en-US" w:eastAsia="zh-CN"/>
        </w:rPr>
        <w:t xml:space="preserve">            </w:t>
      </w:r>
      <w:r>
        <w:rPr>
          <w:rFonts w:hint="eastAsia" w:ascii="宋体" w:hAnsi="宋体" w:cs="Arial"/>
          <w:bCs/>
          <w:color w:val="auto"/>
          <w:sz w:val="24"/>
          <w:highlight w:val="none"/>
          <w:lang w:val="en-US" w:eastAsia="zh-CN"/>
        </w:rPr>
        <w:t xml:space="preserve"> </w:t>
      </w:r>
      <w:r>
        <w:rPr>
          <w:rFonts w:hint="eastAsia" w:ascii="宋体" w:hAnsi="宋体" w:cs="Arial"/>
          <w:bCs/>
          <w:color w:val="auto"/>
          <w:sz w:val="24"/>
          <w:highlight w:val="none"/>
        </w:rPr>
        <w:t>职务：</w:t>
      </w:r>
      <w:r>
        <w:rPr>
          <w:rFonts w:hint="eastAsia" w:ascii="宋体" w:hAnsi="宋体" w:cs="Arial"/>
          <w:bCs/>
          <w:color w:val="auto"/>
          <w:sz w:val="24"/>
          <w:highlight w:val="none"/>
          <w:u w:val="single"/>
          <w:lang w:val="en-US" w:eastAsia="zh-CN"/>
        </w:rPr>
        <w:t xml:space="preserve">           </w:t>
      </w:r>
    </w:p>
    <w:p>
      <w:pPr>
        <w:ind w:firstLine="120" w:firstLineChars="50"/>
        <w:rPr>
          <w:rFonts w:hint="default" w:ascii="宋体" w:hAnsi="宋体" w:eastAsia="宋体" w:cs="Arial"/>
          <w:bCs/>
          <w:color w:val="auto"/>
          <w:sz w:val="24"/>
          <w:highlight w:val="none"/>
          <w:lang w:val="en-US" w:eastAsia="zh-CN"/>
        </w:rPr>
      </w:pPr>
      <w:r>
        <w:rPr>
          <w:rFonts w:hint="eastAsia" w:ascii="宋体" w:hAnsi="宋体" w:cs="Arial"/>
          <w:bCs/>
          <w:color w:val="auto"/>
          <w:sz w:val="24"/>
          <w:highlight w:val="none"/>
        </w:rPr>
        <w:t>联系电话：</w:t>
      </w:r>
      <w:r>
        <w:rPr>
          <w:rFonts w:hint="eastAsia" w:ascii="宋体" w:hAnsi="宋体" w:cs="Arial"/>
          <w:bCs/>
          <w:color w:val="auto"/>
          <w:sz w:val="24"/>
          <w:highlight w:val="none"/>
          <w:u w:val="single"/>
        </w:rPr>
        <w:t xml:space="preserve">   </w:t>
      </w:r>
      <w:r>
        <w:rPr>
          <w:rFonts w:hint="eastAsia" w:ascii="宋体" w:hAnsi="宋体" w:cs="Arial"/>
          <w:bCs/>
          <w:color w:val="auto"/>
          <w:sz w:val="24"/>
          <w:highlight w:val="none"/>
          <w:u w:val="single"/>
          <w:lang w:val="en-US" w:eastAsia="zh-CN"/>
        </w:rPr>
        <w:t xml:space="preserve">            </w:t>
      </w:r>
      <w:r>
        <w:rPr>
          <w:rFonts w:hint="eastAsia" w:ascii="宋体" w:hAnsi="宋体" w:cs="Arial"/>
          <w:bCs/>
          <w:color w:val="auto"/>
          <w:sz w:val="24"/>
          <w:highlight w:val="none"/>
          <w:lang w:val="en-US" w:eastAsia="zh-CN"/>
        </w:rPr>
        <w:t xml:space="preserve"> </w:t>
      </w:r>
      <w:r>
        <w:rPr>
          <w:rFonts w:hint="eastAsia" w:ascii="宋体" w:hAnsi="宋体" w:cs="Arial"/>
          <w:bCs/>
          <w:color w:val="auto"/>
          <w:sz w:val="24"/>
          <w:highlight w:val="none"/>
        </w:rPr>
        <w:t>手机：</w:t>
      </w:r>
      <w:r>
        <w:rPr>
          <w:rFonts w:hint="eastAsia" w:ascii="宋体" w:hAnsi="宋体" w:cs="Arial"/>
          <w:bCs/>
          <w:color w:val="auto"/>
          <w:sz w:val="24"/>
          <w:highlight w:val="none"/>
          <w:u w:val="single"/>
          <w:lang w:val="en-US" w:eastAsia="zh-CN"/>
        </w:rPr>
        <w:t xml:space="preserve">           </w:t>
      </w:r>
    </w:p>
    <w:p>
      <w:pPr>
        <w:ind w:firstLine="120" w:firstLineChars="50"/>
        <w:rPr>
          <w:rFonts w:hint="default" w:ascii="宋体" w:hAnsi="宋体" w:eastAsia="宋体" w:cs="Arial"/>
          <w:bCs/>
          <w:color w:val="auto"/>
          <w:sz w:val="24"/>
          <w:highlight w:val="none"/>
          <w:u w:val="single"/>
          <w:lang w:val="en-US" w:eastAsia="zh-CN"/>
        </w:rPr>
      </w:pPr>
      <w:r>
        <w:rPr>
          <w:rFonts w:hint="eastAsia" w:ascii="宋体" w:hAnsi="宋体" w:cs="Arial"/>
          <w:bCs/>
          <w:color w:val="auto"/>
          <w:sz w:val="24"/>
          <w:highlight w:val="none"/>
        </w:rPr>
        <w:t>身份证号码：</w:t>
      </w:r>
      <w:r>
        <w:rPr>
          <w:rFonts w:hint="eastAsia" w:ascii="宋体" w:hAnsi="宋体" w:cs="Arial"/>
          <w:bCs/>
          <w:color w:val="auto"/>
          <w:sz w:val="24"/>
          <w:highlight w:val="none"/>
          <w:u w:val="single"/>
          <w:lang w:val="en-US" w:eastAsia="zh-CN"/>
        </w:rPr>
        <w:t xml:space="preserve">             </w:t>
      </w:r>
    </w:p>
    <w:p>
      <w:pPr>
        <w:ind w:firstLine="120" w:firstLineChars="50"/>
        <w:rPr>
          <w:rFonts w:hint="default" w:ascii="宋体" w:hAnsi="宋体" w:eastAsia="宋体" w:cs="Arial"/>
          <w:bCs/>
          <w:color w:val="auto"/>
          <w:sz w:val="24"/>
          <w:highlight w:val="none"/>
          <w:lang w:val="en-US" w:eastAsia="zh-CN"/>
        </w:rPr>
      </w:pPr>
      <w:r>
        <w:rPr>
          <w:rFonts w:hint="eastAsia" w:ascii="宋体" w:hAnsi="宋体" w:cs="Arial"/>
          <w:bCs/>
          <w:color w:val="auto"/>
          <w:sz w:val="24"/>
          <w:highlight w:val="none"/>
        </w:rPr>
        <w:t>投标单位（盖公章）：</w:t>
      </w:r>
      <w:r>
        <w:rPr>
          <w:rFonts w:hint="eastAsia" w:ascii="宋体" w:hAnsi="宋体" w:cs="Arial"/>
          <w:bCs/>
          <w:color w:val="auto"/>
          <w:sz w:val="24"/>
          <w:highlight w:val="none"/>
          <w:u w:val="single"/>
          <w:lang w:val="en-US" w:eastAsia="zh-CN"/>
        </w:rPr>
        <w:t xml:space="preserve">             </w:t>
      </w:r>
    </w:p>
    <w:p>
      <w:pPr>
        <w:ind w:firstLine="120" w:firstLineChars="50"/>
        <w:rPr>
          <w:rFonts w:hint="default" w:ascii="宋体" w:hAnsi="宋体" w:eastAsia="宋体" w:cs="Arial"/>
          <w:bCs/>
          <w:color w:val="auto"/>
          <w:sz w:val="24"/>
          <w:highlight w:val="none"/>
          <w:lang w:val="en-US" w:eastAsia="zh-CN"/>
        </w:rPr>
      </w:pPr>
      <w:r>
        <w:rPr>
          <w:rFonts w:hint="eastAsia" w:ascii="宋体" w:hAnsi="宋体" w:cs="Arial"/>
          <w:bCs/>
          <w:color w:val="auto"/>
          <w:sz w:val="24"/>
          <w:highlight w:val="none"/>
        </w:rPr>
        <w:t>法定代表人（签名）：</w:t>
      </w:r>
      <w:r>
        <w:rPr>
          <w:rFonts w:hint="eastAsia" w:ascii="宋体" w:hAnsi="宋体" w:cs="Arial"/>
          <w:bCs/>
          <w:color w:val="auto"/>
          <w:sz w:val="24"/>
          <w:highlight w:val="none"/>
          <w:u w:val="single"/>
          <w:lang w:val="en-US" w:eastAsia="zh-CN"/>
        </w:rPr>
        <w:t xml:space="preserve">             </w:t>
      </w:r>
    </w:p>
    <w:p>
      <w:pPr>
        <w:ind w:firstLine="120" w:firstLineChars="50"/>
        <w:rPr>
          <w:rFonts w:hint="default" w:ascii="宋体" w:hAnsi="宋体" w:eastAsia="宋体" w:cs="Arial"/>
          <w:bCs/>
          <w:color w:val="auto"/>
          <w:sz w:val="24"/>
          <w:highlight w:val="none"/>
          <w:lang w:val="en-US" w:eastAsia="zh-CN"/>
        </w:rPr>
      </w:pPr>
      <w:r>
        <w:rPr>
          <w:rFonts w:hint="eastAsia" w:ascii="宋体" w:hAnsi="宋体" w:cs="Arial"/>
          <w:bCs/>
          <w:color w:val="auto"/>
          <w:sz w:val="24"/>
          <w:highlight w:val="none"/>
        </w:rPr>
        <w:t>被授权人（签名）：</w:t>
      </w:r>
      <w:r>
        <w:rPr>
          <w:rFonts w:hint="eastAsia" w:ascii="宋体" w:hAnsi="宋体" w:cs="Arial"/>
          <w:bCs/>
          <w:color w:val="auto"/>
          <w:sz w:val="24"/>
          <w:highlight w:val="none"/>
          <w:u w:val="single"/>
          <w:lang w:val="en-US" w:eastAsia="zh-CN"/>
        </w:rPr>
        <w:t xml:space="preserve">               </w:t>
      </w:r>
    </w:p>
    <w:p>
      <w:pPr>
        <w:rPr>
          <w:rFonts w:ascii="宋体" w:hAnsi="宋体" w:cs="Arial"/>
          <w:bCs/>
          <w:color w:val="auto"/>
          <w:sz w:val="24"/>
          <w:highlight w:val="none"/>
        </w:rPr>
      </w:pPr>
    </w:p>
    <w:p>
      <w:pPr>
        <w:rPr>
          <w:rFonts w:ascii="宋体" w:hAnsi="宋体" w:cs="Arial"/>
          <w:bCs/>
          <w:color w:val="auto"/>
          <w:sz w:val="24"/>
          <w:highlight w:val="none"/>
        </w:rPr>
      </w:pPr>
    </w:p>
    <w:p>
      <w:pPr>
        <w:rPr>
          <w:rFonts w:ascii="宋体" w:hAnsi="宋体" w:cs="Arial"/>
          <w:bCs/>
          <w:color w:val="auto"/>
          <w:sz w:val="24"/>
          <w:highlight w:val="none"/>
        </w:rPr>
      </w:pPr>
    </w:p>
    <w:p>
      <w:pPr>
        <w:rPr>
          <w:rFonts w:ascii="宋体" w:hAnsi="宋体" w:cs="Arial"/>
          <w:bCs/>
          <w:color w:val="auto"/>
          <w:sz w:val="24"/>
          <w:highlight w:val="none"/>
        </w:rPr>
      </w:pPr>
    </w:p>
    <w:p>
      <w:pPr>
        <w:rPr>
          <w:rFonts w:ascii="宋体" w:hAnsi="宋体" w:cs="Arial"/>
          <w:bCs/>
          <w:color w:val="auto"/>
          <w:sz w:val="24"/>
          <w:highlight w:val="none"/>
        </w:rPr>
      </w:pPr>
    </w:p>
    <w:p>
      <w:pPr>
        <w:rPr>
          <w:rFonts w:ascii="宋体" w:hAnsi="宋体" w:cs="Arial"/>
          <w:bCs/>
          <w:color w:val="auto"/>
          <w:sz w:val="24"/>
          <w:highlight w:val="none"/>
        </w:rPr>
      </w:pPr>
    </w:p>
    <w:p>
      <w:pPr>
        <w:rPr>
          <w:rFonts w:ascii="宋体" w:hAnsi="宋体" w:cs="Arial"/>
          <w:bCs/>
          <w:color w:val="auto"/>
          <w:szCs w:val="21"/>
          <w:highlight w:val="none"/>
        </w:rPr>
      </w:pPr>
      <w:r>
        <w:rPr>
          <w:rFonts w:hint="eastAsia" w:ascii="宋体" w:hAnsi="宋体" w:cs="Arial"/>
          <w:bCs/>
          <w:color w:val="auto"/>
          <w:szCs w:val="21"/>
          <w:highlight w:val="none"/>
        </w:rPr>
        <w:t>说明：</w:t>
      </w:r>
    </w:p>
    <w:p>
      <w:pPr>
        <w:ind w:firstLine="420" w:firstLineChars="200"/>
        <w:rPr>
          <w:rFonts w:ascii="宋体" w:hAnsi="宋体" w:cs="Arial"/>
          <w:bCs/>
          <w:color w:val="auto"/>
          <w:szCs w:val="21"/>
          <w:highlight w:val="none"/>
        </w:rPr>
      </w:pPr>
      <w:r>
        <w:rPr>
          <w:rFonts w:hint="eastAsia" w:ascii="宋体" w:hAnsi="宋体" w:cs="Arial"/>
          <w:bCs/>
          <w:color w:val="auto"/>
          <w:szCs w:val="21"/>
          <w:highlight w:val="none"/>
        </w:rPr>
        <w:t>1.本授权委托书要求投标人提供有</w:t>
      </w:r>
      <w:r>
        <w:rPr>
          <w:rFonts w:hint="eastAsia" w:ascii="宋体" w:hAnsi="宋体" w:cs="Arial"/>
          <w:b/>
          <w:bCs/>
          <w:color w:val="auto"/>
          <w:szCs w:val="21"/>
          <w:highlight w:val="none"/>
        </w:rPr>
        <w:t>被授权人签字、法定代表人的签字（或盖私章）和加盖公章</w:t>
      </w:r>
      <w:r>
        <w:rPr>
          <w:rFonts w:hint="eastAsia" w:ascii="宋体" w:hAnsi="宋体" w:cs="Arial"/>
          <w:bCs/>
          <w:color w:val="auto"/>
          <w:szCs w:val="21"/>
          <w:highlight w:val="none"/>
        </w:rPr>
        <w:t>后的原件方为有效；</w:t>
      </w:r>
    </w:p>
    <w:p>
      <w:pPr>
        <w:ind w:firstLine="420" w:firstLineChars="200"/>
        <w:rPr>
          <w:rFonts w:ascii="宋体" w:hAnsi="宋体" w:cs="Arial"/>
          <w:bCs/>
          <w:color w:val="auto"/>
          <w:szCs w:val="21"/>
          <w:highlight w:val="none"/>
        </w:rPr>
      </w:pPr>
      <w:r>
        <w:rPr>
          <w:rFonts w:hint="eastAsia" w:ascii="宋体" w:hAnsi="宋体" w:cs="Arial"/>
          <w:bCs/>
          <w:color w:val="auto"/>
          <w:szCs w:val="21"/>
          <w:highlight w:val="none"/>
        </w:rPr>
        <w:t>2.提供被授权人的身份证复印件（附后）。</w:t>
      </w:r>
    </w:p>
    <w:p>
      <w:pPr>
        <w:widowControl/>
        <w:jc w:val="left"/>
        <w:rPr>
          <w:b/>
          <w:bCs/>
          <w:color w:val="auto"/>
          <w:sz w:val="30"/>
          <w:highlight w:val="none"/>
        </w:rPr>
      </w:pPr>
      <w:r>
        <w:rPr>
          <w:b/>
          <w:bCs/>
          <w:color w:val="auto"/>
          <w:sz w:val="30"/>
          <w:highlight w:val="none"/>
        </w:rPr>
        <w:br w:type="page"/>
      </w:r>
    </w:p>
    <w:p>
      <w:pPr>
        <w:jc w:val="center"/>
        <w:outlineLvl w:val="1"/>
        <w:rPr>
          <w:b/>
          <w:bCs/>
          <w:color w:val="auto"/>
          <w:sz w:val="30"/>
          <w:highlight w:val="none"/>
        </w:rPr>
      </w:pPr>
      <w:bookmarkStart w:id="407" w:name="_Toc22702"/>
      <w:bookmarkStart w:id="408" w:name="_Toc5028"/>
      <w:bookmarkStart w:id="409" w:name="_Toc18729"/>
      <w:bookmarkStart w:id="410" w:name="_Toc9145"/>
      <w:bookmarkStart w:id="411" w:name="_Toc3795"/>
      <w:bookmarkStart w:id="412" w:name="_Toc6341"/>
      <w:bookmarkStart w:id="413" w:name="_Toc51746104"/>
      <w:bookmarkStart w:id="414" w:name="_Toc20293"/>
      <w:bookmarkStart w:id="415" w:name="_Toc77523185"/>
      <w:bookmarkStart w:id="416" w:name="_Toc28247"/>
      <w:r>
        <w:rPr>
          <w:rFonts w:hint="eastAsia"/>
          <w:b/>
          <w:bCs/>
          <w:color w:val="auto"/>
          <w:sz w:val="30"/>
          <w:highlight w:val="none"/>
        </w:rPr>
        <w:t>（二）投标响应书</w:t>
      </w:r>
      <w:bookmarkEnd w:id="407"/>
      <w:bookmarkEnd w:id="408"/>
      <w:bookmarkEnd w:id="409"/>
      <w:bookmarkEnd w:id="410"/>
      <w:bookmarkEnd w:id="411"/>
      <w:bookmarkEnd w:id="412"/>
      <w:bookmarkEnd w:id="413"/>
      <w:bookmarkEnd w:id="414"/>
      <w:bookmarkEnd w:id="415"/>
      <w:bookmarkEnd w:id="416"/>
    </w:p>
    <w:p>
      <w:pPr>
        <w:rPr>
          <w:color w:val="auto"/>
          <w:highlight w:val="none"/>
        </w:rPr>
      </w:pPr>
    </w:p>
    <w:p>
      <w:pPr>
        <w:rPr>
          <w:rFonts w:hint="default" w:eastAsia="宋体"/>
          <w:color w:val="auto"/>
          <w:highlight w:val="none"/>
          <w:u w:val="single"/>
          <w:lang w:val="en-US" w:eastAsia="zh-CN"/>
        </w:rPr>
      </w:pPr>
      <w:r>
        <w:rPr>
          <w:rFonts w:hint="eastAsia"/>
          <w:color w:val="auto"/>
          <w:highlight w:val="none"/>
        </w:rPr>
        <w:t>致：</w:t>
      </w:r>
      <w:r>
        <w:rPr>
          <w:rFonts w:hint="eastAsia"/>
          <w:color w:val="auto"/>
          <w:highlight w:val="none"/>
          <w:u w:val="single"/>
          <w:lang w:val="en-US" w:eastAsia="zh-CN"/>
        </w:rPr>
        <w:t xml:space="preserve">               </w:t>
      </w:r>
    </w:p>
    <w:p>
      <w:pPr>
        <w:ind w:firstLine="432" w:firstLineChars="206"/>
        <w:rPr>
          <w:color w:val="auto"/>
          <w:highlight w:val="none"/>
        </w:rPr>
      </w:pPr>
      <w:r>
        <w:rPr>
          <w:rFonts w:hint="eastAsia"/>
          <w:color w:val="auto"/>
          <w:highlight w:val="none"/>
        </w:rPr>
        <w:t>根据贵方为项目采购的邀请_____________</w:t>
      </w:r>
      <w:r>
        <w:rPr>
          <w:rFonts w:hint="eastAsia"/>
          <w:color w:val="auto"/>
          <w:highlight w:val="none"/>
          <w:u w:val="single"/>
        </w:rPr>
        <w:t>（招标文件编号</w:t>
      </w:r>
      <w:r>
        <w:rPr>
          <w:rFonts w:hint="eastAsia"/>
          <w:color w:val="auto"/>
          <w:highlight w:val="none"/>
          <w:u w:val="single"/>
          <w:lang w:eastAsia="zh-CN"/>
        </w:rPr>
        <w:t>以及名称</w:t>
      </w:r>
      <w:r>
        <w:rPr>
          <w:rFonts w:hint="eastAsia"/>
          <w:color w:val="auto"/>
          <w:highlight w:val="none"/>
          <w:u w:val="single"/>
        </w:rPr>
        <w:t>）</w:t>
      </w:r>
      <w:r>
        <w:rPr>
          <w:rFonts w:hint="eastAsia"/>
          <w:color w:val="auto"/>
          <w:highlight w:val="none"/>
        </w:rPr>
        <w:t>，</w:t>
      </w:r>
      <w:r>
        <w:rPr>
          <w:rFonts w:hint="eastAsia"/>
          <w:color w:val="auto"/>
          <w:highlight w:val="none"/>
          <w:u w:val="single"/>
        </w:rPr>
        <w:t>签字代表（全名、职务）</w:t>
      </w:r>
      <w:r>
        <w:rPr>
          <w:rFonts w:hint="eastAsia"/>
          <w:color w:val="auto"/>
          <w:highlight w:val="none"/>
        </w:rPr>
        <w:t>经正式授权并代表</w:t>
      </w:r>
      <w:r>
        <w:rPr>
          <w:rFonts w:hint="eastAsia"/>
          <w:color w:val="auto"/>
          <w:highlight w:val="none"/>
          <w:u w:val="single"/>
        </w:rPr>
        <w:t>供应商（供应商方名称、地址）</w:t>
      </w:r>
      <w:r>
        <w:rPr>
          <w:rFonts w:hint="eastAsia"/>
          <w:color w:val="auto"/>
          <w:highlight w:val="none"/>
        </w:rPr>
        <w:t>提交五份投标文件。</w:t>
      </w:r>
    </w:p>
    <w:p>
      <w:pPr>
        <w:rPr>
          <w:color w:val="auto"/>
          <w:highlight w:val="none"/>
        </w:rPr>
      </w:pPr>
      <w:r>
        <w:rPr>
          <w:rFonts w:hint="eastAsia"/>
          <w:color w:val="auto"/>
          <w:highlight w:val="none"/>
        </w:rPr>
        <w:t>据此函，签字代表宣布同意如下：</w:t>
      </w:r>
    </w:p>
    <w:p>
      <w:pPr>
        <w:rPr>
          <w:color w:val="auto"/>
          <w:highlight w:val="none"/>
        </w:rPr>
      </w:pPr>
      <w:r>
        <w:rPr>
          <w:rFonts w:hint="eastAsia"/>
          <w:color w:val="auto"/>
          <w:highlight w:val="none"/>
        </w:rPr>
        <w:t>1、供应商将按招标文件的规定履行合同责任和义务。</w:t>
      </w:r>
    </w:p>
    <w:p>
      <w:pPr>
        <w:rPr>
          <w:color w:val="auto"/>
          <w:highlight w:val="none"/>
        </w:rPr>
      </w:pPr>
      <w:r>
        <w:rPr>
          <w:rFonts w:hint="eastAsia"/>
          <w:color w:val="auto"/>
          <w:highlight w:val="none"/>
        </w:rPr>
        <w:t>2、供应商已详细审查全部投标文件，包括修改文件（如有的话）以及全部参考资料和有关附件。我们完全理解并同意放弃对这方面有不明及误解的权利。</w:t>
      </w:r>
    </w:p>
    <w:p>
      <w:pPr>
        <w:rPr>
          <w:color w:val="auto"/>
          <w:highlight w:val="none"/>
        </w:rPr>
      </w:pPr>
      <w:r>
        <w:rPr>
          <w:rFonts w:hint="eastAsia"/>
          <w:color w:val="auto"/>
          <w:highlight w:val="none"/>
        </w:rPr>
        <w:t>3、与本投标项目有关的一切正式往来通讯请寄：</w:t>
      </w:r>
    </w:p>
    <w:p>
      <w:pPr>
        <w:ind w:firstLine="432"/>
        <w:rPr>
          <w:color w:val="auto"/>
          <w:highlight w:val="none"/>
        </w:rPr>
      </w:pPr>
    </w:p>
    <w:p>
      <w:pPr>
        <w:ind w:firstLine="432"/>
        <w:rPr>
          <w:rFonts w:hint="default" w:eastAsia="宋体"/>
          <w:color w:val="auto"/>
          <w:highlight w:val="none"/>
          <w:u w:val="single"/>
          <w:lang w:val="en-US" w:eastAsia="zh-CN"/>
        </w:rPr>
      </w:pPr>
      <w:r>
        <w:rPr>
          <w:rFonts w:hint="eastAsia"/>
          <w:color w:val="auto"/>
          <w:highlight w:val="none"/>
        </w:rPr>
        <w:t>地址：</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rFonts w:hint="eastAsia"/>
          <w:color w:val="auto"/>
          <w:highlight w:val="none"/>
        </w:rPr>
        <w:t>邮编：</w:t>
      </w:r>
      <w:r>
        <w:rPr>
          <w:rFonts w:hint="eastAsia"/>
          <w:color w:val="auto"/>
          <w:highlight w:val="none"/>
          <w:u w:val="single"/>
          <w:lang w:val="en-US" w:eastAsia="zh-CN"/>
        </w:rPr>
        <w:t xml:space="preserve">           </w:t>
      </w:r>
      <w:r>
        <w:rPr>
          <w:rFonts w:hint="eastAsia"/>
          <w:color w:val="auto"/>
          <w:highlight w:val="none"/>
          <w:lang w:val="en-US" w:eastAsia="zh-CN"/>
        </w:rPr>
        <w:t xml:space="preserve"> </w:t>
      </w:r>
    </w:p>
    <w:p>
      <w:pPr>
        <w:ind w:firstLine="432"/>
        <w:rPr>
          <w:color w:val="auto"/>
          <w:highlight w:val="none"/>
          <w:u w:val="single"/>
        </w:rPr>
      </w:pPr>
    </w:p>
    <w:p>
      <w:pPr>
        <w:ind w:firstLine="432"/>
        <w:rPr>
          <w:rFonts w:hint="default" w:eastAsia="宋体"/>
          <w:color w:val="auto"/>
          <w:highlight w:val="none"/>
          <w:u w:val="single"/>
          <w:lang w:val="en-US" w:eastAsia="zh-CN"/>
        </w:rPr>
      </w:pPr>
      <w:r>
        <w:rPr>
          <w:rFonts w:hint="eastAsia"/>
          <w:color w:val="auto"/>
          <w:highlight w:val="none"/>
        </w:rPr>
        <w:t>电话：</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rFonts w:hint="eastAsia"/>
          <w:color w:val="auto"/>
          <w:highlight w:val="none"/>
        </w:rPr>
        <w:t>传真：</w:t>
      </w:r>
      <w:r>
        <w:rPr>
          <w:rFonts w:hint="eastAsia"/>
          <w:color w:val="auto"/>
          <w:highlight w:val="none"/>
          <w:u w:val="single"/>
          <w:lang w:val="en-US" w:eastAsia="zh-CN"/>
        </w:rPr>
        <w:t xml:space="preserve">           </w:t>
      </w:r>
      <w:r>
        <w:rPr>
          <w:rFonts w:hint="eastAsia"/>
          <w:color w:val="auto"/>
          <w:highlight w:val="none"/>
          <w:lang w:val="en-US" w:eastAsia="zh-CN"/>
        </w:rPr>
        <w:t xml:space="preserve"> </w:t>
      </w:r>
    </w:p>
    <w:p>
      <w:pPr>
        <w:ind w:firstLine="432"/>
        <w:rPr>
          <w:color w:val="auto"/>
          <w:highlight w:val="none"/>
          <w:u w:val="single"/>
        </w:rPr>
      </w:pPr>
    </w:p>
    <w:p>
      <w:pPr>
        <w:ind w:firstLine="432"/>
        <w:rPr>
          <w:rFonts w:hint="default" w:eastAsia="宋体"/>
          <w:color w:val="auto"/>
          <w:highlight w:val="none"/>
          <w:u w:val="single"/>
          <w:lang w:val="en-US" w:eastAsia="zh-CN"/>
        </w:rPr>
      </w:pPr>
      <w:r>
        <w:rPr>
          <w:rFonts w:hint="eastAsia"/>
          <w:color w:val="auto"/>
          <w:highlight w:val="none"/>
        </w:rPr>
        <w:t>供应商代表姓名、职务（印刷体）：</w:t>
      </w:r>
      <w:r>
        <w:rPr>
          <w:rFonts w:hint="eastAsia"/>
          <w:color w:val="auto"/>
          <w:highlight w:val="none"/>
          <w:u w:val="single"/>
          <w:lang w:val="en-US" w:eastAsia="zh-CN"/>
        </w:rPr>
        <w:t xml:space="preserve">             </w:t>
      </w:r>
    </w:p>
    <w:p>
      <w:pPr>
        <w:ind w:firstLine="432"/>
        <w:rPr>
          <w:color w:val="auto"/>
          <w:highlight w:val="none"/>
        </w:rPr>
      </w:pPr>
    </w:p>
    <w:p>
      <w:pPr>
        <w:ind w:firstLine="432"/>
        <w:rPr>
          <w:rFonts w:hint="default" w:eastAsia="宋体"/>
          <w:color w:val="auto"/>
          <w:highlight w:val="none"/>
          <w:u w:val="single"/>
          <w:lang w:val="en-US" w:eastAsia="zh-CN"/>
        </w:rPr>
      </w:pPr>
      <w:r>
        <w:rPr>
          <w:rFonts w:hint="eastAsia"/>
          <w:color w:val="auto"/>
          <w:highlight w:val="none"/>
        </w:rPr>
        <w:t>供应商名称：（公章）：</w:t>
      </w:r>
      <w:r>
        <w:rPr>
          <w:rFonts w:hint="eastAsia"/>
          <w:color w:val="auto"/>
          <w:highlight w:val="none"/>
          <w:u w:val="single"/>
          <w:lang w:val="en-US" w:eastAsia="zh-CN"/>
        </w:rPr>
        <w:t xml:space="preserve">                </w:t>
      </w:r>
    </w:p>
    <w:p>
      <w:pPr>
        <w:ind w:firstLine="432"/>
        <w:rPr>
          <w:color w:val="auto"/>
          <w:highlight w:val="none"/>
          <w:u w:val="single"/>
        </w:rPr>
      </w:pPr>
    </w:p>
    <w:p>
      <w:pPr>
        <w:ind w:firstLine="432"/>
        <w:rPr>
          <w:color w:val="auto"/>
          <w:highlight w:val="none"/>
        </w:rPr>
      </w:pPr>
      <w:r>
        <w:rPr>
          <w:rFonts w:hint="eastAsia"/>
          <w:color w:val="auto"/>
          <w:highlight w:val="none"/>
        </w:rPr>
        <w:t>日期：</w:t>
      </w:r>
      <w:r>
        <w:rPr>
          <w:rFonts w:hint="eastAsia"/>
          <w:color w:val="auto"/>
          <w:highlight w:val="none"/>
          <w:u w:val="single"/>
          <w:lang w:val="en-US" w:eastAsia="zh-CN"/>
        </w:rPr>
        <w:t xml:space="preserve">   </w:t>
      </w:r>
      <w:r>
        <w:rPr>
          <w:rFonts w:hint="eastAsia"/>
          <w:color w:val="auto"/>
          <w:highlight w:val="none"/>
        </w:rPr>
        <w:t>年</w:t>
      </w:r>
      <w:r>
        <w:rPr>
          <w:rFonts w:hint="eastAsia"/>
          <w:color w:val="auto"/>
          <w:highlight w:val="none"/>
          <w:u w:val="single"/>
          <w:lang w:val="en-US" w:eastAsia="zh-CN"/>
        </w:rPr>
        <w:t xml:space="preserve">   </w:t>
      </w:r>
      <w:r>
        <w:rPr>
          <w:rFonts w:hint="eastAsia"/>
          <w:color w:val="auto"/>
          <w:highlight w:val="none"/>
        </w:rPr>
        <w:t>月</w:t>
      </w:r>
      <w:r>
        <w:rPr>
          <w:rFonts w:hint="eastAsia"/>
          <w:color w:val="auto"/>
          <w:highlight w:val="none"/>
          <w:u w:val="single"/>
          <w:lang w:val="en-US" w:eastAsia="zh-CN"/>
        </w:rPr>
        <w:t xml:space="preserve">   </w:t>
      </w:r>
      <w:r>
        <w:rPr>
          <w:rFonts w:hint="eastAsia"/>
          <w:color w:val="auto"/>
          <w:highlight w:val="none"/>
        </w:rPr>
        <w:t>日</w:t>
      </w:r>
    </w:p>
    <w:p>
      <w:pPr>
        <w:ind w:firstLine="432"/>
        <w:rPr>
          <w:color w:val="auto"/>
          <w:highlight w:val="none"/>
        </w:rPr>
      </w:pPr>
    </w:p>
    <w:p>
      <w:pPr>
        <w:rPr>
          <w:color w:val="auto"/>
          <w:highlight w:val="none"/>
        </w:rPr>
      </w:pPr>
    </w:p>
    <w:p>
      <w:pPr>
        <w:ind w:firstLine="432"/>
        <w:rPr>
          <w:color w:val="auto"/>
          <w:highlight w:val="none"/>
        </w:rPr>
      </w:pPr>
    </w:p>
    <w:p>
      <w:pPr>
        <w:ind w:firstLine="432"/>
        <w:rPr>
          <w:color w:val="auto"/>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widowControl/>
        <w:jc w:val="left"/>
        <w:rPr>
          <w:b/>
          <w:bCs/>
          <w:color w:val="auto"/>
          <w:sz w:val="30"/>
          <w:highlight w:val="none"/>
        </w:rPr>
      </w:pPr>
      <w:r>
        <w:rPr>
          <w:b/>
          <w:bCs/>
          <w:color w:val="auto"/>
          <w:sz w:val="30"/>
          <w:highlight w:val="none"/>
        </w:rPr>
        <w:br w:type="page"/>
      </w:r>
    </w:p>
    <w:p>
      <w:pPr>
        <w:jc w:val="center"/>
        <w:outlineLvl w:val="1"/>
        <w:rPr>
          <w:rFonts w:hint="eastAsia"/>
          <w:b/>
          <w:bCs/>
          <w:color w:val="auto"/>
          <w:sz w:val="30"/>
          <w:highlight w:val="none"/>
        </w:rPr>
      </w:pPr>
      <w:bookmarkStart w:id="417" w:name="_Toc29192"/>
      <w:bookmarkStart w:id="418" w:name="_Toc16799"/>
      <w:bookmarkStart w:id="419" w:name="_Toc20915"/>
      <w:bookmarkStart w:id="420" w:name="_Toc25112"/>
      <w:bookmarkStart w:id="421" w:name="_Toc51746105"/>
      <w:bookmarkStart w:id="422" w:name="_Toc77523186"/>
      <w:bookmarkStart w:id="423" w:name="_Toc13282"/>
      <w:bookmarkStart w:id="424" w:name="_Toc14277"/>
      <w:bookmarkStart w:id="425" w:name="_Toc26648"/>
      <w:bookmarkStart w:id="426" w:name="_Toc29959"/>
      <w:r>
        <w:rPr>
          <w:rFonts w:hint="eastAsia"/>
          <w:b/>
          <w:bCs/>
          <w:color w:val="auto"/>
          <w:sz w:val="30"/>
          <w:highlight w:val="none"/>
        </w:rPr>
        <w:t>（三）</w:t>
      </w:r>
      <w:bookmarkEnd w:id="417"/>
      <w:bookmarkEnd w:id="418"/>
      <w:bookmarkEnd w:id="419"/>
      <w:bookmarkEnd w:id="420"/>
      <w:bookmarkEnd w:id="421"/>
      <w:bookmarkEnd w:id="422"/>
      <w:bookmarkStart w:id="427" w:name="_Toc8993"/>
      <w:bookmarkStart w:id="428" w:name="_Toc32493"/>
      <w:bookmarkStart w:id="429" w:name="_Toc10003"/>
      <w:bookmarkStart w:id="430" w:name="_Toc31945"/>
      <w:r>
        <w:rPr>
          <w:rFonts w:hint="eastAsia"/>
          <w:b/>
          <w:bCs/>
          <w:color w:val="auto"/>
          <w:sz w:val="30"/>
          <w:highlight w:val="none"/>
        </w:rPr>
        <w:t>开标一览表</w:t>
      </w:r>
      <w:bookmarkEnd w:id="427"/>
      <w:bookmarkEnd w:id="428"/>
      <w:bookmarkEnd w:id="429"/>
      <w:bookmarkEnd w:id="430"/>
      <w:r>
        <w:rPr>
          <w:rFonts w:hint="eastAsia"/>
          <w:b/>
          <w:bCs/>
          <w:color w:val="auto"/>
          <w:sz w:val="30"/>
          <w:highlight w:val="none"/>
          <w:lang w:eastAsia="zh-CN"/>
        </w:rPr>
        <w:t>（</w:t>
      </w:r>
      <w:r>
        <w:rPr>
          <w:rFonts w:hint="eastAsia"/>
          <w:b/>
          <w:bCs/>
          <w:color w:val="auto"/>
          <w:sz w:val="30"/>
          <w:highlight w:val="none"/>
          <w:lang w:val="en-US" w:eastAsia="zh-CN"/>
        </w:rPr>
        <w:t>报价表</w:t>
      </w:r>
      <w:r>
        <w:rPr>
          <w:rFonts w:hint="eastAsia"/>
          <w:b/>
          <w:bCs/>
          <w:color w:val="auto"/>
          <w:sz w:val="30"/>
          <w:highlight w:val="none"/>
          <w:lang w:eastAsia="zh-CN"/>
        </w:rPr>
        <w:t>）</w:t>
      </w:r>
      <w:bookmarkEnd w:id="423"/>
      <w:bookmarkEnd w:id="424"/>
      <w:bookmarkEnd w:id="425"/>
      <w:bookmarkEnd w:id="426"/>
    </w:p>
    <w:p>
      <w:pPr>
        <w:rPr>
          <w:color w:val="auto"/>
          <w:highlight w:val="none"/>
        </w:rPr>
      </w:pPr>
    </w:p>
    <w:p>
      <w:pPr>
        <w:jc w:val="right"/>
        <w:rPr>
          <w:rFonts w:ascii="宋体" w:hAnsi="宋体"/>
          <w:bCs/>
          <w:snapToGrid w:val="0"/>
          <w:color w:val="auto"/>
          <w:kern w:val="0"/>
          <w:highlight w:val="none"/>
        </w:rPr>
      </w:pPr>
      <w:r>
        <w:rPr>
          <w:rFonts w:hint="eastAsia" w:ascii="宋体" w:hAnsi="宋体"/>
          <w:bCs/>
          <w:snapToGrid w:val="0"/>
          <w:color w:val="auto"/>
          <w:kern w:val="0"/>
          <w:highlight w:val="none"/>
        </w:rPr>
        <w:t>单位：人民币元</w:t>
      </w:r>
    </w:p>
    <w:tbl>
      <w:tblPr>
        <w:tblStyle w:val="19"/>
        <w:tblW w:w="442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799"/>
        <w:gridCol w:w="1809"/>
        <w:gridCol w:w="1987"/>
        <w:gridCol w:w="19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02" w:hRule="atLeast"/>
          <w:jc w:val="center"/>
        </w:trPr>
        <w:tc>
          <w:tcPr>
            <w:tcW w:w="467" w:type="pct"/>
            <w:tcBorders>
              <w:top w:val="single" w:color="auto" w:sz="12" w:space="0"/>
              <w:bottom w:val="double" w:color="auto" w:sz="4" w:space="0"/>
            </w:tcBorders>
            <w:shd w:val="clear" w:color="auto" w:fill="EEECE1"/>
            <w:vAlign w:val="center"/>
          </w:tcPr>
          <w:p>
            <w:pPr>
              <w:keepNext w:val="0"/>
              <w:keepLines w:val="0"/>
              <w:suppressLineNumbers w:val="0"/>
              <w:tabs>
                <w:tab w:val="left" w:pos="426"/>
              </w:tabs>
              <w:spacing w:before="0" w:beforeAutospacing="0" w:after="0" w:afterAutospacing="0"/>
              <w:ind w:left="0" w:right="0"/>
              <w:jc w:val="center"/>
              <w:rPr>
                <w:rFonts w:hint="default"/>
                <w:b/>
                <w:color w:val="auto"/>
                <w:szCs w:val="21"/>
                <w:highlight w:val="none"/>
              </w:rPr>
            </w:pPr>
            <w:r>
              <w:rPr>
                <w:rFonts w:hint="eastAsia"/>
                <w:b/>
                <w:color w:val="auto"/>
                <w:szCs w:val="21"/>
                <w:highlight w:val="none"/>
              </w:rPr>
              <w:t>项目编号</w:t>
            </w:r>
          </w:p>
        </w:tc>
        <w:tc>
          <w:tcPr>
            <w:tcW w:w="1080" w:type="pct"/>
            <w:tcBorders>
              <w:top w:val="single" w:color="auto" w:sz="12" w:space="0"/>
              <w:bottom w:val="double" w:color="auto" w:sz="4" w:space="0"/>
            </w:tcBorders>
            <w:shd w:val="clear" w:color="auto" w:fill="EEECE1"/>
            <w:vAlign w:val="center"/>
          </w:tcPr>
          <w:p>
            <w:pPr>
              <w:keepNext w:val="0"/>
              <w:keepLines w:val="0"/>
              <w:suppressLineNumbers w:val="0"/>
              <w:tabs>
                <w:tab w:val="left" w:pos="426"/>
              </w:tabs>
              <w:spacing w:before="0" w:beforeAutospacing="0" w:after="0" w:afterAutospacing="0"/>
              <w:ind w:left="0" w:right="0"/>
              <w:jc w:val="center"/>
              <w:rPr>
                <w:rFonts w:hint="default"/>
                <w:b/>
                <w:color w:val="auto"/>
                <w:szCs w:val="21"/>
                <w:highlight w:val="none"/>
              </w:rPr>
            </w:pPr>
            <w:r>
              <w:rPr>
                <w:rFonts w:hint="eastAsia"/>
                <w:b/>
                <w:color w:val="auto"/>
                <w:szCs w:val="21"/>
                <w:highlight w:val="none"/>
              </w:rPr>
              <w:t>项目名称</w:t>
            </w:r>
          </w:p>
        </w:tc>
        <w:tc>
          <w:tcPr>
            <w:tcW w:w="1086" w:type="pct"/>
            <w:tcBorders>
              <w:top w:val="single" w:color="auto" w:sz="12" w:space="0"/>
              <w:bottom w:val="double" w:color="auto" w:sz="4" w:space="0"/>
            </w:tcBorders>
            <w:shd w:val="clear" w:color="auto" w:fill="EEECE1"/>
            <w:vAlign w:val="center"/>
          </w:tcPr>
          <w:p>
            <w:pPr>
              <w:keepNext w:val="0"/>
              <w:keepLines w:val="0"/>
              <w:suppressLineNumbers w:val="0"/>
              <w:tabs>
                <w:tab w:val="left" w:pos="426"/>
              </w:tabs>
              <w:spacing w:before="0" w:beforeAutospacing="0" w:after="0" w:afterAutospacing="0"/>
              <w:ind w:left="0" w:right="0"/>
              <w:jc w:val="center"/>
              <w:rPr>
                <w:rFonts w:hint="default"/>
                <w:b/>
                <w:color w:val="auto"/>
                <w:szCs w:val="21"/>
                <w:highlight w:val="none"/>
                <w:lang w:val="en-US"/>
              </w:rPr>
            </w:pPr>
            <w:r>
              <w:rPr>
                <w:rFonts w:hint="eastAsia"/>
                <w:b/>
                <w:color w:val="auto"/>
                <w:szCs w:val="21"/>
                <w:highlight w:val="none"/>
                <w:lang w:eastAsia="zh-CN"/>
              </w:rPr>
              <w:t>投标监理费</w:t>
            </w:r>
            <w:r>
              <w:rPr>
                <w:rFonts w:hint="default"/>
                <w:b/>
                <w:color w:val="auto"/>
                <w:kern w:val="18"/>
                <w:szCs w:val="21"/>
                <w:highlight w:val="none"/>
              </w:rPr>
              <w:t>率</w:t>
            </w:r>
            <w:r>
              <w:rPr>
                <w:rFonts w:hint="eastAsia"/>
                <w:b/>
                <w:color w:val="auto"/>
                <w:szCs w:val="21"/>
                <w:highlight w:val="none"/>
                <w:lang w:val="en-US" w:eastAsia="zh-CN"/>
              </w:rPr>
              <w:t>%</w:t>
            </w:r>
          </w:p>
        </w:tc>
        <w:tc>
          <w:tcPr>
            <w:tcW w:w="1193" w:type="pct"/>
            <w:tcBorders>
              <w:top w:val="single" w:color="auto" w:sz="12" w:space="0"/>
              <w:bottom w:val="double" w:color="auto" w:sz="4" w:space="0"/>
            </w:tcBorders>
            <w:shd w:val="clear" w:color="auto" w:fill="EEECE1"/>
          </w:tcPr>
          <w:p>
            <w:pPr>
              <w:keepNext w:val="0"/>
              <w:keepLines w:val="0"/>
              <w:suppressLineNumbers w:val="0"/>
              <w:tabs>
                <w:tab w:val="left" w:pos="426"/>
              </w:tabs>
              <w:spacing w:before="0" w:beforeAutospacing="0" w:after="0" w:afterAutospacing="0"/>
              <w:ind w:left="0" w:right="0"/>
              <w:jc w:val="center"/>
              <w:rPr>
                <w:rFonts w:hint="eastAsia" w:eastAsia="宋体"/>
                <w:b/>
                <w:color w:val="auto"/>
                <w:szCs w:val="21"/>
                <w:highlight w:val="none"/>
                <w:lang w:eastAsia="zh-CN"/>
              </w:rPr>
            </w:pPr>
            <w:r>
              <w:rPr>
                <w:rFonts w:hint="eastAsia"/>
                <w:b/>
                <w:color w:val="auto"/>
                <w:szCs w:val="21"/>
                <w:highlight w:val="none"/>
              </w:rPr>
              <w:t>投标报价</w:t>
            </w:r>
            <w:r>
              <w:rPr>
                <w:rFonts w:hint="eastAsia"/>
                <w:b/>
                <w:color w:val="auto"/>
                <w:szCs w:val="21"/>
                <w:highlight w:val="none"/>
                <w:lang w:eastAsia="zh-CN"/>
              </w:rPr>
              <w:t>（</w:t>
            </w:r>
            <w:r>
              <w:rPr>
                <w:rFonts w:hint="eastAsia"/>
                <w:b/>
                <w:color w:val="auto"/>
                <w:szCs w:val="21"/>
                <w:highlight w:val="none"/>
                <w:lang w:val="en-US" w:eastAsia="zh-CN"/>
              </w:rPr>
              <w:t>大写金额</w:t>
            </w:r>
            <w:r>
              <w:rPr>
                <w:rFonts w:hint="eastAsia"/>
                <w:b/>
                <w:color w:val="auto"/>
                <w:szCs w:val="21"/>
                <w:highlight w:val="none"/>
                <w:lang w:eastAsia="zh-CN"/>
              </w:rPr>
              <w:t>）</w:t>
            </w:r>
          </w:p>
        </w:tc>
        <w:tc>
          <w:tcPr>
            <w:tcW w:w="1170" w:type="pct"/>
            <w:tcBorders>
              <w:top w:val="single" w:color="auto" w:sz="12" w:space="0"/>
              <w:bottom w:val="double" w:color="auto" w:sz="4" w:space="0"/>
            </w:tcBorders>
            <w:shd w:val="clear" w:color="auto" w:fill="EEECE1"/>
            <w:vAlign w:val="center"/>
          </w:tcPr>
          <w:p>
            <w:pPr>
              <w:keepNext w:val="0"/>
              <w:keepLines w:val="0"/>
              <w:suppressLineNumbers w:val="0"/>
              <w:tabs>
                <w:tab w:val="left" w:pos="426"/>
              </w:tabs>
              <w:spacing w:before="0" w:beforeAutospacing="0" w:after="0" w:afterAutospacing="0"/>
              <w:ind w:left="0" w:right="0"/>
              <w:jc w:val="center"/>
              <w:rPr>
                <w:rFonts w:hint="default"/>
                <w:b/>
                <w:color w:val="auto"/>
                <w:szCs w:val="21"/>
                <w:highlight w:val="none"/>
              </w:rPr>
            </w:pPr>
            <w:r>
              <w:rPr>
                <w:rFonts w:hint="eastAsia"/>
                <w:b/>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jc w:val="center"/>
        </w:trPr>
        <w:tc>
          <w:tcPr>
            <w:tcW w:w="467" w:type="pct"/>
            <w:tcBorders>
              <w:top w:val="single" w:color="auto" w:sz="4" w:space="0"/>
            </w:tcBorders>
          </w:tcPr>
          <w:p>
            <w:pPr>
              <w:keepNext w:val="0"/>
              <w:keepLines w:val="0"/>
              <w:suppressLineNumbers w:val="0"/>
              <w:tabs>
                <w:tab w:val="left" w:pos="426"/>
              </w:tabs>
              <w:spacing w:before="0" w:beforeAutospacing="0" w:after="0" w:afterAutospacing="0"/>
              <w:ind w:left="0" w:right="0"/>
              <w:jc w:val="center"/>
              <w:rPr>
                <w:rFonts w:hint="eastAsia" w:eastAsia="宋体"/>
                <w:bCs/>
                <w:color w:val="auto"/>
                <w:szCs w:val="21"/>
                <w:highlight w:val="none"/>
                <w:lang w:val="en-US" w:eastAsia="zh-CN"/>
              </w:rPr>
            </w:pPr>
            <w:r>
              <w:rPr>
                <w:rFonts w:hint="eastAsia"/>
                <w:bCs/>
                <w:color w:val="auto"/>
                <w:szCs w:val="21"/>
                <w:highlight w:val="none"/>
                <w:lang w:val="en-US" w:eastAsia="zh-CN"/>
              </w:rPr>
              <w:t>1</w:t>
            </w:r>
          </w:p>
        </w:tc>
        <w:tc>
          <w:tcPr>
            <w:tcW w:w="1080" w:type="pct"/>
            <w:tcBorders>
              <w:top w:val="single" w:color="auto" w:sz="4" w:space="0"/>
            </w:tcBorders>
            <w:vAlign w:val="center"/>
          </w:tcPr>
          <w:p>
            <w:pPr>
              <w:keepNext w:val="0"/>
              <w:keepLines w:val="0"/>
              <w:suppressLineNumbers w:val="0"/>
              <w:tabs>
                <w:tab w:val="left" w:pos="426"/>
              </w:tabs>
              <w:spacing w:before="0" w:beforeAutospacing="0" w:after="0" w:afterAutospacing="0"/>
              <w:ind w:left="0" w:right="0"/>
              <w:jc w:val="center"/>
              <w:rPr>
                <w:rFonts w:hint="eastAsia" w:eastAsia="宋体"/>
                <w:bCs/>
                <w:color w:val="auto"/>
                <w:szCs w:val="21"/>
                <w:highlight w:val="none"/>
                <w:lang w:val="en-US" w:eastAsia="zh-CN"/>
              </w:rPr>
            </w:pPr>
            <w:r>
              <w:rPr>
                <w:rFonts w:hint="eastAsia"/>
                <w:bCs/>
                <w:color w:val="auto"/>
                <w:szCs w:val="21"/>
                <w:highlight w:val="none"/>
                <w:lang w:val="en-US" w:eastAsia="zh-CN"/>
              </w:rPr>
              <w:t xml:space="preserve"> </w:t>
            </w:r>
          </w:p>
          <w:p>
            <w:pPr>
              <w:keepNext w:val="0"/>
              <w:keepLines w:val="0"/>
              <w:suppressLineNumbers w:val="0"/>
              <w:tabs>
                <w:tab w:val="left" w:pos="426"/>
              </w:tabs>
              <w:spacing w:before="0" w:beforeAutospacing="0" w:after="0" w:afterAutospacing="0"/>
              <w:ind w:left="0" w:right="0"/>
              <w:jc w:val="center"/>
              <w:rPr>
                <w:rFonts w:hint="default"/>
                <w:bCs/>
                <w:color w:val="auto"/>
                <w:szCs w:val="21"/>
                <w:highlight w:val="none"/>
              </w:rPr>
            </w:pPr>
          </w:p>
          <w:p>
            <w:pPr>
              <w:keepNext w:val="0"/>
              <w:keepLines w:val="0"/>
              <w:suppressLineNumbers w:val="0"/>
              <w:tabs>
                <w:tab w:val="left" w:pos="426"/>
              </w:tabs>
              <w:spacing w:before="0" w:beforeAutospacing="0" w:after="0" w:afterAutospacing="0"/>
              <w:ind w:left="0" w:right="0"/>
              <w:jc w:val="center"/>
              <w:rPr>
                <w:rFonts w:hint="default"/>
                <w:color w:val="auto"/>
                <w:szCs w:val="21"/>
                <w:highlight w:val="none"/>
              </w:rPr>
            </w:pPr>
          </w:p>
        </w:tc>
        <w:tc>
          <w:tcPr>
            <w:tcW w:w="1086" w:type="pct"/>
            <w:tcBorders>
              <w:top w:val="single" w:color="auto" w:sz="4" w:space="0"/>
            </w:tcBorders>
          </w:tcPr>
          <w:p>
            <w:pPr>
              <w:keepNext w:val="0"/>
              <w:keepLines w:val="0"/>
              <w:suppressLineNumbers w:val="0"/>
              <w:tabs>
                <w:tab w:val="left" w:pos="426"/>
              </w:tabs>
              <w:spacing w:before="0" w:beforeAutospacing="0" w:after="0" w:afterAutospacing="0"/>
              <w:ind w:left="0" w:right="0"/>
              <w:jc w:val="center"/>
              <w:rPr>
                <w:rFonts w:hint="default" w:eastAsia="宋体"/>
                <w:b/>
                <w:color w:val="auto"/>
                <w:szCs w:val="21"/>
                <w:highlight w:val="none"/>
                <w:lang w:val="en-US" w:eastAsia="zh-CN"/>
              </w:rPr>
            </w:pPr>
          </w:p>
        </w:tc>
        <w:tc>
          <w:tcPr>
            <w:tcW w:w="1193" w:type="pct"/>
            <w:tcBorders>
              <w:top w:val="single" w:color="auto" w:sz="4" w:space="0"/>
            </w:tcBorders>
          </w:tcPr>
          <w:p>
            <w:pPr>
              <w:keepNext w:val="0"/>
              <w:keepLines w:val="0"/>
              <w:suppressLineNumbers w:val="0"/>
              <w:tabs>
                <w:tab w:val="left" w:pos="426"/>
              </w:tabs>
              <w:spacing w:before="0" w:beforeAutospacing="0" w:after="0" w:afterAutospacing="0"/>
              <w:ind w:left="0" w:right="0"/>
              <w:jc w:val="center"/>
              <w:rPr>
                <w:rFonts w:hint="eastAsia"/>
                <w:color w:val="auto"/>
                <w:highlight w:val="none"/>
                <w:lang w:val="en-US" w:eastAsia="zh-CN"/>
              </w:rPr>
            </w:pPr>
            <w:r>
              <w:rPr>
                <w:rFonts w:hint="eastAsia"/>
                <w:color w:val="auto"/>
                <w:highlight w:val="none"/>
                <w:lang w:val="en-US" w:eastAsia="zh-CN"/>
              </w:rPr>
              <w:t>小写：</w:t>
            </w:r>
          </w:p>
          <w:p>
            <w:pPr>
              <w:keepNext w:val="0"/>
              <w:keepLines w:val="0"/>
              <w:suppressLineNumbers w:val="0"/>
              <w:tabs>
                <w:tab w:val="left" w:pos="426"/>
              </w:tabs>
              <w:spacing w:before="0" w:beforeAutospacing="0" w:after="0" w:afterAutospacing="0"/>
              <w:ind w:left="0" w:right="0"/>
              <w:jc w:val="center"/>
              <w:rPr>
                <w:rFonts w:hint="eastAsia"/>
                <w:color w:val="auto"/>
                <w:highlight w:val="none"/>
                <w:lang w:val="en-US" w:eastAsia="zh-CN"/>
              </w:rPr>
            </w:pPr>
          </w:p>
          <w:p>
            <w:pPr>
              <w:keepNext w:val="0"/>
              <w:keepLines w:val="0"/>
              <w:suppressLineNumbers w:val="0"/>
              <w:tabs>
                <w:tab w:val="left" w:pos="426"/>
              </w:tabs>
              <w:spacing w:before="0" w:beforeAutospacing="0" w:after="0" w:afterAutospacing="0"/>
              <w:ind w:left="0" w:right="0"/>
              <w:jc w:val="center"/>
              <w:rPr>
                <w:rFonts w:hint="eastAsia"/>
                <w:color w:val="auto"/>
                <w:highlight w:val="none"/>
                <w:lang w:val="en-US" w:eastAsia="zh-CN"/>
              </w:rPr>
            </w:pPr>
            <w:r>
              <w:rPr>
                <w:rFonts w:hint="eastAsia"/>
                <w:color w:val="auto"/>
                <w:highlight w:val="none"/>
                <w:lang w:val="en-US" w:eastAsia="zh-CN"/>
              </w:rPr>
              <w:t>大写：</w:t>
            </w:r>
          </w:p>
          <w:p>
            <w:pPr>
              <w:pStyle w:val="24"/>
              <w:keepNext w:val="0"/>
              <w:keepLines w:val="0"/>
              <w:suppressLineNumbers w:val="0"/>
              <w:spacing w:beforeAutospacing="0" w:afterAutospacing="0"/>
              <w:ind w:left="0" w:right="0"/>
              <w:rPr>
                <w:rFonts w:hint="default"/>
                <w:color w:val="auto"/>
                <w:highlight w:val="none"/>
                <w:lang w:val="en-US" w:eastAsia="zh-CN"/>
              </w:rPr>
            </w:pPr>
          </w:p>
        </w:tc>
        <w:tc>
          <w:tcPr>
            <w:tcW w:w="1170" w:type="pct"/>
            <w:tcBorders>
              <w:top w:val="single" w:color="auto" w:sz="4" w:space="0"/>
            </w:tcBorders>
          </w:tcPr>
          <w:p>
            <w:pPr>
              <w:keepNext w:val="0"/>
              <w:keepLines w:val="0"/>
              <w:suppressLineNumbers w:val="0"/>
              <w:tabs>
                <w:tab w:val="left" w:pos="426"/>
              </w:tabs>
              <w:spacing w:before="0" w:beforeAutospacing="0" w:after="0" w:afterAutospacing="0"/>
              <w:ind w:left="0" w:right="0"/>
              <w:jc w:val="center"/>
              <w:rPr>
                <w:rFonts w:hint="default" w:eastAsia="宋体"/>
                <w:b/>
                <w:color w:val="auto"/>
                <w:szCs w:val="21"/>
                <w:highlight w:val="none"/>
                <w:lang w:val="en-US" w:eastAsia="zh-CN"/>
              </w:rPr>
            </w:pPr>
            <w:r>
              <w:rPr>
                <w:rFonts w:hint="default" w:eastAsia="宋体"/>
                <w:b/>
                <w:color w:val="auto"/>
                <w:szCs w:val="21"/>
                <w:highlight w:val="none"/>
                <w:lang w:val="en-US" w:eastAsia="zh-CN"/>
              </w:rPr>
              <w:t>投标时本项目</w:t>
            </w:r>
            <w:r>
              <w:rPr>
                <w:rFonts w:hint="eastAsia"/>
                <w:b/>
                <w:color w:val="auto"/>
                <w:szCs w:val="21"/>
                <w:highlight w:val="none"/>
                <w:lang w:val="en-US" w:eastAsia="zh-CN"/>
              </w:rPr>
              <w:t>工程建设费用</w:t>
            </w:r>
            <w:r>
              <w:rPr>
                <w:rFonts w:hint="default" w:eastAsia="宋体"/>
                <w:b/>
                <w:color w:val="auto"/>
                <w:szCs w:val="21"/>
                <w:highlight w:val="none"/>
                <w:lang w:val="en-US" w:eastAsia="zh-CN"/>
              </w:rPr>
              <w:t>暂按</w:t>
            </w:r>
            <w:r>
              <w:rPr>
                <w:rFonts w:hint="eastAsia"/>
                <w:b/>
                <w:color w:val="auto"/>
                <w:szCs w:val="21"/>
                <w:highlight w:val="yellow"/>
                <w:lang w:val="en-US" w:eastAsia="zh-CN"/>
              </w:rPr>
              <w:t>903.99</w:t>
            </w:r>
            <w:r>
              <w:rPr>
                <w:rFonts w:hint="default" w:eastAsia="宋体"/>
                <w:b/>
                <w:color w:val="auto"/>
                <w:szCs w:val="21"/>
                <w:highlight w:val="none"/>
                <w:lang w:val="en-US" w:eastAsia="zh-CN"/>
              </w:rPr>
              <w:t>万元计</w:t>
            </w:r>
          </w:p>
        </w:tc>
      </w:tr>
    </w:tbl>
    <w:p>
      <w:pPr>
        <w:rPr>
          <w:rFonts w:ascii="宋体" w:hAnsi="宋体"/>
          <w:snapToGrid w:val="0"/>
          <w:color w:val="auto"/>
          <w:kern w:val="0"/>
          <w:highlight w:val="none"/>
        </w:rPr>
      </w:pPr>
      <w:r>
        <w:rPr>
          <w:rFonts w:hint="eastAsia" w:ascii="宋体" w:hAnsi="宋体"/>
          <w:snapToGrid w:val="0"/>
          <w:color w:val="auto"/>
          <w:kern w:val="0"/>
          <w:highlight w:val="none"/>
        </w:rPr>
        <w:t>注：1、价格应按“招标文件”</w:t>
      </w:r>
      <w:r>
        <w:rPr>
          <w:rFonts w:hint="eastAsia" w:ascii="宋体" w:hAnsi="宋体"/>
          <w:snapToGrid w:val="0"/>
          <w:color w:val="auto"/>
          <w:kern w:val="0"/>
          <w:highlight w:val="none"/>
          <w:lang w:val="en-US" w:eastAsia="zh-CN"/>
        </w:rPr>
        <w:t>要求进行报价及</w:t>
      </w:r>
      <w:r>
        <w:rPr>
          <w:rFonts w:hint="eastAsia" w:ascii="宋体" w:hAnsi="宋体"/>
          <w:snapToGrid w:val="0"/>
          <w:color w:val="auto"/>
          <w:kern w:val="0"/>
          <w:highlight w:val="none"/>
        </w:rPr>
        <w:t>规定的货币单位填写</w:t>
      </w:r>
      <w:r>
        <w:rPr>
          <w:rFonts w:hint="eastAsia" w:ascii="宋体" w:hAnsi="宋体"/>
          <w:snapToGrid w:val="0"/>
          <w:color w:val="auto"/>
          <w:kern w:val="0"/>
          <w:highlight w:val="none"/>
          <w:lang w:eastAsia="zh-CN"/>
        </w:rPr>
        <w:t>，</w:t>
      </w:r>
      <w:r>
        <w:rPr>
          <w:rFonts w:hint="eastAsia" w:ascii="宋体" w:hAnsi="宋体"/>
          <w:snapToGrid w:val="0"/>
          <w:color w:val="auto"/>
          <w:kern w:val="0"/>
          <w:highlight w:val="none"/>
        </w:rPr>
        <w:t>。</w:t>
      </w:r>
    </w:p>
    <w:p>
      <w:pPr>
        <w:ind w:firstLine="0"/>
        <w:rPr>
          <w:rFonts w:ascii="宋体" w:hAnsi="宋体"/>
          <w:color w:val="auto"/>
          <w:highlight w:val="none"/>
        </w:rPr>
      </w:pPr>
      <w:r>
        <w:rPr>
          <w:rFonts w:hint="eastAsia" w:ascii="宋体" w:hAnsi="宋体"/>
          <w:snapToGrid w:val="0"/>
          <w:color w:val="auto"/>
          <w:kern w:val="0"/>
          <w:highlight w:val="none"/>
        </w:rPr>
        <w:t xml:space="preserve">   </w:t>
      </w:r>
      <w:r>
        <w:rPr>
          <w:rFonts w:hint="eastAsia" w:ascii="宋体" w:hAnsi="宋体"/>
          <w:snapToGrid w:val="0"/>
          <w:color w:val="auto"/>
          <w:kern w:val="0"/>
          <w:highlight w:val="none"/>
          <w:lang w:val="en-US" w:eastAsia="zh-CN"/>
        </w:rPr>
        <w:t xml:space="preserve"> 2</w:t>
      </w:r>
      <w:r>
        <w:rPr>
          <w:rFonts w:hint="eastAsia" w:ascii="宋体" w:hAnsi="宋体"/>
          <w:snapToGrid w:val="0"/>
          <w:color w:val="auto"/>
          <w:kern w:val="0"/>
          <w:highlight w:val="none"/>
        </w:rPr>
        <w:t>、投标人如果需要对报价或其它内容加以说明，可在备注栏填写。</w:t>
      </w:r>
    </w:p>
    <w:p>
      <w:pPr>
        <w:ind w:firstLine="420"/>
        <w:rPr>
          <w:rFonts w:ascii="宋体" w:hAnsi="宋体"/>
          <w:b/>
          <w:color w:val="auto"/>
          <w:szCs w:val="21"/>
          <w:highlight w:val="none"/>
        </w:rPr>
      </w:pPr>
      <w:r>
        <w:rPr>
          <w:rFonts w:hint="eastAsia" w:ascii="宋体" w:hAnsi="宋体"/>
          <w:b/>
          <w:color w:val="auto"/>
          <w:highlight w:val="none"/>
          <w:lang w:val="en-US" w:eastAsia="zh-CN"/>
        </w:rPr>
        <w:t>3</w:t>
      </w:r>
      <w:r>
        <w:rPr>
          <w:rFonts w:hint="eastAsia" w:ascii="宋体" w:hAnsi="宋体"/>
          <w:b/>
          <w:color w:val="auto"/>
          <w:highlight w:val="none"/>
        </w:rPr>
        <w:t>、</w:t>
      </w:r>
      <w:r>
        <w:rPr>
          <w:rFonts w:hint="eastAsia" w:ascii="宋体" w:hAnsi="宋体"/>
          <w:b/>
          <w:color w:val="auto"/>
          <w:szCs w:val="21"/>
          <w:highlight w:val="none"/>
        </w:rPr>
        <w:t>开标一览表和投标文件（含正本和副本）应分开独立密封包装。开标一览表未按规定签字、盖章、密封将导致投标无效。</w:t>
      </w:r>
    </w:p>
    <w:p>
      <w:pPr>
        <w:snapToGrid w:val="0"/>
        <w:ind w:firstLine="411" w:firstLineChars="196"/>
        <w:rPr>
          <w:rFonts w:ascii="宋体" w:hAnsi="宋体"/>
          <w:color w:val="auto"/>
          <w:szCs w:val="21"/>
          <w:highlight w:val="none"/>
        </w:rPr>
      </w:pPr>
      <w:r>
        <w:rPr>
          <w:rFonts w:hint="eastAsia" w:ascii="宋体" w:hAnsi="宋体"/>
          <w:color w:val="auto"/>
          <w:highlight w:val="none"/>
          <w:lang w:val="en-US" w:eastAsia="zh-CN"/>
        </w:rPr>
        <w:t>4</w:t>
      </w:r>
      <w:r>
        <w:rPr>
          <w:rFonts w:hint="eastAsia" w:ascii="宋体" w:hAnsi="宋体"/>
          <w:color w:val="auto"/>
          <w:highlight w:val="none"/>
        </w:rPr>
        <w:t>、</w:t>
      </w:r>
      <w:r>
        <w:rPr>
          <w:rFonts w:hint="eastAsia" w:ascii="宋体" w:hAnsi="宋体"/>
          <w:color w:val="auto"/>
          <w:szCs w:val="21"/>
          <w:highlight w:val="none"/>
        </w:rPr>
        <w:t>若开标一览表中大写金额和小写金额不一致的，以大写金额为准。</w:t>
      </w:r>
    </w:p>
    <w:p>
      <w:pPr>
        <w:widowControl w:val="0"/>
        <w:numPr>
          <w:ilvl w:val="-1"/>
          <w:numId w:val="0"/>
        </w:numPr>
        <w:shd w:val="clear" w:color="auto" w:fill="auto"/>
        <w:tabs>
          <w:tab w:val="left" w:pos="360"/>
        </w:tabs>
        <w:adjustRightInd/>
        <w:ind w:left="0" w:firstLine="420" w:firstLineChars="200"/>
        <w:jc w:val="both"/>
        <w:rPr>
          <w:b/>
          <w:bCs/>
          <w:color w:val="auto"/>
          <w:szCs w:val="21"/>
          <w:highlight w:val="none"/>
        </w:rPr>
      </w:pPr>
      <w:r>
        <w:rPr>
          <w:rFonts w:hint="eastAsia" w:ascii="宋体" w:hAnsi="宋体"/>
          <w:color w:val="auto"/>
          <w:highlight w:val="none"/>
          <w:lang w:val="en-US" w:eastAsia="zh-CN"/>
        </w:rPr>
        <w:t>5、</w:t>
      </w:r>
      <w:r>
        <w:rPr>
          <w:rFonts w:hint="eastAsia"/>
          <w:b/>
          <w:color w:val="auto"/>
          <w:highlight w:val="none"/>
        </w:rPr>
        <w:t>此表内</w:t>
      </w:r>
      <w:r>
        <w:rPr>
          <w:rFonts w:hint="eastAsia"/>
          <w:b/>
          <w:color w:val="auto"/>
          <w:szCs w:val="21"/>
          <w:highlight w:val="none"/>
          <w:lang w:eastAsia="zh-CN"/>
        </w:rPr>
        <w:t>投标监理费费率</w:t>
      </w:r>
      <w:r>
        <w:rPr>
          <w:rFonts w:hint="eastAsia"/>
          <w:b/>
          <w:color w:val="auto"/>
          <w:szCs w:val="21"/>
          <w:highlight w:val="none"/>
        </w:rPr>
        <w:t>及</w:t>
      </w:r>
      <w:r>
        <w:rPr>
          <w:rFonts w:hint="eastAsia"/>
          <w:b/>
          <w:color w:val="auto"/>
          <w:highlight w:val="none"/>
        </w:rPr>
        <w:t>投标报价为最终价</w:t>
      </w:r>
      <w:r>
        <w:rPr>
          <w:rFonts w:hint="eastAsia"/>
          <w:b/>
          <w:color w:val="auto"/>
          <w:highlight w:val="none"/>
          <w:lang w:eastAsia="zh-CN"/>
        </w:rPr>
        <w:t>，</w:t>
      </w:r>
      <w:r>
        <w:rPr>
          <w:rFonts w:hint="eastAsia"/>
          <w:b/>
          <w:color w:val="auto"/>
          <w:szCs w:val="21"/>
          <w:highlight w:val="none"/>
        </w:rPr>
        <w:t>投标报价</w:t>
      </w:r>
      <w:r>
        <w:rPr>
          <w:rFonts w:hint="eastAsia"/>
          <w:b/>
          <w:color w:val="auto"/>
          <w:szCs w:val="21"/>
          <w:highlight w:val="none"/>
          <w:lang w:val="en-US" w:eastAsia="zh-CN"/>
        </w:rPr>
        <w:t>包含施工阶段及保修阶段的监理费，</w:t>
      </w:r>
      <w:r>
        <w:rPr>
          <w:rFonts w:hint="eastAsia"/>
          <w:b/>
          <w:color w:val="auto"/>
          <w:highlight w:val="none"/>
        </w:rPr>
        <w:t>投标文件内不得含有任何对本报价进行修改的其他说明或资料，否则为无效投标</w:t>
      </w:r>
      <w:r>
        <w:rPr>
          <w:rFonts w:hint="eastAsia"/>
          <w:b/>
          <w:bCs/>
          <w:color w:val="auto"/>
          <w:szCs w:val="21"/>
          <w:highlight w:val="none"/>
        </w:rPr>
        <w:t>。</w:t>
      </w:r>
    </w:p>
    <w:p>
      <w:pPr>
        <w:tabs>
          <w:tab w:val="left" w:pos="426"/>
        </w:tabs>
        <w:ind w:firstLine="422" w:firstLineChars="200"/>
        <w:rPr>
          <w:rFonts w:hint="eastAsia" w:eastAsia="宋体"/>
          <w:b/>
          <w:color w:val="auto"/>
          <w:kern w:val="18"/>
          <w:szCs w:val="21"/>
          <w:highlight w:val="none"/>
          <w:lang w:eastAsia="zh-CN"/>
        </w:rPr>
      </w:pPr>
      <w:r>
        <w:rPr>
          <w:rFonts w:hint="eastAsia"/>
          <w:b/>
          <w:color w:val="auto"/>
          <w:highlight w:val="none"/>
          <w:lang w:val="en-US" w:eastAsia="zh-CN"/>
        </w:rPr>
        <w:t>6、</w:t>
      </w:r>
      <w:r>
        <w:rPr>
          <w:rFonts w:hint="eastAsia"/>
          <w:b/>
          <w:color w:val="auto"/>
          <w:highlight w:val="none"/>
          <w:lang w:eastAsia="zh-CN"/>
        </w:rPr>
        <w:t>投标监理费费率</w:t>
      </w:r>
      <w:r>
        <w:rPr>
          <w:b/>
          <w:color w:val="auto"/>
          <w:highlight w:val="none"/>
        </w:rPr>
        <w:t>为正值</w:t>
      </w:r>
      <w:r>
        <w:rPr>
          <w:rFonts w:hint="eastAsia"/>
          <w:b/>
          <w:color w:val="auto"/>
          <w:highlight w:val="none"/>
          <w:lang w:eastAsia="zh-CN"/>
        </w:rPr>
        <w:t>，</w:t>
      </w:r>
      <w:r>
        <w:rPr>
          <w:rFonts w:hint="eastAsia"/>
          <w:b/>
          <w:color w:val="auto"/>
          <w:highlight w:val="none"/>
          <w:lang w:val="en-US" w:eastAsia="zh-CN"/>
        </w:rPr>
        <w:t>投标报价=本项目工程建设费用*投标监理费率%最终不得超过</w:t>
      </w:r>
      <w:r>
        <w:rPr>
          <w:rFonts w:hint="eastAsia"/>
          <w:b/>
          <w:color w:val="FF0000"/>
          <w:kern w:val="18"/>
          <w:szCs w:val="21"/>
          <w:highlight w:val="none"/>
          <w:lang w:val="en-US" w:eastAsia="zh-CN"/>
        </w:rPr>
        <w:t>23.37</w:t>
      </w:r>
      <w:r>
        <w:rPr>
          <w:rFonts w:hint="eastAsia"/>
          <w:b/>
          <w:color w:val="auto"/>
          <w:highlight w:val="none"/>
          <w:lang w:val="en-US" w:eastAsia="zh-CN"/>
        </w:rPr>
        <w:t>万元，否则无效投标</w:t>
      </w:r>
      <w:r>
        <w:rPr>
          <w:rFonts w:hint="eastAsia"/>
          <w:b/>
          <w:color w:val="auto"/>
          <w:highlight w:val="none"/>
          <w:lang w:eastAsia="zh-CN"/>
        </w:rPr>
        <w:t>。</w:t>
      </w:r>
    </w:p>
    <w:p>
      <w:pPr>
        <w:rPr>
          <w:rFonts w:hint="eastAsia" w:ascii="宋体" w:hAnsi="宋体" w:eastAsia="宋体"/>
          <w:color w:val="auto"/>
          <w:highlight w:val="none"/>
          <w:lang w:val="en-US" w:eastAsia="zh-CN"/>
        </w:rPr>
      </w:pPr>
    </w:p>
    <w:p>
      <w:pPr>
        <w:tabs>
          <w:tab w:val="left" w:pos="426"/>
        </w:tabs>
        <w:ind w:firstLine="422" w:firstLineChars="200"/>
        <w:rPr>
          <w:b/>
          <w:color w:val="auto"/>
          <w:kern w:val="18"/>
          <w:szCs w:val="21"/>
          <w:highlight w:val="none"/>
        </w:rPr>
      </w:pPr>
      <w:r>
        <w:rPr>
          <w:rFonts w:hint="eastAsia"/>
          <w:b/>
          <w:color w:val="auto"/>
          <w:kern w:val="18"/>
          <w:szCs w:val="21"/>
          <w:highlight w:val="none"/>
        </w:rPr>
        <w:t>特别</w:t>
      </w:r>
      <w:r>
        <w:rPr>
          <w:b/>
          <w:color w:val="auto"/>
          <w:kern w:val="18"/>
          <w:szCs w:val="21"/>
          <w:highlight w:val="none"/>
        </w:rPr>
        <w:t xml:space="preserve">说明： </w:t>
      </w:r>
    </w:p>
    <w:p>
      <w:pPr>
        <w:ind w:firstLine="422" w:firstLineChars="200"/>
        <w:rPr>
          <w:rFonts w:hint="default"/>
          <w:b/>
          <w:color w:val="auto"/>
          <w:kern w:val="18"/>
          <w:szCs w:val="21"/>
          <w:highlight w:val="none"/>
          <w:lang w:val="en-US" w:eastAsia="zh-CN"/>
        </w:rPr>
      </w:pPr>
      <w:r>
        <w:rPr>
          <w:rFonts w:hint="eastAsia"/>
          <w:b/>
          <w:color w:val="auto"/>
          <w:kern w:val="18"/>
          <w:szCs w:val="21"/>
          <w:highlight w:val="none"/>
          <w:lang w:val="en-US" w:eastAsia="zh-CN"/>
        </w:rPr>
        <w:t>本次投标报价仅作为招标项目评分表价格部分的评标。</w:t>
      </w:r>
    </w:p>
    <w:p>
      <w:pPr>
        <w:ind w:firstLine="422" w:firstLineChars="200"/>
        <w:rPr>
          <w:color w:val="auto"/>
          <w:highlight w:val="none"/>
          <w:u w:val="single"/>
        </w:rPr>
      </w:pPr>
      <w:r>
        <w:rPr>
          <w:rFonts w:hint="eastAsia"/>
          <w:b/>
          <w:color w:val="auto"/>
          <w:kern w:val="18"/>
          <w:szCs w:val="21"/>
          <w:highlight w:val="none"/>
        </w:rPr>
        <w:t>本工程监理服务酬金总额</w:t>
      </w:r>
      <w:r>
        <w:rPr>
          <w:b/>
          <w:color w:val="auto"/>
          <w:kern w:val="18"/>
          <w:szCs w:val="21"/>
          <w:highlight w:val="none"/>
        </w:rPr>
        <w:t>根据实际</w:t>
      </w:r>
      <w:r>
        <w:rPr>
          <w:rFonts w:hint="eastAsia"/>
          <w:b/>
          <w:color w:val="auto"/>
          <w:kern w:val="18"/>
          <w:szCs w:val="21"/>
          <w:highlight w:val="none"/>
        </w:rPr>
        <w:t>最终结算</w:t>
      </w:r>
      <w:r>
        <w:rPr>
          <w:rFonts w:hint="eastAsia"/>
          <w:b/>
          <w:color w:val="auto"/>
          <w:kern w:val="18"/>
          <w:szCs w:val="21"/>
          <w:highlight w:val="none"/>
          <w:lang w:val="en-US" w:eastAsia="zh-CN"/>
        </w:rPr>
        <w:t>工程建设费用</w:t>
      </w:r>
      <w:r>
        <w:rPr>
          <w:b/>
          <w:color w:val="auto"/>
          <w:kern w:val="18"/>
          <w:szCs w:val="21"/>
          <w:highlight w:val="none"/>
        </w:rPr>
        <w:t>及投标</w:t>
      </w:r>
      <w:r>
        <w:rPr>
          <w:rFonts w:hint="eastAsia"/>
          <w:b/>
          <w:color w:val="auto"/>
          <w:kern w:val="18"/>
          <w:szCs w:val="21"/>
          <w:highlight w:val="none"/>
          <w:lang w:val="en-US" w:eastAsia="zh-CN"/>
        </w:rPr>
        <w:t>费</w:t>
      </w:r>
      <w:r>
        <w:rPr>
          <w:b/>
          <w:color w:val="auto"/>
          <w:kern w:val="18"/>
          <w:szCs w:val="21"/>
          <w:highlight w:val="none"/>
        </w:rPr>
        <w:t>率重新核算。</w:t>
      </w:r>
      <w:r>
        <w:rPr>
          <w:rFonts w:hint="eastAsia"/>
          <w:b/>
          <w:color w:val="auto"/>
          <w:kern w:val="18"/>
          <w:szCs w:val="21"/>
          <w:highlight w:val="none"/>
        </w:rPr>
        <w:t>以最终结算的</w:t>
      </w:r>
      <w:r>
        <w:rPr>
          <w:rFonts w:hint="eastAsia"/>
          <w:b/>
          <w:color w:val="auto"/>
          <w:kern w:val="18"/>
          <w:szCs w:val="21"/>
          <w:highlight w:val="none"/>
          <w:lang w:val="en-US" w:eastAsia="zh-CN"/>
        </w:rPr>
        <w:t>工程建设费用</w:t>
      </w:r>
      <w:r>
        <w:rPr>
          <w:rFonts w:hint="eastAsia"/>
          <w:b/>
          <w:color w:val="auto"/>
          <w:kern w:val="18"/>
          <w:szCs w:val="21"/>
          <w:highlight w:val="none"/>
        </w:rPr>
        <w:t>作为监理酬金计费额</w:t>
      </w:r>
      <w:r>
        <w:rPr>
          <w:rFonts w:hint="eastAsia"/>
          <w:b/>
          <w:color w:val="auto"/>
          <w:kern w:val="18"/>
          <w:szCs w:val="21"/>
          <w:highlight w:val="none"/>
          <w:lang w:val="en-US" w:eastAsia="zh-CN"/>
        </w:rPr>
        <w:t>依据</w:t>
      </w:r>
      <w:r>
        <w:rPr>
          <w:rFonts w:hint="eastAsia"/>
          <w:b/>
          <w:color w:val="auto"/>
          <w:kern w:val="18"/>
          <w:szCs w:val="21"/>
          <w:highlight w:val="none"/>
        </w:rPr>
        <w:t>，但监理服务酬金结算价</w:t>
      </w:r>
      <w:r>
        <w:rPr>
          <w:rFonts w:hint="eastAsia"/>
          <w:b/>
          <w:color w:val="auto"/>
          <w:kern w:val="18"/>
          <w:szCs w:val="21"/>
          <w:highlight w:val="none"/>
          <w:lang w:val="en-US" w:eastAsia="zh-CN"/>
        </w:rPr>
        <w:t>总金额</w:t>
      </w:r>
      <w:r>
        <w:rPr>
          <w:rFonts w:hint="eastAsia"/>
          <w:b/>
          <w:color w:val="auto"/>
          <w:kern w:val="18"/>
          <w:szCs w:val="21"/>
          <w:highlight w:val="none"/>
        </w:rPr>
        <w:t>最高为</w:t>
      </w:r>
      <w:r>
        <w:rPr>
          <w:rFonts w:hint="eastAsia"/>
          <w:b/>
          <w:color w:val="FF0000"/>
          <w:kern w:val="18"/>
          <w:szCs w:val="21"/>
          <w:highlight w:val="none"/>
          <w:lang w:val="en-US" w:eastAsia="zh-CN"/>
        </w:rPr>
        <w:t>23.37</w:t>
      </w:r>
      <w:r>
        <w:rPr>
          <w:rFonts w:hint="eastAsia"/>
          <w:b/>
          <w:color w:val="auto"/>
          <w:kern w:val="18"/>
          <w:szCs w:val="21"/>
          <w:highlight w:val="none"/>
        </w:rPr>
        <w:t>万元。若监理服务酬金结算价</w:t>
      </w:r>
      <w:r>
        <w:rPr>
          <w:rFonts w:hint="eastAsia"/>
          <w:b/>
          <w:color w:val="auto"/>
          <w:kern w:val="18"/>
          <w:szCs w:val="21"/>
          <w:highlight w:val="none"/>
          <w:lang w:val="en-US" w:eastAsia="zh-CN"/>
        </w:rPr>
        <w:t>总金额</w:t>
      </w:r>
      <w:r>
        <w:rPr>
          <w:rFonts w:hint="eastAsia"/>
          <w:b/>
          <w:color w:val="auto"/>
          <w:kern w:val="18"/>
          <w:szCs w:val="21"/>
          <w:highlight w:val="none"/>
        </w:rPr>
        <w:t>超过</w:t>
      </w:r>
      <w:r>
        <w:rPr>
          <w:rFonts w:hint="eastAsia"/>
          <w:b/>
          <w:color w:val="FF0000"/>
          <w:kern w:val="18"/>
          <w:szCs w:val="21"/>
          <w:highlight w:val="none"/>
          <w:lang w:val="en-US" w:eastAsia="zh-CN"/>
        </w:rPr>
        <w:t>23.37</w:t>
      </w:r>
      <w:r>
        <w:rPr>
          <w:rFonts w:hint="eastAsia"/>
          <w:b/>
          <w:color w:val="auto"/>
          <w:kern w:val="18"/>
          <w:szCs w:val="21"/>
          <w:highlight w:val="none"/>
        </w:rPr>
        <w:t>万元，则最终监理服务酬金结算价</w:t>
      </w:r>
      <w:r>
        <w:rPr>
          <w:rFonts w:hint="eastAsia"/>
          <w:b/>
          <w:color w:val="auto"/>
          <w:kern w:val="18"/>
          <w:szCs w:val="21"/>
          <w:highlight w:val="none"/>
          <w:lang w:val="en-US" w:eastAsia="zh-CN"/>
        </w:rPr>
        <w:t>总金额</w:t>
      </w:r>
      <w:r>
        <w:rPr>
          <w:rFonts w:hint="eastAsia"/>
          <w:b/>
          <w:color w:val="auto"/>
          <w:kern w:val="18"/>
          <w:szCs w:val="21"/>
          <w:highlight w:val="none"/>
        </w:rPr>
        <w:t>为</w:t>
      </w:r>
      <w:r>
        <w:rPr>
          <w:rFonts w:hint="eastAsia"/>
          <w:b/>
          <w:color w:val="FF0000"/>
          <w:kern w:val="18"/>
          <w:szCs w:val="21"/>
          <w:highlight w:val="none"/>
          <w:lang w:val="en-US" w:eastAsia="zh-CN"/>
        </w:rPr>
        <w:t>23.37</w:t>
      </w:r>
      <w:r>
        <w:rPr>
          <w:rFonts w:hint="eastAsia"/>
          <w:b/>
          <w:color w:val="auto"/>
          <w:kern w:val="18"/>
          <w:szCs w:val="21"/>
          <w:highlight w:val="none"/>
        </w:rPr>
        <w:t>万元。</w:t>
      </w:r>
    </w:p>
    <w:p>
      <w:pPr>
        <w:ind w:firstLine="420"/>
        <w:jc w:val="left"/>
        <w:rPr>
          <w:rFonts w:ascii="宋体" w:hAnsi="宋体"/>
          <w:color w:val="auto"/>
          <w:highlight w:val="none"/>
        </w:rPr>
      </w:pPr>
    </w:p>
    <w:p>
      <w:pPr>
        <w:ind w:firstLine="420"/>
        <w:jc w:val="left"/>
        <w:rPr>
          <w:rFonts w:ascii="宋体" w:hAnsi="宋体"/>
          <w:color w:val="auto"/>
          <w:highlight w:val="none"/>
        </w:rPr>
      </w:pPr>
    </w:p>
    <w:p>
      <w:pPr>
        <w:pStyle w:val="24"/>
        <w:rPr>
          <w:color w:val="auto"/>
          <w:highlight w:val="none"/>
        </w:rPr>
      </w:pPr>
    </w:p>
    <w:p>
      <w:pPr>
        <w:ind w:firstLine="3150" w:firstLineChars="1500"/>
        <w:jc w:val="left"/>
        <w:rPr>
          <w:rFonts w:ascii="宋体" w:hAnsi="宋体"/>
          <w:color w:val="auto"/>
          <w:highlight w:val="none"/>
        </w:rPr>
      </w:pPr>
      <w:r>
        <w:rPr>
          <w:rFonts w:hint="eastAsia" w:ascii="宋体" w:hAnsi="宋体"/>
          <w:color w:val="auto"/>
          <w:highlight w:val="none"/>
        </w:rPr>
        <w:t>法定代表人或其授权委托人（</w:t>
      </w:r>
      <w:r>
        <w:rPr>
          <w:rFonts w:hint="eastAsia" w:ascii="宋体" w:hAnsi="宋体"/>
          <w:b/>
          <w:color w:val="auto"/>
          <w:highlight w:val="none"/>
        </w:rPr>
        <w:t>签名</w:t>
      </w:r>
      <w:r>
        <w:rPr>
          <w:rFonts w:hint="eastAsia" w:ascii="宋体" w:hAnsi="宋体"/>
          <w:color w:val="auto"/>
          <w:highlight w:val="none"/>
        </w:rPr>
        <w:t>）：</w:t>
      </w:r>
    </w:p>
    <w:p>
      <w:pPr>
        <w:jc w:val="left"/>
        <w:rPr>
          <w:rFonts w:ascii="宋体" w:hAnsi="宋体"/>
          <w:color w:val="auto"/>
          <w:highlight w:val="none"/>
        </w:rPr>
      </w:pPr>
    </w:p>
    <w:p>
      <w:pPr>
        <w:ind w:firstLine="3150" w:firstLineChars="1500"/>
        <w:jc w:val="left"/>
        <w:rPr>
          <w:rFonts w:ascii="宋体" w:hAnsi="宋体"/>
          <w:color w:val="auto"/>
          <w:highlight w:val="none"/>
        </w:rPr>
      </w:pPr>
      <w:r>
        <w:rPr>
          <w:rFonts w:hint="eastAsia" w:ascii="宋体" w:hAnsi="宋体"/>
          <w:color w:val="auto"/>
          <w:highlight w:val="none"/>
        </w:rPr>
        <w:t>投标单位（</w:t>
      </w:r>
      <w:r>
        <w:rPr>
          <w:rFonts w:hint="eastAsia" w:ascii="宋体" w:hAnsi="宋体"/>
          <w:b/>
          <w:color w:val="auto"/>
          <w:highlight w:val="none"/>
        </w:rPr>
        <w:t>盖公章</w:t>
      </w:r>
      <w:r>
        <w:rPr>
          <w:rFonts w:hint="eastAsia" w:ascii="宋体" w:hAnsi="宋体"/>
          <w:color w:val="auto"/>
          <w:highlight w:val="none"/>
        </w:rPr>
        <w:t>）：</w:t>
      </w:r>
    </w:p>
    <w:p>
      <w:pPr>
        <w:jc w:val="left"/>
        <w:rPr>
          <w:rFonts w:ascii="宋体" w:hAnsi="宋体"/>
          <w:color w:val="auto"/>
          <w:highlight w:val="none"/>
        </w:rPr>
      </w:pPr>
    </w:p>
    <w:p>
      <w:pPr>
        <w:jc w:val="right"/>
        <w:rPr>
          <w:rFonts w:ascii="宋体" w:hAnsi="宋体"/>
          <w:color w:val="auto"/>
          <w:highlight w:val="none"/>
        </w:rPr>
      </w:pPr>
      <w:r>
        <w:rPr>
          <w:rFonts w:hint="eastAsia" w:ascii="宋体" w:hAnsi="宋体"/>
          <w:color w:val="auto"/>
          <w:highlight w:val="none"/>
        </w:rPr>
        <w:t>日期：    年  月  日</w:t>
      </w:r>
    </w:p>
    <w:p>
      <w:pPr>
        <w:rPr>
          <w:color w:val="auto"/>
          <w:highlight w:val="none"/>
        </w:rPr>
      </w:pPr>
    </w:p>
    <w:p>
      <w:pPr>
        <w:rPr>
          <w:rFonts w:hint="eastAsia" w:ascii="仿宋" w:hAnsi="仿宋" w:eastAsia="仿宋"/>
          <w:color w:val="auto"/>
          <w:sz w:val="28"/>
          <w:szCs w:val="28"/>
          <w:highlight w:val="none"/>
        </w:rPr>
      </w:pPr>
      <w:bookmarkStart w:id="431" w:name="_Toc51746108"/>
      <w:bookmarkStart w:id="432" w:name="_Toc29022"/>
      <w:bookmarkStart w:id="433" w:name="_Toc10191"/>
      <w:bookmarkStart w:id="434" w:name="_Toc27126"/>
      <w:bookmarkStart w:id="435" w:name="_Toc29030"/>
      <w:bookmarkStart w:id="436" w:name="_Toc77523187"/>
    </w:p>
    <w:p>
      <w:pPr>
        <w:pStyle w:val="6"/>
        <w:tabs>
          <w:tab w:val="left" w:pos="426"/>
        </w:tabs>
        <w:spacing w:before="156" w:beforeLines="50" w:after="156" w:afterLines="50" w:line="360" w:lineRule="auto"/>
        <w:jc w:val="center"/>
        <w:rPr>
          <w:b w:val="0"/>
          <w:color w:val="auto"/>
          <w:highlight w:val="none"/>
        </w:rPr>
      </w:pPr>
      <w:r>
        <w:rPr>
          <w:rFonts w:hint="eastAsia" w:ascii="仿宋" w:hAnsi="仿宋" w:eastAsia="仿宋"/>
          <w:color w:val="auto"/>
          <w:sz w:val="28"/>
          <w:szCs w:val="28"/>
          <w:highlight w:val="none"/>
        </w:rPr>
        <w:br w:type="page"/>
      </w:r>
      <w:bookmarkStart w:id="437" w:name="_Toc480755930"/>
      <w:bookmarkStart w:id="438" w:name="_Toc192662843"/>
      <w:bookmarkStart w:id="439" w:name="_Toc480754209"/>
      <w:bookmarkStart w:id="440" w:name="_Toc25371"/>
      <w:bookmarkStart w:id="441" w:name="_Toc480789480"/>
      <w:bookmarkStart w:id="442" w:name="_Toc480756076"/>
      <w:bookmarkStart w:id="443" w:name="_Toc25997"/>
      <w:bookmarkStart w:id="444" w:name="_Toc24043"/>
      <w:bookmarkStart w:id="445" w:name="_Toc14780"/>
      <w:bookmarkStart w:id="446" w:name="_Toc275865611"/>
      <w:r>
        <w:rPr>
          <w:rFonts w:hint="eastAsia"/>
          <w:b w:val="0"/>
          <w:color w:val="auto"/>
          <w:highlight w:val="none"/>
        </w:rPr>
        <w:t>投标分项报价表</w:t>
      </w:r>
      <w:bookmarkEnd w:id="437"/>
      <w:bookmarkEnd w:id="438"/>
      <w:bookmarkEnd w:id="439"/>
      <w:bookmarkEnd w:id="440"/>
      <w:bookmarkEnd w:id="441"/>
      <w:bookmarkEnd w:id="442"/>
      <w:bookmarkEnd w:id="443"/>
      <w:bookmarkEnd w:id="444"/>
      <w:bookmarkEnd w:id="445"/>
      <w:bookmarkEnd w:id="446"/>
    </w:p>
    <w:p>
      <w:pPr>
        <w:tabs>
          <w:tab w:val="left" w:pos="426"/>
        </w:tabs>
        <w:wordWrap w:val="0"/>
        <w:rPr>
          <w:rFonts w:hint="eastAsia"/>
          <w:color w:val="auto"/>
          <w:highlight w:val="none"/>
        </w:rPr>
      </w:pPr>
    </w:p>
    <w:p>
      <w:pPr>
        <w:tabs>
          <w:tab w:val="left" w:pos="426"/>
        </w:tabs>
        <w:wordWrap w:val="0"/>
        <w:rPr>
          <w:rFonts w:hint="default" w:eastAsia="宋体"/>
          <w:color w:val="auto"/>
          <w:highlight w:val="none"/>
          <w:lang w:val="en-US" w:eastAsia="zh-CN"/>
        </w:rPr>
      </w:pPr>
      <w:r>
        <w:rPr>
          <w:rFonts w:hint="eastAsia"/>
          <w:color w:val="auto"/>
          <w:highlight w:val="none"/>
        </w:rPr>
        <w:t>投标人名称：                                     项目编号：</w:t>
      </w:r>
      <w:r>
        <w:rPr>
          <w:rFonts w:hint="eastAsia" w:ascii="ˎ̥" w:hAnsi="ˎ̥"/>
          <w:color w:val="auto"/>
          <w:sz w:val="18"/>
          <w:szCs w:val="18"/>
          <w:highlight w:val="none"/>
          <w:lang w:val="en-US" w:eastAsia="zh-CN"/>
        </w:rPr>
        <w:t xml:space="preserve">            </w:t>
      </w:r>
    </w:p>
    <w:p>
      <w:pPr>
        <w:tabs>
          <w:tab w:val="left" w:pos="426"/>
        </w:tabs>
        <w:jc w:val="center"/>
        <w:rPr>
          <w:rFonts w:hint="eastAsia"/>
          <w:b/>
          <w:color w:val="auto"/>
          <w:spacing w:val="4"/>
          <w:sz w:val="24"/>
          <w:highlight w:val="none"/>
        </w:rPr>
      </w:pPr>
    </w:p>
    <w:p>
      <w:pPr>
        <w:tabs>
          <w:tab w:val="left" w:pos="426"/>
        </w:tabs>
        <w:jc w:val="center"/>
        <w:rPr>
          <w:rFonts w:hint="eastAsia"/>
          <w:b/>
          <w:color w:val="auto"/>
          <w:spacing w:val="4"/>
          <w:sz w:val="24"/>
          <w:highlight w:val="none"/>
        </w:rPr>
      </w:pPr>
    </w:p>
    <w:p>
      <w:pPr>
        <w:tabs>
          <w:tab w:val="left" w:pos="426"/>
        </w:tabs>
        <w:jc w:val="center"/>
        <w:rPr>
          <w:rFonts w:hint="eastAsia"/>
          <w:b/>
          <w:color w:val="auto"/>
          <w:spacing w:val="4"/>
          <w:sz w:val="24"/>
          <w:highlight w:val="none"/>
        </w:rPr>
      </w:pPr>
    </w:p>
    <w:p>
      <w:pPr>
        <w:tabs>
          <w:tab w:val="left" w:pos="426"/>
        </w:tabs>
        <w:jc w:val="center"/>
        <w:rPr>
          <w:b/>
          <w:color w:val="auto"/>
          <w:spacing w:val="4"/>
          <w:sz w:val="24"/>
          <w:highlight w:val="none"/>
        </w:rPr>
      </w:pPr>
      <w:r>
        <w:rPr>
          <w:rFonts w:hint="eastAsia"/>
          <w:b/>
          <w:color w:val="auto"/>
          <w:spacing w:val="4"/>
          <w:sz w:val="24"/>
          <w:highlight w:val="none"/>
        </w:rPr>
        <w:t>（格式自定）</w:t>
      </w:r>
    </w:p>
    <w:p>
      <w:pPr>
        <w:tabs>
          <w:tab w:val="left" w:pos="426"/>
        </w:tabs>
        <w:spacing w:line="500" w:lineRule="exact"/>
        <w:rPr>
          <w:color w:val="auto"/>
          <w:spacing w:val="4"/>
          <w:highlight w:val="none"/>
        </w:rPr>
      </w:pPr>
    </w:p>
    <w:p>
      <w:pPr>
        <w:tabs>
          <w:tab w:val="left" w:pos="426"/>
        </w:tabs>
        <w:spacing w:line="500" w:lineRule="exact"/>
        <w:rPr>
          <w:color w:val="auto"/>
          <w:spacing w:val="4"/>
          <w:highlight w:val="none"/>
        </w:rPr>
      </w:pPr>
    </w:p>
    <w:p>
      <w:pPr>
        <w:tabs>
          <w:tab w:val="left" w:pos="426"/>
        </w:tabs>
        <w:spacing w:line="500" w:lineRule="exact"/>
        <w:rPr>
          <w:color w:val="auto"/>
          <w:spacing w:val="4"/>
          <w:highlight w:val="none"/>
        </w:rPr>
      </w:pPr>
    </w:p>
    <w:p>
      <w:pPr>
        <w:tabs>
          <w:tab w:val="left" w:pos="426"/>
        </w:tabs>
        <w:spacing w:line="500" w:lineRule="exact"/>
        <w:rPr>
          <w:color w:val="auto"/>
          <w:spacing w:val="4"/>
          <w:highlight w:val="none"/>
        </w:rPr>
      </w:pPr>
    </w:p>
    <w:p>
      <w:pPr>
        <w:tabs>
          <w:tab w:val="left" w:pos="426"/>
        </w:tabs>
        <w:spacing w:line="500" w:lineRule="exact"/>
        <w:rPr>
          <w:color w:val="auto"/>
          <w:spacing w:val="4"/>
          <w:highlight w:val="none"/>
        </w:rPr>
      </w:pPr>
    </w:p>
    <w:p>
      <w:pPr>
        <w:tabs>
          <w:tab w:val="left" w:pos="426"/>
        </w:tabs>
        <w:spacing w:line="500" w:lineRule="exact"/>
        <w:rPr>
          <w:color w:val="auto"/>
          <w:spacing w:val="4"/>
          <w:highlight w:val="none"/>
        </w:rPr>
      </w:pPr>
    </w:p>
    <w:p>
      <w:pPr>
        <w:tabs>
          <w:tab w:val="left" w:pos="426"/>
        </w:tabs>
        <w:spacing w:line="500" w:lineRule="exact"/>
        <w:rPr>
          <w:color w:val="auto"/>
          <w:spacing w:val="4"/>
          <w:highlight w:val="none"/>
        </w:rPr>
      </w:pPr>
    </w:p>
    <w:p>
      <w:pPr>
        <w:tabs>
          <w:tab w:val="left" w:pos="426"/>
        </w:tabs>
        <w:spacing w:line="500" w:lineRule="exact"/>
        <w:rPr>
          <w:color w:val="auto"/>
          <w:spacing w:val="4"/>
          <w:highlight w:val="none"/>
        </w:rPr>
      </w:pPr>
    </w:p>
    <w:p>
      <w:pPr>
        <w:tabs>
          <w:tab w:val="left" w:pos="426"/>
        </w:tabs>
        <w:spacing w:line="500" w:lineRule="exact"/>
        <w:rPr>
          <w:color w:val="auto"/>
          <w:spacing w:val="4"/>
          <w:highlight w:val="none"/>
        </w:rPr>
      </w:pPr>
    </w:p>
    <w:p>
      <w:pPr>
        <w:ind w:firstLine="3150" w:firstLineChars="1500"/>
        <w:jc w:val="left"/>
        <w:rPr>
          <w:rFonts w:ascii="宋体" w:hAnsi="宋体"/>
          <w:color w:val="auto"/>
          <w:highlight w:val="none"/>
        </w:rPr>
      </w:pPr>
      <w:r>
        <w:rPr>
          <w:rFonts w:hint="eastAsia" w:ascii="宋体" w:hAnsi="宋体"/>
          <w:color w:val="auto"/>
          <w:highlight w:val="none"/>
        </w:rPr>
        <w:t>法定代表人或其授权委托人（</w:t>
      </w:r>
      <w:r>
        <w:rPr>
          <w:rFonts w:hint="eastAsia" w:ascii="宋体" w:hAnsi="宋体"/>
          <w:b/>
          <w:color w:val="auto"/>
          <w:highlight w:val="none"/>
        </w:rPr>
        <w:t>签名</w:t>
      </w:r>
      <w:r>
        <w:rPr>
          <w:rFonts w:hint="eastAsia" w:ascii="宋体" w:hAnsi="宋体"/>
          <w:color w:val="auto"/>
          <w:highlight w:val="none"/>
        </w:rPr>
        <w:t>）：</w:t>
      </w:r>
    </w:p>
    <w:p>
      <w:pPr>
        <w:jc w:val="left"/>
        <w:rPr>
          <w:rFonts w:ascii="宋体" w:hAnsi="宋体"/>
          <w:color w:val="auto"/>
          <w:highlight w:val="none"/>
        </w:rPr>
      </w:pPr>
    </w:p>
    <w:p>
      <w:pPr>
        <w:ind w:firstLine="3150" w:firstLineChars="1500"/>
        <w:jc w:val="left"/>
        <w:rPr>
          <w:rFonts w:ascii="宋体" w:hAnsi="宋体"/>
          <w:color w:val="auto"/>
          <w:highlight w:val="none"/>
        </w:rPr>
      </w:pPr>
      <w:r>
        <w:rPr>
          <w:rFonts w:hint="eastAsia" w:ascii="宋体" w:hAnsi="宋体"/>
          <w:color w:val="auto"/>
          <w:highlight w:val="none"/>
        </w:rPr>
        <w:t>投标单位（</w:t>
      </w:r>
      <w:r>
        <w:rPr>
          <w:rFonts w:hint="eastAsia" w:ascii="宋体" w:hAnsi="宋体"/>
          <w:b/>
          <w:color w:val="auto"/>
          <w:highlight w:val="none"/>
        </w:rPr>
        <w:t>盖公章</w:t>
      </w:r>
      <w:r>
        <w:rPr>
          <w:rFonts w:hint="eastAsia" w:ascii="宋体" w:hAnsi="宋体"/>
          <w:color w:val="auto"/>
          <w:highlight w:val="none"/>
        </w:rPr>
        <w:t>）：</w:t>
      </w:r>
    </w:p>
    <w:p>
      <w:pPr>
        <w:jc w:val="left"/>
        <w:rPr>
          <w:rFonts w:ascii="宋体" w:hAnsi="宋体"/>
          <w:color w:val="auto"/>
          <w:highlight w:val="none"/>
        </w:rPr>
      </w:pPr>
    </w:p>
    <w:p>
      <w:pPr>
        <w:tabs>
          <w:tab w:val="left" w:pos="426"/>
        </w:tabs>
        <w:spacing w:line="400" w:lineRule="exact"/>
        <w:ind w:left="750" w:hanging="749" w:hangingChars="357"/>
        <w:rPr>
          <w:color w:val="auto"/>
          <w:highlight w:val="none"/>
        </w:rPr>
      </w:pPr>
      <w:r>
        <w:rPr>
          <w:rFonts w:hint="eastAsia"/>
          <w:color w:val="auto"/>
          <w:highlight w:val="none"/>
        </w:rPr>
        <w:t>注：</w:t>
      </w:r>
      <w:r>
        <w:rPr>
          <w:color w:val="auto"/>
          <w:highlight w:val="none"/>
        </w:rPr>
        <w:t>1.</w:t>
      </w:r>
      <w:r>
        <w:rPr>
          <w:rFonts w:hint="eastAsia"/>
          <w:color w:val="auto"/>
          <w:highlight w:val="none"/>
        </w:rPr>
        <w:t xml:space="preserve"> 此表为《开标一览表(报价表)》的报价明细表。</w:t>
      </w:r>
    </w:p>
    <w:p>
      <w:pPr>
        <w:tabs>
          <w:tab w:val="left" w:pos="426"/>
        </w:tabs>
        <w:spacing w:line="400" w:lineRule="exact"/>
        <w:ind w:left="749" w:leftChars="200" w:hanging="329" w:hangingChars="157"/>
        <w:rPr>
          <w:color w:val="auto"/>
          <w:highlight w:val="none"/>
        </w:rPr>
      </w:pPr>
      <w:r>
        <w:rPr>
          <w:rFonts w:hint="eastAsia"/>
          <w:color w:val="auto"/>
          <w:highlight w:val="none"/>
        </w:rPr>
        <w:t>2. 所有价格均以人民币作为货币单位填写及计算。</w:t>
      </w:r>
    </w:p>
    <w:p>
      <w:pPr>
        <w:tabs>
          <w:tab w:val="left" w:pos="426"/>
        </w:tabs>
        <w:spacing w:line="400" w:lineRule="exact"/>
        <w:ind w:left="539" w:leftChars="200" w:hanging="119" w:hangingChars="57"/>
        <w:rPr>
          <w:color w:val="auto"/>
          <w:highlight w:val="none"/>
        </w:rPr>
      </w:pPr>
      <w:r>
        <w:rPr>
          <w:rFonts w:hint="eastAsia"/>
          <w:color w:val="auto"/>
          <w:highlight w:val="none"/>
        </w:rPr>
        <w:t>3. 该表格式仅作参考，投标人的详细报价表格式可自定。</w:t>
      </w:r>
    </w:p>
    <w:p>
      <w:pPr>
        <w:widowControl w:val="0"/>
        <w:numPr>
          <w:ilvl w:val="0"/>
          <w:numId w:val="6"/>
        </w:numPr>
        <w:shd w:val="clear" w:color="auto" w:fill="auto"/>
        <w:tabs>
          <w:tab w:val="left" w:pos="426"/>
        </w:tabs>
        <w:adjustRightInd/>
        <w:snapToGrid/>
        <w:spacing w:line="440" w:lineRule="exact"/>
        <w:jc w:val="both"/>
        <w:rPr>
          <w:color w:val="auto"/>
          <w:spacing w:val="4"/>
          <w:highlight w:val="none"/>
        </w:rPr>
        <w:sectPr>
          <w:pgSz w:w="11906" w:h="16838"/>
          <w:pgMar w:top="1440" w:right="1286" w:bottom="1440" w:left="1440" w:header="851" w:footer="992" w:gutter="0"/>
          <w:cols w:space="720" w:num="1"/>
          <w:docGrid w:type="lines" w:linePitch="312" w:charSpace="0"/>
        </w:sectPr>
      </w:pPr>
    </w:p>
    <w:p>
      <w:pPr>
        <w:rPr>
          <w:rFonts w:hint="eastAsia" w:ascii="仿宋" w:hAnsi="仿宋" w:eastAsia="仿宋"/>
          <w:color w:val="auto"/>
          <w:sz w:val="28"/>
          <w:szCs w:val="28"/>
          <w:highlight w:val="none"/>
        </w:rPr>
      </w:pPr>
    </w:p>
    <w:p>
      <w:pPr>
        <w:pStyle w:val="24"/>
        <w:rPr>
          <w:rFonts w:hint="eastAsia"/>
          <w:color w:val="auto"/>
          <w:highlight w:val="none"/>
        </w:rPr>
      </w:pPr>
    </w:p>
    <w:p>
      <w:pPr>
        <w:jc w:val="center"/>
        <w:outlineLvl w:val="1"/>
        <w:rPr>
          <w:b/>
          <w:bCs/>
          <w:color w:val="auto"/>
          <w:sz w:val="30"/>
          <w:highlight w:val="none"/>
        </w:rPr>
      </w:pPr>
      <w:bookmarkStart w:id="447" w:name="_Toc22279"/>
      <w:bookmarkStart w:id="448" w:name="_Toc27594"/>
      <w:bookmarkStart w:id="449" w:name="_Toc2549"/>
      <w:bookmarkStart w:id="450" w:name="_Toc5096"/>
      <w:r>
        <w:rPr>
          <w:rFonts w:hint="eastAsia"/>
          <w:b/>
          <w:bCs/>
          <w:color w:val="auto"/>
          <w:sz w:val="30"/>
          <w:highlight w:val="none"/>
        </w:rPr>
        <w:t>（四）</w:t>
      </w:r>
      <w:bookmarkEnd w:id="431"/>
      <w:r>
        <w:rPr>
          <w:rFonts w:hint="eastAsia"/>
          <w:b/>
          <w:bCs/>
          <w:color w:val="auto"/>
          <w:sz w:val="30"/>
          <w:highlight w:val="none"/>
        </w:rPr>
        <w:t>公司主营业务介绍</w:t>
      </w:r>
      <w:bookmarkEnd w:id="432"/>
      <w:bookmarkEnd w:id="433"/>
      <w:bookmarkEnd w:id="434"/>
      <w:bookmarkEnd w:id="435"/>
      <w:bookmarkEnd w:id="436"/>
      <w:bookmarkEnd w:id="447"/>
      <w:bookmarkEnd w:id="448"/>
      <w:bookmarkEnd w:id="449"/>
      <w:bookmarkEnd w:id="450"/>
    </w:p>
    <w:p>
      <w:pPr>
        <w:spacing w:after="60"/>
        <w:rPr>
          <w:rFonts w:cs="Arial"/>
          <w:color w:val="auto"/>
          <w:highlight w:val="none"/>
        </w:rPr>
      </w:pPr>
    </w:p>
    <w:p>
      <w:pPr>
        <w:numPr>
          <w:ilvl w:val="0"/>
          <w:numId w:val="7"/>
        </w:numPr>
        <w:spacing w:after="78" w:afterLines="25" w:line="300" w:lineRule="auto"/>
        <w:outlineLvl w:val="2"/>
        <w:rPr>
          <w:rFonts w:cs="Arial"/>
          <w:color w:val="auto"/>
          <w:highlight w:val="none"/>
        </w:rPr>
      </w:pPr>
      <w:bookmarkStart w:id="451" w:name="_Toc1690"/>
      <w:r>
        <w:rPr>
          <w:rFonts w:hint="eastAsia" w:cs="Arial"/>
          <w:color w:val="auto"/>
          <w:highlight w:val="none"/>
        </w:rPr>
        <w:t>公司简介：</w:t>
      </w:r>
      <w:bookmarkEnd w:id="451"/>
    </w:p>
    <w:p>
      <w:pPr>
        <w:spacing w:after="60"/>
        <w:rPr>
          <w:rFonts w:cs="Arial"/>
          <w:color w:val="auto"/>
          <w:highlight w:val="none"/>
        </w:rPr>
      </w:pPr>
    </w:p>
    <w:p>
      <w:pPr>
        <w:numPr>
          <w:ilvl w:val="0"/>
          <w:numId w:val="7"/>
        </w:numPr>
        <w:spacing w:after="78" w:afterLines="25" w:line="300" w:lineRule="auto"/>
        <w:outlineLvl w:val="2"/>
        <w:rPr>
          <w:rFonts w:cs="Arial"/>
          <w:color w:val="auto"/>
          <w:highlight w:val="none"/>
        </w:rPr>
      </w:pPr>
      <w:bookmarkStart w:id="452" w:name="_Toc22720"/>
      <w:r>
        <w:rPr>
          <w:rFonts w:hint="eastAsia" w:cs="Arial"/>
          <w:color w:val="auto"/>
          <w:highlight w:val="none"/>
        </w:rPr>
        <w:t>人员状况：</w:t>
      </w:r>
      <w:bookmarkEnd w:id="452"/>
    </w:p>
    <w:p>
      <w:pPr>
        <w:spacing w:after="60"/>
        <w:rPr>
          <w:rFonts w:cs="Arial"/>
          <w:color w:val="auto"/>
          <w:highlight w:val="none"/>
        </w:rPr>
      </w:pPr>
    </w:p>
    <w:p>
      <w:pPr>
        <w:numPr>
          <w:ilvl w:val="0"/>
          <w:numId w:val="7"/>
        </w:numPr>
        <w:spacing w:after="78" w:afterLines="25" w:line="300" w:lineRule="auto"/>
        <w:outlineLvl w:val="2"/>
        <w:rPr>
          <w:rFonts w:cs="Arial"/>
          <w:color w:val="auto"/>
          <w:highlight w:val="none"/>
        </w:rPr>
      </w:pPr>
      <w:bookmarkStart w:id="453" w:name="_Toc30465"/>
      <w:r>
        <w:rPr>
          <w:rFonts w:hint="eastAsia" w:cs="Arial"/>
          <w:color w:val="auto"/>
          <w:highlight w:val="none"/>
        </w:rPr>
        <w:t>同类项目开发完成情况：</w:t>
      </w:r>
      <w:bookmarkEnd w:id="453"/>
    </w:p>
    <w:p>
      <w:pPr>
        <w:spacing w:after="60"/>
        <w:rPr>
          <w:rFonts w:cs="Arial"/>
          <w:color w:val="auto"/>
          <w:highlight w:val="none"/>
        </w:rPr>
      </w:pPr>
    </w:p>
    <w:p>
      <w:pPr>
        <w:numPr>
          <w:ilvl w:val="0"/>
          <w:numId w:val="7"/>
        </w:numPr>
        <w:spacing w:after="78" w:afterLines="25" w:line="300" w:lineRule="auto"/>
        <w:outlineLvl w:val="2"/>
        <w:rPr>
          <w:rFonts w:cs="Arial"/>
          <w:color w:val="auto"/>
          <w:highlight w:val="none"/>
        </w:rPr>
      </w:pPr>
      <w:bookmarkStart w:id="454" w:name="_Toc10452"/>
      <w:r>
        <w:rPr>
          <w:rFonts w:hint="eastAsia" w:cs="Arial"/>
          <w:color w:val="auto"/>
          <w:highlight w:val="none"/>
        </w:rPr>
        <w:t>财务状况：</w:t>
      </w:r>
      <w:bookmarkEnd w:id="454"/>
    </w:p>
    <w:p>
      <w:pPr>
        <w:spacing w:after="60"/>
        <w:rPr>
          <w:rFonts w:cs="Arial"/>
          <w:color w:val="auto"/>
          <w:highlight w:val="none"/>
        </w:rPr>
      </w:pPr>
    </w:p>
    <w:p>
      <w:pPr>
        <w:spacing w:after="60"/>
        <w:rPr>
          <w:rFonts w:cs="Arial"/>
          <w:color w:val="auto"/>
          <w:highlight w:val="none"/>
        </w:rPr>
      </w:pPr>
    </w:p>
    <w:p>
      <w:pPr>
        <w:spacing w:after="60"/>
        <w:rPr>
          <w:rFonts w:cs="Arial"/>
          <w:color w:val="auto"/>
          <w:highlight w:val="none"/>
        </w:rPr>
      </w:pPr>
    </w:p>
    <w:p>
      <w:pPr>
        <w:spacing w:after="60"/>
        <w:rPr>
          <w:rFonts w:cs="Arial"/>
          <w:color w:val="auto"/>
          <w:highlight w:val="none"/>
        </w:rPr>
      </w:pPr>
    </w:p>
    <w:p>
      <w:pPr>
        <w:spacing w:after="60"/>
        <w:rPr>
          <w:rFonts w:cs="Arial"/>
          <w:color w:val="auto"/>
          <w:highlight w:val="none"/>
        </w:rPr>
      </w:pPr>
    </w:p>
    <w:p>
      <w:pPr>
        <w:spacing w:after="60"/>
        <w:rPr>
          <w:rFonts w:cs="Arial"/>
          <w:color w:val="auto"/>
          <w:highlight w:val="none"/>
        </w:rPr>
      </w:pPr>
    </w:p>
    <w:p>
      <w:pPr>
        <w:spacing w:after="60"/>
        <w:rPr>
          <w:rFonts w:cs="Arial"/>
          <w:color w:val="auto"/>
          <w:highlight w:val="none"/>
        </w:rPr>
      </w:pPr>
    </w:p>
    <w:p>
      <w:pPr>
        <w:spacing w:after="60"/>
        <w:rPr>
          <w:rFonts w:cs="Arial"/>
          <w:color w:val="auto"/>
          <w:highlight w:val="none"/>
        </w:rPr>
      </w:pPr>
      <w:r>
        <w:rPr>
          <w:rFonts w:hint="eastAsia" w:cs="Arial"/>
          <w:color w:val="auto"/>
          <w:highlight w:val="none"/>
        </w:rPr>
        <w:t>投标人代表签字________________________</w:t>
      </w:r>
    </w:p>
    <w:p>
      <w:pPr>
        <w:spacing w:after="60"/>
        <w:rPr>
          <w:rFonts w:cs="Arial"/>
          <w:color w:val="auto"/>
          <w:highlight w:val="none"/>
        </w:rPr>
      </w:pPr>
    </w:p>
    <w:p>
      <w:pPr>
        <w:spacing w:after="60"/>
        <w:rPr>
          <w:rFonts w:cs="Arial"/>
          <w:color w:val="auto"/>
          <w:highlight w:val="none"/>
        </w:rPr>
      </w:pPr>
    </w:p>
    <w:p>
      <w:pPr>
        <w:rPr>
          <w:color w:val="auto"/>
          <w:sz w:val="32"/>
          <w:highlight w:val="none"/>
        </w:rPr>
      </w:pPr>
      <w:r>
        <w:rPr>
          <w:rFonts w:hint="eastAsia" w:cs="Arial"/>
          <w:color w:val="auto"/>
          <w:highlight w:val="none"/>
        </w:rPr>
        <w:t>投标单位盖章：________________________</w:t>
      </w:r>
    </w:p>
    <w:p>
      <w:pPr>
        <w:rPr>
          <w:color w:val="auto"/>
          <w:highlight w:val="none"/>
        </w:rPr>
      </w:pPr>
    </w:p>
    <w:p>
      <w:pPr>
        <w:ind w:left="2940"/>
        <w:rPr>
          <w:color w:val="auto"/>
          <w:highlight w:val="none"/>
        </w:rPr>
      </w:pPr>
    </w:p>
    <w:p>
      <w:pPr>
        <w:ind w:left="2940"/>
        <w:rPr>
          <w:color w:val="auto"/>
          <w:highlight w:val="none"/>
        </w:rPr>
      </w:pPr>
    </w:p>
    <w:p>
      <w:pPr>
        <w:ind w:left="2940"/>
        <w:rPr>
          <w:color w:val="auto"/>
          <w:highlight w:val="none"/>
        </w:rPr>
      </w:pPr>
    </w:p>
    <w:p>
      <w:pPr>
        <w:ind w:left="2940"/>
        <w:rPr>
          <w:color w:val="auto"/>
          <w:highlight w:val="none"/>
        </w:rPr>
      </w:pPr>
    </w:p>
    <w:p>
      <w:pPr>
        <w:ind w:left="2940"/>
        <w:rPr>
          <w:color w:val="auto"/>
          <w:highlight w:val="none"/>
        </w:rPr>
      </w:pPr>
    </w:p>
    <w:p>
      <w:pPr>
        <w:ind w:left="2940"/>
        <w:rPr>
          <w:color w:val="auto"/>
          <w:highlight w:val="none"/>
        </w:rPr>
      </w:pPr>
    </w:p>
    <w:p>
      <w:pPr>
        <w:ind w:left="2940"/>
        <w:rPr>
          <w:color w:val="auto"/>
          <w:highlight w:val="none"/>
        </w:rPr>
      </w:pPr>
    </w:p>
    <w:p>
      <w:pPr>
        <w:ind w:left="2940"/>
        <w:rPr>
          <w:color w:val="auto"/>
          <w:highlight w:val="none"/>
        </w:rPr>
      </w:pPr>
    </w:p>
    <w:p>
      <w:pPr>
        <w:ind w:left="2940"/>
        <w:rPr>
          <w:color w:val="auto"/>
          <w:highlight w:val="none"/>
        </w:rPr>
      </w:pPr>
    </w:p>
    <w:p>
      <w:pPr>
        <w:ind w:left="2940"/>
        <w:rPr>
          <w:color w:val="auto"/>
          <w:highlight w:val="none"/>
        </w:rPr>
      </w:pPr>
    </w:p>
    <w:p>
      <w:pPr>
        <w:rPr>
          <w:color w:val="auto"/>
          <w:highlight w:val="none"/>
        </w:rPr>
      </w:pPr>
      <w:r>
        <w:rPr>
          <w:color w:val="auto"/>
          <w:highlight w:val="none"/>
        </w:rPr>
        <w:br w:type="page"/>
      </w:r>
    </w:p>
    <w:p>
      <w:pPr>
        <w:jc w:val="center"/>
        <w:outlineLvl w:val="1"/>
        <w:rPr>
          <w:b/>
          <w:bCs/>
          <w:color w:val="auto"/>
          <w:sz w:val="30"/>
          <w:highlight w:val="none"/>
        </w:rPr>
      </w:pPr>
      <w:bookmarkStart w:id="455" w:name="_Toc77523188"/>
      <w:bookmarkStart w:id="456" w:name="_Toc19845"/>
      <w:bookmarkStart w:id="457" w:name="_Toc8656"/>
      <w:bookmarkStart w:id="458" w:name="_Toc51746109"/>
      <w:bookmarkStart w:id="459" w:name="_Toc10324"/>
      <w:bookmarkStart w:id="460" w:name="_Toc18227"/>
      <w:bookmarkStart w:id="461" w:name="_Toc3359"/>
      <w:bookmarkStart w:id="462" w:name="_Toc31173"/>
      <w:bookmarkStart w:id="463" w:name="_Toc24473"/>
      <w:bookmarkStart w:id="464" w:name="_Toc14280"/>
      <w:r>
        <w:rPr>
          <w:rFonts w:hint="eastAsia"/>
          <w:b/>
          <w:bCs/>
          <w:color w:val="auto"/>
          <w:sz w:val="30"/>
          <w:highlight w:val="none"/>
        </w:rPr>
        <w:t>（五）同类项目主要业绩一览表</w:t>
      </w:r>
      <w:bookmarkEnd w:id="455"/>
      <w:bookmarkEnd w:id="456"/>
      <w:bookmarkEnd w:id="457"/>
      <w:bookmarkEnd w:id="458"/>
      <w:bookmarkEnd w:id="459"/>
      <w:bookmarkEnd w:id="460"/>
      <w:bookmarkEnd w:id="461"/>
      <w:bookmarkEnd w:id="462"/>
      <w:bookmarkEnd w:id="463"/>
      <w:bookmarkEnd w:id="464"/>
    </w:p>
    <w:p>
      <w:pPr>
        <w:spacing w:after="60"/>
        <w:rPr>
          <w:rFonts w:ascii="宋体" w:hAnsi="宋体" w:cs="Arial"/>
          <w:color w:val="auto"/>
          <w:szCs w:val="21"/>
          <w:highlight w:val="none"/>
        </w:rPr>
      </w:pPr>
      <w:r>
        <w:rPr>
          <w:rFonts w:hint="eastAsia" w:ascii="宋体" w:hAnsi="宋体" w:cs="Arial"/>
          <w:color w:val="auto"/>
          <w:szCs w:val="21"/>
          <w:highlight w:val="none"/>
        </w:rPr>
        <w:t>投标人名称__________________</w:t>
      </w:r>
    </w:p>
    <w:p>
      <w:pPr>
        <w:spacing w:after="60"/>
        <w:rPr>
          <w:rFonts w:ascii="宋体" w:hAnsi="宋体" w:cs="Arial"/>
          <w:color w:val="auto"/>
          <w:szCs w:val="21"/>
          <w:highlight w:val="none"/>
        </w:rPr>
      </w:pPr>
      <w:r>
        <w:rPr>
          <w:rFonts w:hint="eastAsia" w:ascii="宋体" w:hAnsi="宋体" w:cs="Arial"/>
          <w:color w:val="auto"/>
          <w:szCs w:val="21"/>
          <w:highlight w:val="none"/>
        </w:rPr>
        <w:t>招标编号____________________</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2347"/>
        <w:gridCol w:w="1197"/>
        <w:gridCol w:w="1134"/>
        <w:gridCol w:w="1701"/>
        <w:gridCol w:w="12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698" w:type="dxa"/>
            <w:vAlign w:val="center"/>
          </w:tcPr>
          <w:p>
            <w:pPr>
              <w:keepNext w:val="0"/>
              <w:keepLines w:val="0"/>
              <w:suppressLineNumbers w:val="0"/>
              <w:spacing w:before="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序号</w:t>
            </w:r>
          </w:p>
        </w:tc>
        <w:tc>
          <w:tcPr>
            <w:tcW w:w="2347" w:type="dxa"/>
            <w:vAlign w:val="center"/>
          </w:tcPr>
          <w:p>
            <w:pPr>
              <w:keepNext w:val="0"/>
              <w:keepLines w:val="0"/>
              <w:suppressLineNumbers w:val="0"/>
              <w:spacing w:before="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项目名称</w:t>
            </w:r>
          </w:p>
        </w:tc>
        <w:tc>
          <w:tcPr>
            <w:tcW w:w="1197" w:type="dxa"/>
            <w:vAlign w:val="center"/>
          </w:tcPr>
          <w:p>
            <w:pPr>
              <w:keepNext w:val="0"/>
              <w:keepLines w:val="0"/>
              <w:suppressLineNumbers w:val="0"/>
              <w:spacing w:before="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项目单位</w:t>
            </w:r>
          </w:p>
        </w:tc>
        <w:tc>
          <w:tcPr>
            <w:tcW w:w="1134" w:type="dxa"/>
            <w:vAlign w:val="center"/>
          </w:tcPr>
          <w:p>
            <w:pPr>
              <w:keepNext w:val="0"/>
              <w:keepLines w:val="0"/>
              <w:suppressLineNumbers w:val="0"/>
              <w:spacing w:before="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实施时间</w:t>
            </w:r>
          </w:p>
        </w:tc>
        <w:tc>
          <w:tcPr>
            <w:tcW w:w="1701" w:type="dxa"/>
            <w:vAlign w:val="center"/>
          </w:tcPr>
          <w:p>
            <w:pPr>
              <w:keepNext w:val="0"/>
              <w:keepLines w:val="0"/>
              <w:suppressLineNumbers w:val="0"/>
              <w:spacing w:before="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规模（金额）</w:t>
            </w:r>
          </w:p>
        </w:tc>
        <w:tc>
          <w:tcPr>
            <w:tcW w:w="1206" w:type="dxa"/>
            <w:vAlign w:val="center"/>
          </w:tcPr>
          <w:p>
            <w:pPr>
              <w:keepNext w:val="0"/>
              <w:keepLines w:val="0"/>
              <w:suppressLineNumbers w:val="0"/>
              <w:spacing w:before="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698"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2347"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197"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134"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701"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206"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698"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2347"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197"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134"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701"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206"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698"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2347"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197"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134"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701"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206"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698"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2347"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197"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134"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701"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206"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698"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2347"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197"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134"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701"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206"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698"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2347"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197"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134"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701"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206"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698"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2347"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197"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134"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701"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206"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698"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2347"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197"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134"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701"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206"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698"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2347"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197"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134"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701"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206"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698"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2347"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197"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134"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701"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206"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r>
    </w:tbl>
    <w:p>
      <w:pPr>
        <w:spacing w:before="156" w:after="156"/>
        <w:jc w:val="left"/>
        <w:rPr>
          <w:color w:val="auto"/>
          <w:highlight w:val="none"/>
        </w:rPr>
      </w:pPr>
      <w:bookmarkStart w:id="465" w:name="_Toc39071643"/>
      <w:r>
        <w:rPr>
          <w:rFonts w:hint="eastAsia"/>
          <w:color w:val="auto"/>
          <w:highlight w:val="none"/>
        </w:rPr>
        <w:t>注：</w:t>
      </w:r>
      <w:r>
        <w:rPr>
          <w:rFonts w:hint="eastAsia"/>
          <w:color w:val="auto"/>
          <w:highlight w:val="none"/>
          <w:lang w:val="zh-CN"/>
        </w:rPr>
        <w:t>须同时提供合同关键页扫描件与中标通知书，原件备查</w:t>
      </w:r>
      <w:r>
        <w:rPr>
          <w:rFonts w:hint="eastAsia"/>
          <w:color w:val="auto"/>
          <w:highlight w:val="none"/>
          <w:lang w:eastAsia="zh-CN"/>
        </w:rPr>
        <w:t>，</w:t>
      </w:r>
      <w:r>
        <w:rPr>
          <w:rFonts w:hint="eastAsia" w:ascii="宋体" w:hAnsi="宋体" w:eastAsia="宋体" w:cs="宋体"/>
          <w:color w:val="auto"/>
          <w:sz w:val="21"/>
          <w:szCs w:val="21"/>
          <w:highlight w:val="none"/>
          <w:lang w:val="en-US" w:eastAsia="zh-CN"/>
        </w:rPr>
        <w:t>证明材料</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lang w:val="en-US" w:eastAsia="zh-CN"/>
        </w:rPr>
        <w:t>提供复印件加盖投标人公章</w:t>
      </w:r>
      <w:r>
        <w:rPr>
          <w:rFonts w:hint="eastAsia" w:ascii="宋体" w:hAnsi="宋体" w:cs="宋体"/>
          <w:color w:val="auto"/>
          <w:sz w:val="21"/>
          <w:szCs w:val="21"/>
          <w:highlight w:val="none"/>
          <w:lang w:val="en-US" w:eastAsia="zh-CN"/>
        </w:rPr>
        <w:t>。</w:t>
      </w:r>
      <w:bookmarkEnd w:id="465"/>
    </w:p>
    <w:p>
      <w:pPr>
        <w:spacing w:after="60"/>
        <w:rPr>
          <w:color w:val="auto"/>
          <w:highlight w:val="none"/>
        </w:rPr>
      </w:pPr>
    </w:p>
    <w:p>
      <w:pPr>
        <w:spacing w:after="60"/>
        <w:rPr>
          <w:rFonts w:cs="Arial"/>
          <w:color w:val="auto"/>
          <w:highlight w:val="none"/>
        </w:rPr>
      </w:pPr>
      <w:r>
        <w:rPr>
          <w:rFonts w:hint="eastAsia" w:cs="Arial"/>
          <w:color w:val="auto"/>
          <w:highlight w:val="none"/>
        </w:rPr>
        <w:t>投标人代表签字________________________</w:t>
      </w:r>
    </w:p>
    <w:p>
      <w:pPr>
        <w:spacing w:after="60"/>
        <w:rPr>
          <w:rFonts w:cs="Arial"/>
          <w:color w:val="auto"/>
          <w:highlight w:val="none"/>
        </w:rPr>
      </w:pPr>
    </w:p>
    <w:p>
      <w:pPr>
        <w:spacing w:after="60"/>
        <w:rPr>
          <w:rFonts w:cs="Arial"/>
          <w:color w:val="auto"/>
          <w:highlight w:val="none"/>
        </w:rPr>
      </w:pPr>
    </w:p>
    <w:p>
      <w:pPr>
        <w:spacing w:after="60"/>
        <w:rPr>
          <w:color w:val="auto"/>
          <w:highlight w:val="none"/>
        </w:rPr>
      </w:pPr>
      <w:r>
        <w:rPr>
          <w:rFonts w:hint="eastAsia" w:cs="Arial"/>
          <w:color w:val="auto"/>
          <w:highlight w:val="none"/>
        </w:rPr>
        <w:t>投标单位盖章：________________________</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left"/>
        <w:rPr>
          <w:color w:val="auto"/>
          <w:sz w:val="24"/>
          <w:highlight w:val="none"/>
        </w:rPr>
      </w:pPr>
    </w:p>
    <w:p>
      <w:pPr>
        <w:rPr>
          <w:b/>
          <w:bCs/>
          <w:color w:val="auto"/>
          <w:sz w:val="30"/>
          <w:highlight w:val="none"/>
        </w:rPr>
      </w:pPr>
      <w:r>
        <w:rPr>
          <w:rFonts w:hint="eastAsia"/>
          <w:b/>
          <w:bCs/>
          <w:color w:val="auto"/>
          <w:sz w:val="30"/>
          <w:highlight w:val="none"/>
        </w:rPr>
        <w:br w:type="page"/>
      </w:r>
    </w:p>
    <w:p>
      <w:pPr>
        <w:jc w:val="center"/>
        <w:outlineLvl w:val="1"/>
        <w:rPr>
          <w:b/>
          <w:bCs/>
          <w:color w:val="auto"/>
          <w:sz w:val="30"/>
          <w:highlight w:val="none"/>
        </w:rPr>
      </w:pPr>
      <w:bookmarkStart w:id="466" w:name="_Toc27327"/>
      <w:bookmarkStart w:id="467" w:name="_Toc77523189"/>
      <w:bookmarkStart w:id="468" w:name="_Toc51746110"/>
      <w:bookmarkStart w:id="469" w:name="_Toc22448"/>
      <w:bookmarkStart w:id="470" w:name="_Toc14736"/>
      <w:bookmarkStart w:id="471" w:name="_Toc2957"/>
      <w:bookmarkStart w:id="472" w:name="_Toc17859"/>
      <w:bookmarkStart w:id="473" w:name="_Toc20771"/>
      <w:bookmarkStart w:id="474" w:name="_Toc2567"/>
      <w:bookmarkStart w:id="475" w:name="_Toc31611"/>
      <w:r>
        <w:rPr>
          <w:rFonts w:hint="eastAsia"/>
          <w:b/>
          <w:bCs/>
          <w:color w:val="auto"/>
          <w:sz w:val="30"/>
          <w:highlight w:val="none"/>
        </w:rPr>
        <w:t>（六）项目负责人和团队人员情况表</w:t>
      </w:r>
      <w:bookmarkEnd w:id="466"/>
      <w:bookmarkEnd w:id="467"/>
      <w:bookmarkEnd w:id="468"/>
      <w:bookmarkEnd w:id="469"/>
      <w:bookmarkEnd w:id="470"/>
      <w:bookmarkEnd w:id="471"/>
      <w:bookmarkEnd w:id="472"/>
      <w:bookmarkEnd w:id="473"/>
      <w:bookmarkEnd w:id="474"/>
      <w:bookmarkEnd w:id="475"/>
    </w:p>
    <w:p>
      <w:pPr>
        <w:spacing w:after="60"/>
        <w:rPr>
          <w:rFonts w:ascii="宋体" w:hAnsi="宋体" w:cs="Arial"/>
          <w:color w:val="auto"/>
          <w:szCs w:val="21"/>
          <w:highlight w:val="none"/>
        </w:rPr>
      </w:pPr>
      <w:r>
        <w:rPr>
          <w:rFonts w:hint="eastAsia" w:ascii="宋体" w:hAnsi="宋体" w:cs="Arial"/>
          <w:color w:val="auto"/>
          <w:szCs w:val="21"/>
          <w:highlight w:val="none"/>
        </w:rPr>
        <w:t>投标人名称__________________</w:t>
      </w:r>
    </w:p>
    <w:p>
      <w:pPr>
        <w:spacing w:after="60"/>
        <w:rPr>
          <w:rFonts w:ascii="宋体" w:hAnsi="宋体" w:cs="Arial"/>
          <w:color w:val="auto"/>
          <w:szCs w:val="21"/>
          <w:highlight w:val="none"/>
        </w:rPr>
      </w:pPr>
      <w:r>
        <w:rPr>
          <w:rFonts w:hint="eastAsia" w:ascii="宋体" w:hAnsi="宋体" w:cs="Arial"/>
          <w:color w:val="auto"/>
          <w:szCs w:val="21"/>
          <w:highlight w:val="none"/>
        </w:rPr>
        <w:t>招标编号____________________</w:t>
      </w:r>
    </w:p>
    <w:p>
      <w:pPr>
        <w:spacing w:before="156" w:after="156"/>
        <w:rPr>
          <w:color w:val="auto"/>
          <w:highlight w:val="none"/>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8"/>
        <w:gridCol w:w="1800"/>
        <w:gridCol w:w="1260"/>
        <w:gridCol w:w="39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118" w:type="dxa"/>
          </w:tcPr>
          <w:p>
            <w:pPr>
              <w:keepNext w:val="0"/>
              <w:keepLines w:val="0"/>
              <w:suppressLineNumbers w:val="0"/>
              <w:spacing w:before="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姓名</w:t>
            </w:r>
          </w:p>
        </w:tc>
        <w:tc>
          <w:tcPr>
            <w:tcW w:w="1800" w:type="dxa"/>
          </w:tcPr>
          <w:p>
            <w:pPr>
              <w:keepNext w:val="0"/>
              <w:keepLines w:val="0"/>
              <w:suppressLineNumbers w:val="0"/>
              <w:spacing w:before="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部门和职务</w:t>
            </w:r>
          </w:p>
        </w:tc>
        <w:tc>
          <w:tcPr>
            <w:tcW w:w="1260" w:type="dxa"/>
          </w:tcPr>
          <w:p>
            <w:pPr>
              <w:keepNext w:val="0"/>
              <w:keepLines w:val="0"/>
              <w:suppressLineNumbers w:val="0"/>
              <w:tabs>
                <w:tab w:val="center" w:pos="522"/>
              </w:tabs>
              <w:spacing w:before="0" w:beforeAutospacing="0" w:after="60" w:afterAutospacing="0"/>
              <w:ind w:left="0" w:right="0"/>
              <w:rPr>
                <w:rFonts w:hint="default" w:ascii="宋体" w:hAnsi="宋体"/>
                <w:color w:val="auto"/>
                <w:szCs w:val="21"/>
                <w:highlight w:val="none"/>
              </w:rPr>
            </w:pPr>
            <w:r>
              <w:rPr>
                <w:rFonts w:hint="eastAsia" w:ascii="宋体" w:hAnsi="宋体"/>
                <w:color w:val="auto"/>
                <w:szCs w:val="21"/>
                <w:highlight w:val="none"/>
              </w:rPr>
              <w:tab/>
            </w:r>
            <w:r>
              <w:rPr>
                <w:rFonts w:hint="eastAsia" w:ascii="宋体" w:hAnsi="宋体"/>
                <w:color w:val="auto"/>
                <w:szCs w:val="21"/>
                <w:highlight w:val="none"/>
              </w:rPr>
              <w:t>职称</w:t>
            </w:r>
          </w:p>
        </w:tc>
        <w:tc>
          <w:tcPr>
            <w:tcW w:w="3976" w:type="dxa"/>
          </w:tcPr>
          <w:p>
            <w:pPr>
              <w:keepNext w:val="0"/>
              <w:keepLines w:val="0"/>
              <w:suppressLineNumbers w:val="0"/>
              <w:spacing w:before="0" w:beforeAutospacing="0" w:after="60" w:afterAutospacing="0"/>
              <w:ind w:left="0" w:right="0"/>
              <w:jc w:val="center"/>
              <w:rPr>
                <w:rFonts w:hint="default" w:ascii="宋体" w:hAnsi="宋体"/>
                <w:color w:val="auto"/>
                <w:szCs w:val="21"/>
                <w:highlight w:val="none"/>
              </w:rPr>
            </w:pPr>
            <w:r>
              <w:rPr>
                <w:rFonts w:hint="eastAsia" w:ascii="宋体" w:hAnsi="宋体"/>
                <w:color w:val="auto"/>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0" w:hRule="atLeast"/>
          <w:jc w:val="center"/>
        </w:trPr>
        <w:tc>
          <w:tcPr>
            <w:tcW w:w="1118"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800"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260"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3976"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0" w:hRule="atLeast"/>
          <w:jc w:val="center"/>
        </w:trPr>
        <w:tc>
          <w:tcPr>
            <w:tcW w:w="1118"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800"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260"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3976"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0" w:hRule="atLeast"/>
          <w:jc w:val="center"/>
        </w:trPr>
        <w:tc>
          <w:tcPr>
            <w:tcW w:w="1118"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800"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260"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3976"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0" w:hRule="atLeast"/>
          <w:jc w:val="center"/>
        </w:trPr>
        <w:tc>
          <w:tcPr>
            <w:tcW w:w="1118"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800"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260"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3976"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0" w:hRule="atLeast"/>
          <w:jc w:val="center"/>
        </w:trPr>
        <w:tc>
          <w:tcPr>
            <w:tcW w:w="1118"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800"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260"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3976"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0" w:hRule="atLeast"/>
          <w:jc w:val="center"/>
        </w:trPr>
        <w:tc>
          <w:tcPr>
            <w:tcW w:w="1118"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800"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260"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3976"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0" w:hRule="atLeast"/>
          <w:jc w:val="center"/>
        </w:trPr>
        <w:tc>
          <w:tcPr>
            <w:tcW w:w="1118"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800"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260"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3976"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20" w:hRule="atLeast"/>
          <w:jc w:val="center"/>
        </w:trPr>
        <w:tc>
          <w:tcPr>
            <w:tcW w:w="1118"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800"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1260"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c>
          <w:tcPr>
            <w:tcW w:w="3976" w:type="dxa"/>
          </w:tcPr>
          <w:p>
            <w:pPr>
              <w:keepNext w:val="0"/>
              <w:keepLines w:val="0"/>
              <w:suppressLineNumbers w:val="0"/>
              <w:spacing w:before="0" w:beforeAutospacing="0" w:after="60" w:afterAutospacing="0"/>
              <w:ind w:left="0" w:right="0"/>
              <w:rPr>
                <w:rFonts w:hint="default" w:ascii="宋体" w:hAnsi="宋体"/>
                <w:color w:val="auto"/>
                <w:szCs w:val="21"/>
                <w:highlight w:val="none"/>
              </w:rPr>
            </w:pPr>
          </w:p>
        </w:tc>
      </w:tr>
    </w:tbl>
    <w:p>
      <w:pPr>
        <w:spacing w:after="60"/>
        <w:rPr>
          <w:color w:val="auto"/>
          <w:highlight w:val="none"/>
        </w:rPr>
      </w:pPr>
    </w:p>
    <w:p>
      <w:pPr>
        <w:spacing w:after="60"/>
        <w:rPr>
          <w:color w:val="auto"/>
          <w:highlight w:val="none"/>
        </w:rPr>
      </w:pPr>
    </w:p>
    <w:p>
      <w:pPr>
        <w:spacing w:after="60"/>
        <w:rPr>
          <w:rFonts w:ascii="宋体" w:hAnsi="宋体" w:cs="Arial"/>
          <w:color w:val="auto"/>
          <w:szCs w:val="21"/>
          <w:highlight w:val="none"/>
        </w:rPr>
      </w:pPr>
      <w:r>
        <w:rPr>
          <w:rFonts w:hint="eastAsia" w:ascii="宋体" w:hAnsi="宋体" w:cs="Arial"/>
          <w:color w:val="auto"/>
          <w:szCs w:val="21"/>
          <w:highlight w:val="none"/>
        </w:rPr>
        <w:t>投标人代表签字________________________</w:t>
      </w:r>
    </w:p>
    <w:p>
      <w:pPr>
        <w:spacing w:after="60"/>
        <w:rPr>
          <w:rFonts w:ascii="宋体" w:hAnsi="宋体" w:cs="Arial"/>
          <w:color w:val="auto"/>
          <w:szCs w:val="21"/>
          <w:highlight w:val="none"/>
        </w:rPr>
      </w:pPr>
    </w:p>
    <w:p>
      <w:pPr>
        <w:spacing w:after="60"/>
        <w:rPr>
          <w:rFonts w:ascii="宋体" w:hAnsi="宋体" w:cs="Arial"/>
          <w:color w:val="auto"/>
          <w:szCs w:val="21"/>
          <w:highlight w:val="none"/>
        </w:rPr>
      </w:pPr>
    </w:p>
    <w:p>
      <w:pPr>
        <w:rPr>
          <w:color w:val="auto"/>
          <w:highlight w:val="none"/>
        </w:rPr>
      </w:pPr>
      <w:r>
        <w:rPr>
          <w:rFonts w:hint="eastAsia"/>
          <w:color w:val="auto"/>
          <w:highlight w:val="none"/>
        </w:rPr>
        <w:t>投标单位盖章：________________________</w:t>
      </w:r>
    </w:p>
    <w:p>
      <w:pPr>
        <w:ind w:firstLine="420" w:firstLineChars="200"/>
        <w:rPr>
          <w:color w:val="auto"/>
          <w:highlight w:val="none"/>
        </w:rPr>
      </w:pPr>
      <w:bookmarkStart w:id="476" w:name="_Toc11023"/>
      <w:bookmarkStart w:id="477" w:name="_Toc39071645"/>
      <w:bookmarkStart w:id="478" w:name="_Toc39072359"/>
      <w:bookmarkStart w:id="479" w:name="_Toc39077394"/>
      <w:bookmarkStart w:id="480" w:name="_Toc16666"/>
      <w:bookmarkStart w:id="481" w:name="_Toc39077236"/>
      <w:r>
        <w:rPr>
          <w:color w:val="auto"/>
          <w:highlight w:val="none"/>
        </w:rPr>
        <w:t>注：</w:t>
      </w:r>
    </w:p>
    <w:p>
      <w:pPr>
        <w:ind w:firstLine="420" w:firstLineChars="200"/>
        <w:rPr>
          <w:color w:val="auto"/>
          <w:highlight w:val="none"/>
        </w:rPr>
      </w:pPr>
      <w:r>
        <w:rPr>
          <w:color w:val="auto"/>
          <w:highlight w:val="none"/>
        </w:rPr>
        <w:t>1.项目负责人还应作特别说明；</w:t>
      </w:r>
      <w:bookmarkEnd w:id="476"/>
      <w:bookmarkEnd w:id="477"/>
      <w:bookmarkEnd w:id="478"/>
      <w:bookmarkEnd w:id="479"/>
      <w:bookmarkEnd w:id="480"/>
      <w:bookmarkEnd w:id="481"/>
    </w:p>
    <w:p>
      <w:pPr>
        <w:rPr>
          <w:rFonts w:ascii="宋体" w:hAnsi="宋体" w:cs="宋体"/>
          <w:color w:val="auto"/>
          <w:szCs w:val="18"/>
          <w:highlight w:val="none"/>
        </w:rPr>
      </w:pPr>
      <w:r>
        <w:rPr>
          <w:rFonts w:hint="eastAsia"/>
          <w:color w:val="auto"/>
          <w:highlight w:val="none"/>
        </w:rPr>
        <w:tab/>
      </w:r>
      <w:r>
        <w:rPr>
          <w:rFonts w:hint="eastAsia"/>
          <w:color w:val="auto"/>
          <w:highlight w:val="none"/>
        </w:rPr>
        <w:t>2.</w:t>
      </w:r>
      <w:r>
        <w:rPr>
          <w:rFonts w:hint="eastAsia" w:ascii="宋体" w:hAnsi="宋体" w:cs="宋体"/>
          <w:color w:val="auto"/>
          <w:szCs w:val="18"/>
          <w:highlight w:val="none"/>
        </w:rPr>
        <w:t>提供证书、经验证明材料等复印件，加盖投标人公章，原件备查。</w:t>
      </w:r>
    </w:p>
    <w:p>
      <w:pPr>
        <w:ind w:firstLine="420" w:firstLineChars="200"/>
        <w:rPr>
          <w:color w:val="auto"/>
          <w:highlight w:val="none"/>
        </w:rPr>
      </w:pPr>
      <w:r>
        <w:rPr>
          <w:color w:val="auto"/>
          <w:highlight w:val="none"/>
        </w:rPr>
        <w:t>3.</w:t>
      </w:r>
      <w:r>
        <w:rPr>
          <w:rFonts w:hint="eastAsia"/>
          <w:color w:val="auto"/>
          <w:highlight w:val="none"/>
        </w:rPr>
        <w:t>主要管理和技术人员须提供与本公司劳动合同关键页复印件（加盖公章）证明；</w:t>
      </w:r>
    </w:p>
    <w:p>
      <w:pPr>
        <w:rPr>
          <w:color w:val="auto"/>
          <w:highlight w:val="none"/>
        </w:rPr>
      </w:pPr>
      <w:r>
        <w:rPr>
          <w:rFonts w:hint="eastAsia"/>
          <w:color w:val="auto"/>
          <w:highlight w:val="none"/>
        </w:rPr>
        <w:t xml:space="preserve">    4.另附人员安排计划。</w:t>
      </w:r>
    </w:p>
    <w:p>
      <w:pPr>
        <w:rPr>
          <w:color w:val="auto"/>
          <w:highlight w:val="none"/>
        </w:rPr>
      </w:pPr>
      <w:r>
        <w:rPr>
          <w:rFonts w:hint="eastAsia"/>
          <w:color w:val="auto"/>
          <w:highlight w:val="none"/>
        </w:rPr>
        <w:br w:type="page"/>
      </w:r>
    </w:p>
    <w:p>
      <w:pPr>
        <w:spacing w:line="377" w:lineRule="auto"/>
        <w:jc w:val="center"/>
        <w:outlineLvl w:val="1"/>
        <w:rPr>
          <w:rFonts w:ascii="宋体" w:hAnsi="宋体" w:cs="宋体"/>
          <w:b/>
          <w:bCs/>
          <w:color w:val="auto"/>
          <w:sz w:val="30"/>
          <w:szCs w:val="30"/>
          <w:highlight w:val="none"/>
        </w:rPr>
      </w:pPr>
      <w:bookmarkStart w:id="482" w:name="_Toc24525"/>
      <w:bookmarkStart w:id="483" w:name="_Toc77523190"/>
      <w:bookmarkStart w:id="484" w:name="_Toc51746111"/>
      <w:bookmarkStart w:id="485" w:name="_Toc22146"/>
      <w:bookmarkStart w:id="486" w:name="_Toc30844"/>
      <w:bookmarkStart w:id="487" w:name="_Toc25224"/>
      <w:bookmarkStart w:id="488" w:name="_Toc3647"/>
      <w:bookmarkStart w:id="489" w:name="_Toc18455"/>
      <w:bookmarkStart w:id="490" w:name="_Toc20646"/>
      <w:bookmarkStart w:id="491" w:name="_Toc29102"/>
      <w:r>
        <w:rPr>
          <w:rFonts w:hint="eastAsia" w:ascii="宋体" w:hAnsi="宋体" w:cs="宋体"/>
          <w:b/>
          <w:bCs/>
          <w:color w:val="auto"/>
          <w:sz w:val="30"/>
          <w:szCs w:val="30"/>
          <w:highlight w:val="none"/>
        </w:rPr>
        <w:t>（七）实施方案</w:t>
      </w:r>
      <w:bookmarkEnd w:id="482"/>
      <w:bookmarkEnd w:id="483"/>
      <w:bookmarkEnd w:id="484"/>
      <w:bookmarkEnd w:id="485"/>
      <w:bookmarkEnd w:id="486"/>
      <w:bookmarkEnd w:id="487"/>
      <w:bookmarkEnd w:id="488"/>
      <w:bookmarkEnd w:id="489"/>
      <w:bookmarkEnd w:id="490"/>
      <w:bookmarkEnd w:id="491"/>
    </w:p>
    <w:p>
      <w:pPr>
        <w:spacing w:after="60"/>
        <w:rPr>
          <w:rFonts w:ascii="宋体" w:hAnsi="宋体" w:cs="Arial"/>
          <w:color w:val="auto"/>
          <w:szCs w:val="21"/>
          <w:highlight w:val="none"/>
        </w:rPr>
      </w:pPr>
      <w:r>
        <w:rPr>
          <w:rFonts w:hint="eastAsia" w:ascii="宋体" w:hAnsi="宋体" w:cs="Arial"/>
          <w:color w:val="auto"/>
          <w:szCs w:val="21"/>
          <w:highlight w:val="none"/>
        </w:rPr>
        <w:t>投标人名称__________________</w:t>
      </w:r>
    </w:p>
    <w:p>
      <w:pPr>
        <w:spacing w:after="60"/>
        <w:rPr>
          <w:rFonts w:ascii="宋体" w:hAnsi="宋体" w:cs="Arial"/>
          <w:color w:val="auto"/>
          <w:szCs w:val="21"/>
          <w:highlight w:val="none"/>
        </w:rPr>
      </w:pPr>
      <w:r>
        <w:rPr>
          <w:rFonts w:hint="eastAsia" w:ascii="宋体" w:hAnsi="宋体" w:cs="Arial"/>
          <w:color w:val="auto"/>
          <w:szCs w:val="21"/>
          <w:highlight w:val="none"/>
        </w:rPr>
        <w:t>招标编号____________________</w:t>
      </w:r>
    </w:p>
    <w:p>
      <w:pPr>
        <w:rPr>
          <w:color w:val="auto"/>
          <w:highlight w:val="none"/>
        </w:rPr>
      </w:pPr>
    </w:p>
    <w:p>
      <w:pPr>
        <w:rPr>
          <w:color w:val="auto"/>
          <w:highlight w:val="none"/>
        </w:rPr>
      </w:pPr>
      <w:r>
        <w:rPr>
          <w:rFonts w:hint="eastAsia"/>
          <w:color w:val="auto"/>
          <w:highlight w:val="none"/>
        </w:rPr>
        <w:t>主要内容应包括但不限于以下内容：</w:t>
      </w:r>
    </w:p>
    <w:p>
      <w:pPr>
        <w:rPr>
          <w:color w:val="auto"/>
          <w:highlight w:val="none"/>
        </w:rPr>
      </w:pPr>
      <w:r>
        <w:rPr>
          <w:color w:val="auto"/>
          <w:highlight w:val="none"/>
        </w:rPr>
        <w:br w:type="page"/>
      </w:r>
    </w:p>
    <w:p>
      <w:pPr>
        <w:jc w:val="center"/>
        <w:outlineLvl w:val="1"/>
        <w:rPr>
          <w:rFonts w:ascii="宋体" w:hAnsi="宋体" w:cs="宋体"/>
          <w:b/>
          <w:bCs/>
          <w:color w:val="auto"/>
          <w:sz w:val="30"/>
          <w:szCs w:val="30"/>
          <w:highlight w:val="none"/>
        </w:rPr>
      </w:pPr>
      <w:bookmarkStart w:id="492" w:name="_Toc32115"/>
      <w:bookmarkStart w:id="493" w:name="_Toc14196"/>
      <w:bookmarkStart w:id="494" w:name="_Toc18771"/>
      <w:bookmarkStart w:id="495" w:name="_Toc22412"/>
      <w:bookmarkStart w:id="496" w:name="_Toc21686"/>
      <w:bookmarkStart w:id="497" w:name="_Toc77523191"/>
      <w:bookmarkStart w:id="498" w:name="_Toc51746112"/>
      <w:bookmarkStart w:id="499" w:name="_Toc12550"/>
      <w:bookmarkStart w:id="500" w:name="_Toc8151"/>
      <w:bookmarkStart w:id="501" w:name="_Toc12073"/>
      <w:r>
        <w:rPr>
          <w:rFonts w:hint="eastAsia" w:ascii="宋体" w:hAnsi="宋体" w:cs="宋体"/>
          <w:b/>
          <w:bCs/>
          <w:color w:val="auto"/>
          <w:sz w:val="30"/>
          <w:szCs w:val="30"/>
          <w:highlight w:val="none"/>
        </w:rPr>
        <w:t>（八）投标人诚信承诺函</w:t>
      </w:r>
      <w:bookmarkEnd w:id="492"/>
      <w:bookmarkEnd w:id="493"/>
      <w:bookmarkEnd w:id="494"/>
      <w:bookmarkEnd w:id="495"/>
      <w:bookmarkEnd w:id="496"/>
      <w:bookmarkEnd w:id="497"/>
      <w:bookmarkEnd w:id="498"/>
      <w:bookmarkEnd w:id="499"/>
      <w:bookmarkEnd w:id="500"/>
      <w:bookmarkEnd w:id="501"/>
    </w:p>
    <w:p>
      <w:pPr>
        <w:spacing w:line="360" w:lineRule="auto"/>
        <w:jc w:val="left"/>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kern w:val="0"/>
          <w:szCs w:val="21"/>
          <w:highlight w:val="none"/>
        </w:rPr>
        <w:t>深圳市前海深港现代服务业合作区管理局：</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我单位承诺近三年在采购招标投标活动中，不存在以下情形：</w:t>
      </w:r>
    </w:p>
    <w:p>
      <w:pPr>
        <w:pStyle w:val="28"/>
        <w:tabs>
          <w:tab w:val="left" w:pos="567"/>
        </w:tabs>
        <w:spacing w:line="360" w:lineRule="auto"/>
        <w:ind w:left="420"/>
        <w:rPr>
          <w:b w:val="0"/>
          <w:color w:val="auto"/>
          <w:sz w:val="21"/>
          <w:szCs w:val="21"/>
          <w:highlight w:val="none"/>
        </w:rPr>
      </w:pPr>
      <w:r>
        <w:rPr>
          <w:rFonts w:hint="eastAsia"/>
          <w:b w:val="0"/>
          <w:color w:val="auto"/>
          <w:sz w:val="21"/>
          <w:szCs w:val="21"/>
          <w:highlight w:val="none"/>
        </w:rPr>
        <w:t>（一）被纪检监察部门立案调查，违法违规事实成立的；</w:t>
      </w:r>
    </w:p>
    <w:p>
      <w:pPr>
        <w:pStyle w:val="28"/>
        <w:tabs>
          <w:tab w:val="left" w:pos="567"/>
        </w:tabs>
        <w:spacing w:line="360" w:lineRule="auto"/>
        <w:ind w:left="420"/>
        <w:rPr>
          <w:b w:val="0"/>
          <w:color w:val="auto"/>
          <w:sz w:val="21"/>
          <w:szCs w:val="21"/>
          <w:highlight w:val="none"/>
        </w:rPr>
      </w:pPr>
      <w:r>
        <w:rPr>
          <w:rFonts w:hint="eastAsia"/>
          <w:b w:val="0"/>
          <w:color w:val="auto"/>
          <w:sz w:val="21"/>
          <w:szCs w:val="21"/>
          <w:highlight w:val="none"/>
        </w:rPr>
        <w:t>（二）未按本条例规定签订、履行采购合同，造成严重后果的；</w:t>
      </w:r>
    </w:p>
    <w:p>
      <w:pPr>
        <w:pStyle w:val="28"/>
        <w:tabs>
          <w:tab w:val="left" w:pos="567"/>
        </w:tabs>
        <w:spacing w:line="360" w:lineRule="auto"/>
        <w:ind w:left="420"/>
        <w:rPr>
          <w:b w:val="0"/>
          <w:color w:val="auto"/>
          <w:sz w:val="21"/>
          <w:szCs w:val="21"/>
          <w:highlight w:val="none"/>
        </w:rPr>
      </w:pPr>
      <w:r>
        <w:rPr>
          <w:rFonts w:hint="eastAsia"/>
          <w:b w:val="0"/>
          <w:color w:val="auto"/>
          <w:sz w:val="21"/>
          <w:szCs w:val="21"/>
          <w:highlight w:val="none"/>
        </w:rPr>
        <w:t>（三）隐瞒真实情况，提供虚假资料的；</w:t>
      </w:r>
    </w:p>
    <w:p>
      <w:pPr>
        <w:pStyle w:val="28"/>
        <w:tabs>
          <w:tab w:val="left" w:pos="567"/>
        </w:tabs>
        <w:spacing w:line="360" w:lineRule="auto"/>
        <w:ind w:left="420"/>
        <w:rPr>
          <w:b w:val="0"/>
          <w:color w:val="auto"/>
          <w:sz w:val="21"/>
          <w:szCs w:val="21"/>
          <w:highlight w:val="none"/>
        </w:rPr>
      </w:pPr>
      <w:r>
        <w:rPr>
          <w:rFonts w:hint="eastAsia"/>
          <w:b w:val="0"/>
          <w:color w:val="auto"/>
          <w:sz w:val="21"/>
          <w:szCs w:val="21"/>
          <w:highlight w:val="none"/>
        </w:rPr>
        <w:t>（四）以非法手段排斥其他供应商参与竞争的；</w:t>
      </w:r>
    </w:p>
    <w:p>
      <w:pPr>
        <w:pStyle w:val="28"/>
        <w:tabs>
          <w:tab w:val="left" w:pos="567"/>
        </w:tabs>
        <w:spacing w:line="360" w:lineRule="auto"/>
        <w:ind w:left="420"/>
        <w:rPr>
          <w:b w:val="0"/>
          <w:color w:val="auto"/>
          <w:sz w:val="21"/>
          <w:szCs w:val="21"/>
          <w:highlight w:val="none"/>
        </w:rPr>
      </w:pPr>
      <w:r>
        <w:rPr>
          <w:rFonts w:hint="eastAsia"/>
          <w:b w:val="0"/>
          <w:color w:val="auto"/>
          <w:sz w:val="21"/>
          <w:szCs w:val="21"/>
          <w:highlight w:val="none"/>
        </w:rPr>
        <w:t>（五）与其他采购参加人串通投标的；</w:t>
      </w:r>
    </w:p>
    <w:p>
      <w:pPr>
        <w:pStyle w:val="28"/>
        <w:tabs>
          <w:tab w:val="left" w:pos="567"/>
        </w:tabs>
        <w:spacing w:line="360" w:lineRule="auto"/>
        <w:ind w:left="420"/>
        <w:rPr>
          <w:b w:val="0"/>
          <w:color w:val="auto"/>
          <w:sz w:val="21"/>
          <w:szCs w:val="21"/>
          <w:highlight w:val="none"/>
        </w:rPr>
      </w:pPr>
      <w:r>
        <w:rPr>
          <w:rFonts w:hint="eastAsia"/>
          <w:b w:val="0"/>
          <w:color w:val="auto"/>
          <w:sz w:val="21"/>
          <w:szCs w:val="21"/>
          <w:highlight w:val="none"/>
        </w:rPr>
        <w:t xml:space="preserve">（六）在采购活动中应当回避而未回避的； </w:t>
      </w:r>
    </w:p>
    <w:p>
      <w:pPr>
        <w:pStyle w:val="28"/>
        <w:tabs>
          <w:tab w:val="left" w:pos="567"/>
        </w:tabs>
        <w:spacing w:line="360" w:lineRule="auto"/>
        <w:ind w:left="420"/>
        <w:rPr>
          <w:b w:val="0"/>
          <w:color w:val="auto"/>
          <w:sz w:val="21"/>
          <w:szCs w:val="21"/>
          <w:highlight w:val="none"/>
        </w:rPr>
      </w:pPr>
      <w:r>
        <w:rPr>
          <w:rFonts w:hint="eastAsia"/>
          <w:b w:val="0"/>
          <w:color w:val="auto"/>
          <w:sz w:val="21"/>
          <w:szCs w:val="21"/>
          <w:highlight w:val="none"/>
        </w:rPr>
        <w:t xml:space="preserve">（七）恶意投诉的； </w:t>
      </w:r>
    </w:p>
    <w:p>
      <w:pPr>
        <w:pStyle w:val="28"/>
        <w:tabs>
          <w:tab w:val="left" w:pos="567"/>
        </w:tabs>
        <w:spacing w:line="360" w:lineRule="auto"/>
        <w:ind w:left="420"/>
        <w:rPr>
          <w:b w:val="0"/>
          <w:color w:val="auto"/>
          <w:sz w:val="21"/>
          <w:szCs w:val="21"/>
          <w:highlight w:val="none"/>
        </w:rPr>
      </w:pPr>
      <w:r>
        <w:rPr>
          <w:rFonts w:hint="eastAsia"/>
          <w:b w:val="0"/>
          <w:color w:val="auto"/>
          <w:sz w:val="21"/>
          <w:szCs w:val="21"/>
          <w:highlight w:val="none"/>
        </w:rPr>
        <w:t xml:space="preserve">（八）向采购项目相关人行贿或者提供其他不当利益的； </w:t>
      </w:r>
    </w:p>
    <w:p>
      <w:pPr>
        <w:pStyle w:val="28"/>
        <w:tabs>
          <w:tab w:val="left" w:pos="567"/>
        </w:tabs>
        <w:spacing w:line="360" w:lineRule="auto"/>
        <w:ind w:left="420"/>
        <w:rPr>
          <w:b w:val="0"/>
          <w:color w:val="auto"/>
          <w:sz w:val="21"/>
          <w:szCs w:val="21"/>
          <w:highlight w:val="none"/>
        </w:rPr>
      </w:pPr>
      <w:r>
        <w:rPr>
          <w:rFonts w:hint="eastAsia"/>
          <w:b w:val="0"/>
          <w:color w:val="auto"/>
          <w:sz w:val="21"/>
          <w:szCs w:val="21"/>
          <w:highlight w:val="none"/>
        </w:rPr>
        <w:t>（九）阻碍、抗拒主管部门监督检查的；</w:t>
      </w:r>
    </w:p>
    <w:p>
      <w:pPr>
        <w:pStyle w:val="28"/>
        <w:tabs>
          <w:tab w:val="left" w:pos="567"/>
        </w:tabs>
        <w:spacing w:line="360" w:lineRule="auto"/>
        <w:ind w:left="420"/>
        <w:rPr>
          <w:b w:val="0"/>
          <w:color w:val="auto"/>
          <w:sz w:val="21"/>
          <w:szCs w:val="21"/>
          <w:highlight w:val="none"/>
        </w:rPr>
      </w:pPr>
      <w:r>
        <w:rPr>
          <w:rFonts w:hint="eastAsia"/>
          <w:b w:val="0"/>
          <w:color w:val="auto"/>
          <w:sz w:val="21"/>
          <w:szCs w:val="21"/>
          <w:highlight w:val="none"/>
        </w:rPr>
        <w:t>（十）履约检查不合格或者评价为差的；</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（十一）主管部门认定的其他情形。</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如我司存在以上情形，被有关主管部门按照《深圳经济特区政府采购条例》第57条处罚</w:t>
      </w:r>
      <w:r>
        <w:rPr>
          <w:rFonts w:hint="default" w:ascii="宋体" w:hAnsi="宋体"/>
          <w:color w:val="auto"/>
          <w:szCs w:val="21"/>
          <w:highlight w:val="none"/>
        </w:rPr>
        <w:t>或</w:t>
      </w:r>
      <w:r>
        <w:rPr>
          <w:rFonts w:hint="eastAsia" w:ascii="宋体" w:hAnsi="宋体"/>
          <w:color w:val="auto"/>
          <w:szCs w:val="21"/>
          <w:highlight w:val="none"/>
        </w:rPr>
        <w:t>者上述行为超出法定追诉时效未被追诉</w:t>
      </w:r>
      <w:r>
        <w:rPr>
          <w:rFonts w:hint="default" w:ascii="宋体" w:hAnsi="宋体"/>
          <w:color w:val="auto"/>
          <w:szCs w:val="21"/>
          <w:highlight w:val="none"/>
        </w:rPr>
        <w:t>或</w:t>
      </w:r>
      <w:r>
        <w:rPr>
          <w:rFonts w:hint="eastAsia" w:ascii="宋体" w:hAnsi="宋体"/>
          <w:color w:val="auto"/>
          <w:szCs w:val="21"/>
          <w:highlight w:val="none"/>
        </w:rPr>
        <w:t>者上述情节轻微未给予禁止参加政府采购的行政处罚，我司自愿承担虚假应标以及其他一切不利的法律后果。</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特此承诺。</w:t>
      </w:r>
    </w:p>
    <w:p>
      <w:pPr>
        <w:spacing w:line="360" w:lineRule="auto"/>
        <w:jc w:val="right"/>
        <w:rPr>
          <w:rFonts w:ascii="宋体" w:hAnsi="宋体"/>
          <w:color w:val="auto"/>
          <w:szCs w:val="21"/>
          <w:highlight w:val="none"/>
        </w:rPr>
      </w:pPr>
    </w:p>
    <w:p>
      <w:pPr>
        <w:spacing w:line="360" w:lineRule="auto"/>
        <w:jc w:val="right"/>
        <w:rPr>
          <w:rFonts w:ascii="宋体" w:hAnsi="宋体"/>
          <w:color w:val="auto"/>
          <w:szCs w:val="21"/>
          <w:highlight w:val="none"/>
        </w:rPr>
      </w:pPr>
    </w:p>
    <w:p>
      <w:pPr>
        <w:ind w:firstLine="3150" w:firstLineChars="1500"/>
        <w:jc w:val="left"/>
        <w:rPr>
          <w:color w:val="auto"/>
          <w:szCs w:val="21"/>
          <w:highlight w:val="none"/>
        </w:rPr>
      </w:pPr>
      <w:r>
        <w:rPr>
          <w:rFonts w:hint="eastAsia"/>
          <w:color w:val="auto"/>
          <w:szCs w:val="21"/>
          <w:highlight w:val="none"/>
        </w:rPr>
        <w:t>法定代表人或其授权委托人（</w:t>
      </w:r>
      <w:r>
        <w:rPr>
          <w:rFonts w:hint="eastAsia"/>
          <w:b/>
          <w:color w:val="auto"/>
          <w:szCs w:val="21"/>
          <w:highlight w:val="none"/>
        </w:rPr>
        <w:t>签名</w:t>
      </w:r>
      <w:r>
        <w:rPr>
          <w:rFonts w:hint="eastAsia"/>
          <w:color w:val="auto"/>
          <w:szCs w:val="21"/>
          <w:highlight w:val="none"/>
        </w:rPr>
        <w:t>）：</w:t>
      </w:r>
    </w:p>
    <w:p>
      <w:pPr>
        <w:jc w:val="left"/>
        <w:rPr>
          <w:color w:val="auto"/>
          <w:szCs w:val="21"/>
          <w:highlight w:val="none"/>
        </w:rPr>
      </w:pPr>
    </w:p>
    <w:p>
      <w:pPr>
        <w:ind w:firstLine="3150" w:firstLineChars="1500"/>
        <w:jc w:val="left"/>
        <w:rPr>
          <w:color w:val="auto"/>
          <w:szCs w:val="21"/>
          <w:highlight w:val="none"/>
        </w:rPr>
      </w:pPr>
      <w:r>
        <w:rPr>
          <w:rFonts w:hint="eastAsia"/>
          <w:color w:val="auto"/>
          <w:szCs w:val="21"/>
          <w:highlight w:val="none"/>
        </w:rPr>
        <w:t>投标单位（</w:t>
      </w:r>
      <w:r>
        <w:rPr>
          <w:rFonts w:hint="eastAsia"/>
          <w:b/>
          <w:color w:val="auto"/>
          <w:szCs w:val="21"/>
          <w:highlight w:val="none"/>
        </w:rPr>
        <w:t>盖公章</w:t>
      </w:r>
      <w:r>
        <w:rPr>
          <w:rFonts w:hint="eastAsia"/>
          <w:color w:val="auto"/>
          <w:szCs w:val="21"/>
          <w:highlight w:val="none"/>
        </w:rPr>
        <w:t>）：</w:t>
      </w:r>
    </w:p>
    <w:p>
      <w:pPr>
        <w:jc w:val="left"/>
        <w:rPr>
          <w:color w:val="auto"/>
          <w:szCs w:val="21"/>
          <w:highlight w:val="none"/>
        </w:rPr>
      </w:pPr>
    </w:p>
    <w:p>
      <w:pPr>
        <w:jc w:val="right"/>
        <w:rPr>
          <w:color w:val="auto"/>
          <w:szCs w:val="21"/>
          <w:highlight w:val="none"/>
        </w:rPr>
      </w:pPr>
      <w:r>
        <w:rPr>
          <w:rFonts w:hint="eastAsia"/>
          <w:color w:val="auto"/>
          <w:szCs w:val="21"/>
          <w:highlight w:val="none"/>
        </w:rPr>
        <w:t>日期：年月日</w:t>
      </w:r>
    </w:p>
    <w:p>
      <w:pPr>
        <w:rPr>
          <w:color w:val="auto"/>
          <w:szCs w:val="21"/>
          <w:highlight w:val="none"/>
        </w:rPr>
      </w:pPr>
      <w:r>
        <w:rPr>
          <w:rFonts w:hint="eastAsia"/>
          <w:color w:val="auto"/>
          <w:szCs w:val="21"/>
          <w:highlight w:val="none"/>
        </w:rPr>
        <w:br w:type="page"/>
      </w:r>
    </w:p>
    <w:p>
      <w:pPr>
        <w:jc w:val="right"/>
        <w:rPr>
          <w:color w:val="auto"/>
          <w:szCs w:val="21"/>
          <w:highlight w:val="none"/>
        </w:rPr>
      </w:pPr>
    </w:p>
    <w:p>
      <w:pPr>
        <w:jc w:val="center"/>
        <w:outlineLvl w:val="1"/>
        <w:rPr>
          <w:rFonts w:ascii="宋体" w:hAnsi="宋体" w:cs="宋体"/>
          <w:b/>
          <w:bCs/>
          <w:color w:val="auto"/>
          <w:sz w:val="30"/>
          <w:szCs w:val="30"/>
          <w:highlight w:val="none"/>
        </w:rPr>
      </w:pPr>
      <w:bookmarkStart w:id="502" w:name="_Toc1823"/>
      <w:bookmarkStart w:id="503" w:name="_Toc14115"/>
      <w:bookmarkStart w:id="504" w:name="_Toc26406"/>
      <w:bookmarkStart w:id="505" w:name="_Toc20828"/>
      <w:bookmarkStart w:id="506" w:name="_Toc6652"/>
      <w:bookmarkStart w:id="507" w:name="_Toc27238"/>
      <w:bookmarkStart w:id="508" w:name="_Toc7082"/>
      <w:bookmarkStart w:id="509" w:name="_Toc23843"/>
      <w:bookmarkStart w:id="510" w:name="_Toc77523192"/>
      <w:bookmarkStart w:id="511" w:name="_Toc51746113"/>
      <w:r>
        <w:rPr>
          <w:rFonts w:hint="eastAsia" w:ascii="宋体" w:hAnsi="宋体" w:cs="宋体"/>
          <w:b/>
          <w:bCs/>
          <w:color w:val="auto"/>
          <w:sz w:val="30"/>
          <w:szCs w:val="30"/>
          <w:highlight w:val="none"/>
        </w:rPr>
        <w:t>（九）用户需求响应表</w:t>
      </w:r>
      <w:bookmarkEnd w:id="502"/>
      <w:bookmarkEnd w:id="503"/>
      <w:bookmarkEnd w:id="504"/>
      <w:bookmarkEnd w:id="505"/>
      <w:bookmarkEnd w:id="506"/>
      <w:bookmarkEnd w:id="507"/>
      <w:bookmarkEnd w:id="508"/>
      <w:bookmarkEnd w:id="509"/>
      <w:bookmarkEnd w:id="510"/>
      <w:bookmarkEnd w:id="511"/>
    </w:p>
    <w:p>
      <w:pPr>
        <w:rPr>
          <w:color w:val="auto"/>
          <w:highlight w:val="none"/>
        </w:rPr>
      </w:pPr>
      <w:r>
        <w:rPr>
          <w:rFonts w:hint="eastAsia"/>
          <w:color w:val="auto"/>
          <w:highlight w:val="none"/>
        </w:rPr>
        <w:t>投标人应按照招标文件要求，根据“用户需求书”内容作出全面响应（按第五章货物或服务要求和商务条件逐条响应，包括技术和商务的所有内容）。对必须满足的内容，必须完全满足。对响应有差异的，则说明差异的内容。</w:t>
      </w:r>
    </w:p>
    <w:p>
      <w:pPr>
        <w:rPr>
          <w:color w:val="auto"/>
          <w:highlight w:val="none"/>
        </w:rPr>
      </w:pPr>
    </w:p>
    <w:p>
      <w:pPr>
        <w:pStyle w:val="29"/>
        <w:outlineLvl w:val="1"/>
        <w:rPr>
          <w:rFonts w:hAnsi="宋体" w:cs="宋体"/>
          <w:color w:val="auto"/>
          <w:highlight w:val="none"/>
        </w:rPr>
      </w:pPr>
      <w:bookmarkStart w:id="512" w:name="_Toc31896"/>
      <w:r>
        <w:rPr>
          <w:rFonts w:hint="eastAsia" w:hAnsi="宋体" w:cs="宋体"/>
          <w:color w:val="auto"/>
          <w:highlight w:val="none"/>
        </w:rPr>
        <w:t>用户需求响应表</w:t>
      </w:r>
      <w:bookmarkEnd w:id="512"/>
    </w:p>
    <w:p>
      <w:pPr>
        <w:rPr>
          <w:rFonts w:ascii="宋体" w:hAnsi="宋体" w:cs="宋体"/>
          <w:color w:val="auto"/>
          <w:highlight w:val="none"/>
        </w:rPr>
      </w:pPr>
      <w:r>
        <w:rPr>
          <w:rFonts w:hint="eastAsia" w:ascii="宋体" w:hAnsi="宋体" w:cs="宋体"/>
          <w:bCs/>
          <w:color w:val="auto"/>
          <w:highlight w:val="none"/>
        </w:rPr>
        <w:t>招标编号：</w:t>
      </w:r>
    </w:p>
    <w:p>
      <w:pPr>
        <w:spacing w:line="360" w:lineRule="auto"/>
        <w:ind w:left="618" w:hanging="618"/>
        <w:rPr>
          <w:rFonts w:ascii="宋体" w:hAnsi="宋体" w:cs="宋体"/>
          <w:bCs/>
          <w:color w:val="auto"/>
          <w:highlight w:val="none"/>
        </w:rPr>
      </w:pPr>
      <w:r>
        <w:rPr>
          <w:rFonts w:hint="eastAsia" w:ascii="宋体" w:hAnsi="宋体" w:cs="宋体"/>
          <w:color w:val="auto"/>
          <w:highlight w:val="none"/>
        </w:rPr>
        <w:t>[说明]投标人应对照招标文件要求与投标的实际情况对招标文件中“用户需求书”的条款内容作全面响应</w:t>
      </w:r>
      <w:r>
        <w:rPr>
          <w:rFonts w:hint="eastAsia" w:ascii="宋体" w:hAnsi="宋体" w:cs="宋体"/>
          <w:b/>
          <w:bCs/>
          <w:color w:val="auto"/>
          <w:highlight w:val="none"/>
        </w:rPr>
        <w:t>（按第五章技术要求和商务要求逐条响应，包括技术和商务的所有内容）</w:t>
      </w:r>
      <w:r>
        <w:rPr>
          <w:rFonts w:hint="eastAsia" w:ascii="宋体" w:hAnsi="宋体" w:cs="宋体"/>
          <w:color w:val="auto"/>
          <w:highlight w:val="none"/>
        </w:rPr>
        <w:t>。</w:t>
      </w:r>
    </w:p>
    <w:tbl>
      <w:tblPr>
        <w:tblStyle w:val="19"/>
        <w:tblW w:w="90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2"/>
        <w:gridCol w:w="5563"/>
        <w:gridCol w:w="1581"/>
        <w:gridCol w:w="12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29" w:hRule="atLeast"/>
          <w:jc w:val="center"/>
        </w:trPr>
        <w:tc>
          <w:tcPr>
            <w:tcW w:w="582" w:type="dxa"/>
            <w:shd w:val="clear" w:color="auto" w:fill="EEECE1"/>
            <w:vAlign w:val="center"/>
          </w:tcPr>
          <w:p>
            <w:pPr>
              <w:keepNext w:val="0"/>
              <w:keepLines w:val="0"/>
              <w:suppressLineNumbers w:val="0"/>
              <w:spacing w:before="0" w:beforeLines="0" w:beforeAutospacing="0" w:after="0" w:afterLines="0" w:afterAutospacing="0" w:line="240" w:lineRule="auto"/>
              <w:ind w:left="0" w:leftChars="0" w:right="0" w:rightChars="0" w:firstLine="0" w:firstLineChars="0"/>
              <w:jc w:val="center"/>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5563" w:type="dxa"/>
            <w:shd w:val="clear" w:color="auto" w:fill="EEECE1"/>
            <w:vAlign w:val="center"/>
          </w:tcPr>
          <w:p>
            <w:pPr>
              <w:keepNext w:val="0"/>
              <w:keepLines w:val="0"/>
              <w:suppressLineNumbers w:val="0"/>
              <w:spacing w:before="0" w:beforeLines="0" w:beforeAutospacing="0" w:after="0" w:afterLines="0" w:afterAutospacing="0"/>
              <w:ind w:left="0" w:right="0" w:firstLine="0" w:firstLineChars="0"/>
              <w:jc w:val="center"/>
              <w:rPr>
                <w:rFonts w:hint="default" w:ascii="宋体" w:hAnsi="宋体" w:cs="宋体"/>
                <w:color w:val="auto"/>
                <w:highlight w:val="none"/>
              </w:rPr>
            </w:pPr>
            <w:r>
              <w:rPr>
                <w:rFonts w:hint="eastAsia" w:ascii="宋体" w:hAnsi="宋体" w:cs="宋体"/>
                <w:color w:val="auto"/>
                <w:highlight w:val="none"/>
              </w:rPr>
              <w:t>招标文件条款描述</w:t>
            </w:r>
          </w:p>
        </w:tc>
        <w:tc>
          <w:tcPr>
            <w:tcW w:w="1581" w:type="dxa"/>
            <w:shd w:val="clear" w:color="auto" w:fill="EEECE1"/>
            <w:vAlign w:val="center"/>
          </w:tcPr>
          <w:p>
            <w:pPr>
              <w:keepNext w:val="0"/>
              <w:keepLines w:val="0"/>
              <w:suppressLineNumbers w:val="0"/>
              <w:spacing w:before="0" w:beforeLines="0" w:beforeAutospacing="0" w:after="0" w:afterLines="0" w:afterAutospacing="0"/>
              <w:ind w:left="0" w:right="0" w:firstLine="0" w:firstLineChars="0"/>
              <w:jc w:val="center"/>
              <w:rPr>
                <w:rFonts w:hint="default" w:ascii="宋体" w:hAnsi="宋体" w:cs="宋体"/>
                <w:color w:val="auto"/>
                <w:highlight w:val="none"/>
              </w:rPr>
            </w:pPr>
            <w:r>
              <w:rPr>
                <w:rFonts w:hint="eastAsia" w:ascii="宋体" w:hAnsi="宋体" w:cs="宋体"/>
                <w:color w:val="auto"/>
                <w:highlight w:val="none"/>
              </w:rPr>
              <w:t>投标人响应描述</w:t>
            </w:r>
          </w:p>
        </w:tc>
        <w:tc>
          <w:tcPr>
            <w:tcW w:w="1289" w:type="dxa"/>
            <w:shd w:val="clear" w:color="auto" w:fill="EEECE1"/>
            <w:vAlign w:val="center"/>
          </w:tcPr>
          <w:p>
            <w:pPr>
              <w:keepNext w:val="0"/>
              <w:keepLines w:val="0"/>
              <w:suppressLineNumbers w:val="0"/>
              <w:spacing w:before="0" w:beforeLines="0" w:beforeAutospacing="0" w:after="0" w:afterLines="0" w:afterAutospacing="0"/>
              <w:ind w:left="0" w:right="0" w:firstLine="0" w:firstLineChars="0"/>
              <w:jc w:val="center"/>
              <w:rPr>
                <w:rFonts w:hint="default" w:ascii="宋体" w:hAnsi="宋体" w:cs="宋体"/>
                <w:color w:val="auto"/>
                <w:highlight w:val="none"/>
              </w:rPr>
            </w:pPr>
            <w:r>
              <w:rPr>
                <w:rFonts w:hint="eastAsia" w:ascii="宋体" w:hAnsi="宋体" w:cs="宋体"/>
                <w:color w:val="auto"/>
                <w:highlight w:val="none"/>
              </w:rPr>
              <w:t>偏离情况说明</w:t>
            </w:r>
          </w:p>
          <w:p>
            <w:pPr>
              <w:keepNext w:val="0"/>
              <w:keepLines w:val="0"/>
              <w:suppressLineNumbers w:val="0"/>
              <w:spacing w:before="0" w:beforeLines="0" w:beforeAutospacing="0" w:after="0" w:afterLines="0" w:afterAutospacing="0"/>
              <w:ind w:left="0" w:right="0" w:firstLine="0" w:firstLineChars="0"/>
              <w:jc w:val="center"/>
              <w:rPr>
                <w:rFonts w:hint="default"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6" w:hRule="atLeast"/>
          <w:jc w:val="center"/>
        </w:trPr>
        <w:tc>
          <w:tcPr>
            <w:tcW w:w="582" w:type="dxa"/>
            <w:vAlign w:val="center"/>
          </w:tcPr>
          <w:p>
            <w:pPr>
              <w:keepNext w:val="0"/>
              <w:keepLines w:val="0"/>
              <w:numPr>
                <w:ilvl w:val="0"/>
                <w:numId w:val="8"/>
              </w:numPr>
              <w:suppressLineNumbers w:val="0"/>
              <w:spacing w:before="0" w:beforeLines="0" w:beforeAutospacing="0" w:after="0" w:afterLines="0" w:afterAutospacing="0" w:line="240" w:lineRule="auto"/>
              <w:ind w:right="0" w:firstLine="0" w:firstLineChars="0"/>
              <w:jc w:val="center"/>
              <w:rPr>
                <w:rFonts w:hint="default" w:ascii="宋体" w:hAnsi="宋体" w:cs="宋体"/>
                <w:color w:val="auto"/>
                <w:szCs w:val="21"/>
                <w:highlight w:val="none"/>
              </w:rPr>
            </w:pPr>
          </w:p>
        </w:tc>
        <w:tc>
          <w:tcPr>
            <w:tcW w:w="5563" w:type="dxa"/>
            <w:vAlign w:val="center"/>
          </w:tcPr>
          <w:p>
            <w:pPr>
              <w:keepNext w:val="0"/>
              <w:keepLines w:val="0"/>
              <w:suppressLineNumbers w:val="0"/>
              <w:spacing w:before="0" w:beforeLines="0" w:beforeAutospacing="0" w:after="0" w:afterLines="0" w:afterAutospacing="0" w:line="240" w:lineRule="auto"/>
              <w:ind w:left="0" w:right="0" w:firstLine="420" w:firstLineChars="200"/>
              <w:jc w:val="both"/>
              <w:outlineLvl w:val="9"/>
              <w:rPr>
                <w:rFonts w:hint="eastAsia" w:ascii="黑体" w:hAnsi="宋体" w:eastAsia="黑体"/>
                <w:bCs w:val="0"/>
                <w:color w:val="auto"/>
                <w:kern w:val="0"/>
                <w:highlight w:val="none"/>
                <w:u w:val="none"/>
                <w:lang w:eastAsia="zh-CN"/>
              </w:rPr>
            </w:pPr>
            <w:r>
              <w:rPr>
                <w:rFonts w:hint="eastAsia" w:ascii="黑体" w:hAnsi="宋体"/>
                <w:bCs w:val="0"/>
                <w:color w:val="auto"/>
                <w:kern w:val="0"/>
                <w:highlight w:val="none"/>
                <w:lang w:eastAsia="zh-CN"/>
              </w:rPr>
              <w:t>四、技术要求</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为了确保项目监理能够取得预期效果，深圳市前海深港现代服务业合作区管理局确定通过</w:t>
            </w:r>
            <w:r>
              <w:rPr>
                <w:rFonts w:hint="eastAsia"/>
                <w:color w:val="auto"/>
                <w:szCs w:val="21"/>
                <w:highlight w:val="none"/>
                <w:lang w:eastAsia="zh-CN"/>
              </w:rPr>
              <w:t>简易</w:t>
            </w:r>
            <w:r>
              <w:rPr>
                <w:rFonts w:hint="eastAsia"/>
                <w:color w:val="auto"/>
                <w:szCs w:val="21"/>
                <w:highlight w:val="none"/>
              </w:rPr>
              <w:t>招标的方式，选择一家有实力的，同时具有相关资质、经验和业绩的公司对该项目实施过程进行监理，帮助项目招标单位实现预期的建设目标，全面维护项目招标单位的合法利益。</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中标单位与招标单位签订监理合同后，须根据合同的要求，在采购文件、投标文件及合同的基础上编制详细的《项目监理实施细则》，进一步明确监理工作的职责和监理工作程序，指定监理项目部和执行服务的监理工程师，履行监理单位的职责和义务，全面维护招标单位的合法利益。</w:t>
            </w:r>
          </w:p>
          <w:p>
            <w:pPr>
              <w:keepNext w:val="0"/>
              <w:keepLines w:val="0"/>
              <w:suppressLineNumbers w:val="0"/>
              <w:tabs>
                <w:tab w:val="left" w:pos="426"/>
              </w:tabs>
              <w:spacing w:before="0" w:beforeLines="0" w:beforeAutospacing="0" w:after="0" w:afterLines="0" w:afterAutospacing="0"/>
              <w:ind w:left="0" w:right="0" w:firstLine="422" w:firstLineChars="200"/>
              <w:outlineLvl w:val="9"/>
              <w:rPr>
                <w:rFonts w:hint="eastAsia" w:ascii="Times New Roman" w:eastAsia="宋体" w:cs="Arial"/>
                <w:b/>
                <w:color w:val="auto"/>
                <w:sz w:val="21"/>
                <w:szCs w:val="21"/>
                <w:highlight w:val="none"/>
              </w:rPr>
            </w:pPr>
            <w:r>
              <w:rPr>
                <w:rFonts w:hint="eastAsia" w:ascii="Times New Roman" w:eastAsia="宋体" w:cs="Arial"/>
                <w:b/>
                <w:color w:val="auto"/>
                <w:sz w:val="21"/>
                <w:szCs w:val="21"/>
                <w:highlight w:val="none"/>
                <w:lang w:eastAsia="zh-CN"/>
              </w:rPr>
              <w:t>（一）</w:t>
            </w:r>
            <w:r>
              <w:rPr>
                <w:rFonts w:hint="eastAsia" w:ascii="Times New Roman" w:eastAsia="宋体" w:cs="Arial"/>
                <w:b/>
                <w:color w:val="auto"/>
                <w:sz w:val="21"/>
                <w:szCs w:val="21"/>
                <w:highlight w:val="none"/>
              </w:rPr>
              <w:t>监理的服务范围</w:t>
            </w:r>
          </w:p>
          <w:p>
            <w:pPr>
              <w:keepNext w:val="0"/>
              <w:keepLines w:val="0"/>
              <w:suppressLineNumbers w:val="0"/>
              <w:tabs>
                <w:tab w:val="left" w:pos="426"/>
              </w:tabs>
              <w:spacing w:before="0" w:beforeAutospacing="0" w:after="0" w:afterAutospacing="0"/>
              <w:ind w:left="0" w:right="0" w:firstLine="420" w:firstLineChars="200"/>
              <w:rPr>
                <w:rFonts w:hint="eastAsia"/>
                <w:szCs w:val="21"/>
                <w:lang w:val="en-US"/>
              </w:rPr>
            </w:pPr>
            <w:r>
              <w:rPr>
                <w:rFonts w:hint="eastAsia"/>
                <w:szCs w:val="21"/>
                <w:lang w:val="en-US" w:eastAsia="zh-CN"/>
              </w:rPr>
              <w:t>本项目位于桂湾、前湾、妈湾片区，为加强重要路口、重点区域治安管理，支撑城市管理、重大活动应急保障等需求，对现有盲区进行补盲，同时升级后台应用系统。本项目由前端建设、前端线路配套、智慧城市视频管理应用、智能显控系统、计算存储资源等组成。主要建设内容包括：</w:t>
            </w:r>
          </w:p>
          <w:p>
            <w:pPr>
              <w:keepNext w:val="0"/>
              <w:keepLines w:val="0"/>
              <w:suppressLineNumbers w:val="0"/>
              <w:tabs>
                <w:tab w:val="left" w:pos="426"/>
              </w:tabs>
              <w:spacing w:before="0" w:beforeAutospacing="0" w:after="0" w:afterAutospacing="0"/>
              <w:ind w:left="0" w:right="0" w:firstLine="420" w:firstLineChars="200"/>
              <w:rPr>
                <w:rFonts w:hint="eastAsia"/>
                <w:szCs w:val="21"/>
                <w:highlight w:val="none"/>
                <w:lang w:val="en-US"/>
              </w:rPr>
            </w:pPr>
            <w:r>
              <w:rPr>
                <w:rFonts w:hint="eastAsia"/>
                <w:szCs w:val="21"/>
                <w:highlight w:val="none"/>
                <w:lang w:val="en-US" w:eastAsia="zh-CN"/>
              </w:rPr>
              <w:t>（1）前端及配套建设：安装摄像机280台，其中高清球机130台，高清枪机79台，AR制高点摄像机7台，智能人脸抓拍机49台、智能卡口摄像机14台（包含补光灯14台）、临时布控球1台，以及前端线路配套建设，包括管道铺设、电缆光缆敷设、绿化、人行道、机动车道开挖与恢复等，主要针对前海安全生产、前海市政道路、前海出入口及前海合作区内重点部位进行监控。</w:t>
            </w:r>
          </w:p>
          <w:p>
            <w:pPr>
              <w:keepNext w:val="0"/>
              <w:keepLines w:val="0"/>
              <w:suppressLineNumbers w:val="0"/>
              <w:tabs>
                <w:tab w:val="left" w:pos="426"/>
              </w:tabs>
              <w:spacing w:before="0" w:beforeAutospacing="0" w:after="0" w:afterAutospacing="0"/>
              <w:ind w:left="0" w:right="0" w:firstLine="420" w:firstLineChars="200"/>
              <w:rPr>
                <w:rFonts w:hint="eastAsia"/>
                <w:szCs w:val="21"/>
                <w:highlight w:val="none"/>
                <w:lang w:val="en-US"/>
              </w:rPr>
            </w:pPr>
            <w:r>
              <w:rPr>
                <w:rFonts w:hint="eastAsia"/>
                <w:szCs w:val="21"/>
                <w:highlight w:val="none"/>
                <w:lang w:val="en-US" w:eastAsia="zh-CN"/>
              </w:rPr>
              <w:t>（2）智慧城市视频管理应用建设：</w:t>
            </w:r>
            <w:r>
              <w:rPr>
                <w:rFonts w:hint="eastAsia" w:ascii="Times New Roman" w:hAnsi="Times New Roman" w:eastAsia="宋体" w:cs="Times New Roman"/>
                <w:kern w:val="2"/>
                <w:sz w:val="21"/>
                <w:szCs w:val="24"/>
                <w:highlight w:val="none"/>
                <w:lang w:val="en-US" w:eastAsia="zh-CN" w:bidi="ar"/>
              </w:rPr>
              <w:t>安装布控报警</w:t>
            </w:r>
            <w:r>
              <w:rPr>
                <w:rFonts w:hint="default" w:ascii="Times New Roman" w:hAnsi="Times New Roman" w:eastAsia="宋体" w:cs="Times New Roman"/>
                <w:kern w:val="2"/>
                <w:sz w:val="21"/>
                <w:szCs w:val="24"/>
                <w:highlight w:val="none"/>
                <w:lang w:val="en-US" w:eastAsia="zh-CN" w:bidi="ar"/>
              </w:rPr>
              <w:t>1</w:t>
            </w:r>
            <w:r>
              <w:rPr>
                <w:rFonts w:hint="eastAsia" w:ascii="Times New Roman" w:hAnsi="Times New Roman" w:eastAsia="宋体" w:cs="Times New Roman"/>
                <w:kern w:val="2"/>
                <w:sz w:val="21"/>
                <w:szCs w:val="24"/>
                <w:highlight w:val="none"/>
                <w:lang w:val="en-US" w:eastAsia="zh-CN" w:bidi="ar"/>
              </w:rPr>
              <w:t>套、智能搜索</w:t>
            </w:r>
            <w:r>
              <w:rPr>
                <w:rFonts w:hint="default" w:ascii="Times New Roman" w:hAnsi="Times New Roman" w:eastAsia="宋体" w:cs="Times New Roman"/>
                <w:kern w:val="2"/>
                <w:sz w:val="21"/>
                <w:szCs w:val="24"/>
                <w:highlight w:val="none"/>
                <w:lang w:val="en-US" w:eastAsia="zh-CN" w:bidi="ar"/>
              </w:rPr>
              <w:t>1</w:t>
            </w:r>
            <w:r>
              <w:rPr>
                <w:rFonts w:hint="eastAsia" w:ascii="Times New Roman" w:hAnsi="Times New Roman" w:eastAsia="宋体" w:cs="Times New Roman"/>
                <w:kern w:val="2"/>
                <w:sz w:val="21"/>
                <w:szCs w:val="24"/>
                <w:highlight w:val="none"/>
                <w:lang w:val="en-US" w:eastAsia="zh-CN" w:bidi="ar"/>
              </w:rPr>
              <w:t>套、人脸应用</w:t>
            </w:r>
            <w:r>
              <w:rPr>
                <w:rFonts w:hint="default" w:ascii="Times New Roman" w:hAnsi="Times New Roman" w:eastAsia="宋体" w:cs="Times New Roman"/>
                <w:kern w:val="2"/>
                <w:sz w:val="21"/>
                <w:szCs w:val="24"/>
                <w:highlight w:val="none"/>
                <w:lang w:val="en-US" w:eastAsia="zh-CN" w:bidi="ar"/>
              </w:rPr>
              <w:t>1</w:t>
            </w:r>
            <w:r>
              <w:rPr>
                <w:rFonts w:hint="eastAsia" w:ascii="Times New Roman" w:hAnsi="Times New Roman" w:eastAsia="宋体" w:cs="Times New Roman"/>
                <w:kern w:val="2"/>
                <w:sz w:val="21"/>
                <w:szCs w:val="24"/>
                <w:highlight w:val="none"/>
                <w:lang w:val="en-US" w:eastAsia="zh-CN" w:bidi="ar"/>
              </w:rPr>
              <w:t>套、车辆应用</w:t>
            </w:r>
            <w:r>
              <w:rPr>
                <w:rFonts w:hint="default" w:ascii="Times New Roman" w:hAnsi="Times New Roman" w:eastAsia="宋体" w:cs="Times New Roman"/>
                <w:kern w:val="2"/>
                <w:sz w:val="21"/>
                <w:szCs w:val="24"/>
                <w:highlight w:val="none"/>
                <w:lang w:val="en-US" w:eastAsia="zh-CN" w:bidi="ar"/>
              </w:rPr>
              <w:t>1</w:t>
            </w:r>
            <w:r>
              <w:rPr>
                <w:rFonts w:hint="eastAsia" w:ascii="Times New Roman" w:hAnsi="Times New Roman" w:eastAsia="宋体" w:cs="Times New Roman"/>
                <w:kern w:val="2"/>
                <w:sz w:val="21"/>
                <w:szCs w:val="24"/>
                <w:highlight w:val="none"/>
                <w:lang w:val="en-US" w:eastAsia="zh-CN" w:bidi="ar"/>
              </w:rPr>
              <w:t>套、城管智能巡查应用</w:t>
            </w:r>
            <w:r>
              <w:rPr>
                <w:rFonts w:hint="default" w:ascii="Times New Roman" w:hAnsi="Times New Roman" w:eastAsia="宋体" w:cs="Times New Roman"/>
                <w:kern w:val="2"/>
                <w:sz w:val="21"/>
                <w:szCs w:val="24"/>
                <w:highlight w:val="none"/>
                <w:lang w:val="en-US" w:eastAsia="zh-CN" w:bidi="ar"/>
              </w:rPr>
              <w:t>1</w:t>
            </w:r>
            <w:r>
              <w:rPr>
                <w:rFonts w:hint="eastAsia" w:ascii="Times New Roman" w:hAnsi="Times New Roman" w:eastAsia="宋体" w:cs="Times New Roman"/>
                <w:kern w:val="2"/>
                <w:sz w:val="21"/>
                <w:szCs w:val="24"/>
                <w:highlight w:val="none"/>
                <w:lang w:val="en-US" w:eastAsia="zh-CN" w:bidi="ar"/>
              </w:rPr>
              <w:t>套、</w:t>
            </w:r>
            <w:r>
              <w:rPr>
                <w:rFonts w:hint="default" w:ascii="Times New Roman" w:hAnsi="Times New Roman" w:eastAsia="宋体" w:cs="Times New Roman"/>
                <w:kern w:val="2"/>
                <w:sz w:val="21"/>
                <w:szCs w:val="24"/>
                <w:highlight w:val="none"/>
                <w:lang w:val="en-US" w:eastAsia="zh-CN" w:bidi="ar"/>
              </w:rPr>
              <w:t>AR</w:t>
            </w:r>
            <w:r>
              <w:rPr>
                <w:rFonts w:hint="eastAsia" w:ascii="Times New Roman" w:hAnsi="Times New Roman" w:eastAsia="宋体" w:cs="Times New Roman"/>
                <w:kern w:val="2"/>
                <w:sz w:val="21"/>
                <w:szCs w:val="24"/>
                <w:highlight w:val="none"/>
                <w:lang w:val="en-US" w:eastAsia="zh-CN" w:bidi="ar"/>
              </w:rPr>
              <w:t>实景地图应用</w:t>
            </w:r>
            <w:r>
              <w:rPr>
                <w:rFonts w:hint="default" w:ascii="Times New Roman" w:hAnsi="Times New Roman" w:eastAsia="宋体" w:cs="Times New Roman"/>
                <w:kern w:val="2"/>
                <w:sz w:val="21"/>
                <w:szCs w:val="24"/>
                <w:highlight w:val="none"/>
                <w:lang w:val="en-US" w:eastAsia="zh-CN" w:bidi="ar"/>
              </w:rPr>
              <w:t>1</w:t>
            </w:r>
            <w:r>
              <w:rPr>
                <w:rFonts w:hint="eastAsia" w:ascii="Times New Roman" w:hAnsi="Times New Roman" w:eastAsia="宋体" w:cs="Times New Roman"/>
                <w:kern w:val="2"/>
                <w:sz w:val="21"/>
                <w:szCs w:val="24"/>
                <w:highlight w:val="none"/>
                <w:lang w:val="en-US" w:eastAsia="zh-CN" w:bidi="ar"/>
              </w:rPr>
              <w:t>套。升级平台功能，提升人脸识别、车辆识别和智能快速搜索功能；通过对平台整合的高清视频资源进行智能分析处理，针对影响市容环境、环境卫生等不良行为进行分析和自动告警，并能够根据素材进行不断的机器学习和完善优化。</w:t>
            </w:r>
          </w:p>
          <w:p>
            <w:pPr>
              <w:keepNext w:val="0"/>
              <w:keepLines w:val="0"/>
              <w:suppressLineNumbers w:val="0"/>
              <w:tabs>
                <w:tab w:val="left" w:pos="426"/>
              </w:tabs>
              <w:spacing w:before="0" w:beforeAutospacing="0" w:after="0" w:afterAutospacing="0"/>
              <w:ind w:left="0" w:right="0" w:firstLine="420" w:firstLineChars="200"/>
              <w:rPr>
                <w:rFonts w:hint="eastAsia"/>
                <w:szCs w:val="21"/>
                <w:highlight w:val="none"/>
                <w:lang w:val="en-US"/>
              </w:rPr>
            </w:pPr>
            <w:r>
              <w:rPr>
                <w:rFonts w:hint="eastAsia"/>
                <w:szCs w:val="21"/>
                <w:highlight w:val="none"/>
                <w:lang w:val="en-US" w:eastAsia="zh-CN"/>
              </w:rPr>
              <w:t>（3）智能显控系统建设：安装数据沙盘1套，对接现有管理平台的数据以及其他各类业务系统数据，提供数据可视化平台。</w:t>
            </w:r>
          </w:p>
          <w:p>
            <w:pPr>
              <w:keepNext w:val="0"/>
              <w:keepLines w:val="0"/>
              <w:suppressLineNumbers w:val="0"/>
              <w:tabs>
                <w:tab w:val="left" w:pos="426"/>
              </w:tabs>
              <w:spacing w:before="0" w:beforeAutospacing="0" w:after="0" w:afterAutospacing="0"/>
              <w:ind w:left="0" w:right="0" w:firstLine="420" w:firstLineChars="200"/>
              <w:rPr>
                <w:rFonts w:hint="eastAsia"/>
                <w:szCs w:val="21"/>
                <w:highlight w:val="none"/>
              </w:rPr>
            </w:pPr>
            <w:r>
              <w:rPr>
                <w:rFonts w:hint="eastAsia"/>
                <w:szCs w:val="21"/>
                <w:highlight w:val="none"/>
                <w:lang w:val="en-US" w:eastAsia="zh-CN"/>
              </w:rPr>
              <w:t>（4）计算存储资源扩容：安装服务器8台、交换机2台、智慧城管分析一体机1台、视频云存储设备8台</w:t>
            </w:r>
            <w:r>
              <w:rPr>
                <w:rFonts w:hint="eastAsia" w:ascii="Times New Roman" w:hAnsi="Times New Roman" w:eastAsia="宋体" w:cs="Times New Roman"/>
                <w:kern w:val="2"/>
                <w:sz w:val="21"/>
                <w:szCs w:val="24"/>
                <w:highlight w:val="none"/>
                <w:lang w:val="en-US" w:eastAsia="zh-CN" w:bidi="ar"/>
              </w:rPr>
              <w:t>，支撑前端摄像头视频资源存储及相关应用建设</w:t>
            </w:r>
            <w:r>
              <w:rPr>
                <w:rFonts w:hint="eastAsia"/>
                <w:szCs w:val="21"/>
                <w:highlight w:val="none"/>
                <w:lang w:val="en-US" w:eastAsia="zh-CN"/>
              </w:rPr>
              <w:t>。</w:t>
            </w:r>
          </w:p>
          <w:p>
            <w:pPr>
              <w:keepNext w:val="0"/>
              <w:keepLines w:val="0"/>
              <w:suppressLineNumbers w:val="0"/>
              <w:shd w:val="clear" w:color="auto" w:fill="FFFFFF"/>
              <w:tabs>
                <w:tab w:val="left" w:pos="426"/>
              </w:tabs>
              <w:spacing w:before="0" w:beforeLines="0" w:beforeAutospacing="0" w:after="0" w:afterLines="0" w:afterAutospacing="0"/>
              <w:ind w:left="0" w:right="0" w:firstLine="420" w:firstLineChars="200"/>
              <w:rPr>
                <w:rFonts w:hint="default" w:hAnsi="宋体" w:cs="宋体"/>
                <w:color w:val="auto"/>
                <w:highlight w:val="none"/>
              </w:rPr>
            </w:pPr>
            <w:r>
              <w:rPr>
                <w:rFonts w:hint="eastAsia"/>
                <w:szCs w:val="21"/>
                <w:highlight w:val="none"/>
              </w:rPr>
              <w:t>（</w:t>
            </w:r>
            <w:r>
              <w:rPr>
                <w:rFonts w:hint="eastAsia"/>
                <w:szCs w:val="21"/>
                <w:highlight w:val="none"/>
                <w:lang w:val="en-US" w:eastAsia="zh-CN"/>
              </w:rPr>
              <w:t>5</w:t>
            </w:r>
            <w:r>
              <w:rPr>
                <w:rFonts w:hint="eastAsia"/>
                <w:szCs w:val="21"/>
                <w:highlight w:val="none"/>
              </w:rPr>
              <w:t>）</w:t>
            </w:r>
            <w:r>
              <w:rPr>
                <w:rFonts w:hint="eastAsia"/>
                <w:szCs w:val="21"/>
                <w:highlight w:val="none"/>
                <w:lang w:eastAsia="zh-CN"/>
              </w:rPr>
              <w:t>根据需要，</w:t>
            </w:r>
            <w:r>
              <w:rPr>
                <w:rFonts w:hint="eastAsia"/>
                <w:szCs w:val="21"/>
                <w:highlight w:val="none"/>
              </w:rPr>
              <w:t>与前海已有的视频需求资源对接</w:t>
            </w:r>
            <w:r>
              <w:rPr>
                <w:rFonts w:hint="eastAsia"/>
                <w:szCs w:val="21"/>
                <w:highlight w:val="none"/>
                <w:lang w:eastAsia="zh-CN"/>
              </w:rPr>
              <w:t>，配合完成与其他政府部门视频联网对接，以及与前海管理局其他业务系统对接</w:t>
            </w:r>
            <w:r>
              <w:rPr>
                <w:rFonts w:hint="eastAsia"/>
                <w:szCs w:val="21"/>
                <w:highlight w:val="none"/>
              </w:rPr>
              <w:t>。</w:t>
            </w:r>
          </w:p>
        </w:tc>
        <w:tc>
          <w:tcPr>
            <w:tcW w:w="1581" w:type="dxa"/>
            <w:vAlign w:val="center"/>
          </w:tcPr>
          <w:p>
            <w:pPr>
              <w:keepNext w:val="0"/>
              <w:keepLines w:val="0"/>
              <w:suppressLineNumbers w:val="0"/>
              <w:spacing w:before="0" w:beforeLines="0" w:beforeAutospacing="0" w:after="0" w:afterLines="0" w:afterAutospacing="0" w:line="240" w:lineRule="auto"/>
              <w:ind w:left="0" w:right="0" w:firstLine="361" w:firstLineChars="200"/>
              <w:jc w:val="both"/>
              <w:rPr>
                <w:rFonts w:hint="default" w:ascii="宋体" w:hAnsi="宋体" w:cs="宋体"/>
                <w:color w:val="auto"/>
                <w:highlight w:val="none"/>
              </w:rPr>
            </w:pPr>
            <w:r>
              <w:rPr>
                <w:rFonts w:hint="eastAsia" w:ascii="宋体" w:hAnsi="宋体" w:cs="Arial"/>
                <w:b/>
                <w:color w:val="auto"/>
                <w:sz w:val="18"/>
                <w:szCs w:val="18"/>
                <w:highlight w:val="none"/>
              </w:rPr>
              <w:t>（投标人根据自身实际情况逐条进行响应，并填写响应的具体内容）</w:t>
            </w:r>
          </w:p>
        </w:tc>
        <w:tc>
          <w:tcPr>
            <w:tcW w:w="1289" w:type="dxa"/>
            <w:vAlign w:val="center"/>
          </w:tcPr>
          <w:p>
            <w:pPr>
              <w:keepNext w:val="0"/>
              <w:keepLines w:val="0"/>
              <w:suppressLineNumbers w:val="0"/>
              <w:spacing w:before="0" w:beforeLines="0" w:beforeAutospacing="0" w:after="0" w:afterLines="0" w:afterAutospacing="0" w:line="240" w:lineRule="auto"/>
              <w:ind w:left="0" w:right="0" w:firstLine="420" w:firstLineChars="200"/>
              <w:jc w:val="both"/>
              <w:rPr>
                <w:rFonts w:hint="default" w:ascii="宋体" w:hAnsi="宋体" w:cs="宋体"/>
                <w:color w:val="auto"/>
                <w:highlight w:val="none"/>
              </w:rPr>
            </w:pPr>
            <w:r>
              <w:rPr>
                <w:rFonts w:hint="eastAsia" w:ascii="宋体" w:hAnsi="宋体" w:cs="宋体"/>
                <w:color w:val="auto"/>
                <w:highlight w:val="none"/>
              </w:rPr>
              <w:t>（正偏离/完全响应/负偏离）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6" w:hRule="atLeast"/>
          <w:jc w:val="center"/>
        </w:trPr>
        <w:tc>
          <w:tcPr>
            <w:tcW w:w="582" w:type="dxa"/>
            <w:vAlign w:val="center"/>
          </w:tcPr>
          <w:p>
            <w:pPr>
              <w:keepNext w:val="0"/>
              <w:keepLines w:val="0"/>
              <w:numPr>
                <w:ilvl w:val="0"/>
                <w:numId w:val="8"/>
              </w:numPr>
              <w:suppressLineNumbers w:val="0"/>
              <w:spacing w:before="0" w:beforeLines="0" w:beforeAutospacing="0" w:after="0" w:afterLines="0" w:afterAutospacing="0" w:line="240" w:lineRule="auto"/>
              <w:ind w:right="0" w:firstLine="0" w:firstLineChars="0"/>
              <w:jc w:val="center"/>
              <w:rPr>
                <w:rFonts w:hint="default" w:ascii="宋体" w:hAnsi="宋体" w:cs="宋体"/>
                <w:color w:val="auto"/>
                <w:szCs w:val="21"/>
                <w:highlight w:val="none"/>
              </w:rPr>
            </w:pPr>
          </w:p>
        </w:tc>
        <w:tc>
          <w:tcPr>
            <w:tcW w:w="5563" w:type="dxa"/>
            <w:vAlign w:val="center"/>
          </w:tcPr>
          <w:p>
            <w:pPr>
              <w:keepNext w:val="0"/>
              <w:keepLines w:val="0"/>
              <w:suppressLineNumbers w:val="0"/>
              <w:tabs>
                <w:tab w:val="left" w:pos="426"/>
              </w:tabs>
              <w:spacing w:before="0" w:beforeLines="0" w:beforeAutospacing="0" w:after="0" w:afterLines="0" w:afterAutospacing="0"/>
              <w:ind w:left="0" w:right="0" w:firstLine="422" w:firstLineChars="200"/>
              <w:outlineLvl w:val="9"/>
              <w:rPr>
                <w:rFonts w:hint="eastAsia" w:ascii="Times New Roman" w:eastAsia="宋体" w:cs="Arial"/>
                <w:b/>
                <w:color w:val="auto"/>
                <w:sz w:val="21"/>
                <w:szCs w:val="21"/>
                <w:highlight w:val="none"/>
              </w:rPr>
            </w:pPr>
            <w:r>
              <w:rPr>
                <w:rFonts w:hint="eastAsia" w:ascii="Times New Roman" w:eastAsia="宋体" w:cs="Arial"/>
                <w:b/>
                <w:color w:val="auto"/>
                <w:sz w:val="21"/>
                <w:szCs w:val="21"/>
                <w:highlight w:val="none"/>
                <w:lang w:eastAsia="zh-CN"/>
              </w:rPr>
              <w:t>（二）</w:t>
            </w:r>
            <w:r>
              <w:rPr>
                <w:rFonts w:hint="eastAsia" w:ascii="Times New Roman" w:eastAsia="宋体" w:cs="Arial"/>
                <w:b/>
                <w:color w:val="auto"/>
                <w:sz w:val="21"/>
                <w:szCs w:val="21"/>
                <w:highlight w:val="none"/>
              </w:rPr>
              <w:t>监理的服务内容</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监理人应按投标时的承诺与合同的约定，派出监理工作需要的监理机构及监理人员，向委托人报送委派的总监理工程师及其监理机构主要成员名单、监理规划，完成监理合同专用条件中约定的监理工程范围内的监理业务。监理人应依据本合同所授权限，承担施工承包合同和监理规范中规定或涉及的全部现场监理工作。各阶段监理还包括但不限于以下内容：</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1、施工阶段</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施工过程中的质量、进度、费用控制，安全生产监督管理、合同、信息等方面的协调管理。</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⑴ 审核承建商编写的开工报告，核查建设工程办理计划立项、规划许可、招标投标、工程质量监督、施工安全监督、施工许可等情况，审查承建商及其从业人员资质，督促工程建设依法进行；</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 xml:space="preserve">⑵组织施工图纸会审； </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⑶审核承建商提出的施工组织设计、施工技术方案、施工进度计划、施工质量保证体系和施工安全保证体系；</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 xml:space="preserve">⑷督促、检查承建商严格执行工程承包合同和国家强制性技术标准； </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⑸查验承建商或者建设单位提供的材料、配件和设备的数量及质量；</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 xml:space="preserve">⑹控制工程进度、质量和投资，督促承建商落实施工安全保证措施； </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⑺组织分部、分项工程和隐蔽工程的检查、验收；</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⑻负责施工现场签证，处理工程变更的其他事宜；</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⑼签发工程付款凭证；</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⑽督促承建商整理合同文件和技术档案资料；</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⑾组织工程竣工初步验收；</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⑿督促建设工程办理竣工验收及其备案手续。</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⒀协助</w:t>
            </w:r>
            <w:r>
              <w:rPr>
                <w:rFonts w:hint="eastAsia"/>
                <w:color w:val="auto"/>
                <w:szCs w:val="21"/>
                <w:highlight w:val="none"/>
                <w:lang w:val="en-US" w:eastAsia="zh-CN"/>
              </w:rPr>
              <w:t>委托人</w:t>
            </w:r>
            <w:r>
              <w:rPr>
                <w:rFonts w:hint="eastAsia"/>
                <w:color w:val="auto"/>
                <w:szCs w:val="21"/>
                <w:highlight w:val="none"/>
              </w:rPr>
              <w:t>办理审计手续。</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2、保修阶段</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⑴ 督促承建商回访；</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⑵ 参与鉴定质量责任；</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⑶ 监督工程保修直至达到规定的质量标准。</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⑷ 协助承建商办理终验手续。</w:t>
            </w:r>
          </w:p>
          <w:p>
            <w:pPr>
              <w:pStyle w:val="10"/>
              <w:keepNext w:val="0"/>
              <w:keepLines w:val="0"/>
              <w:suppressLineNumbers w:val="0"/>
              <w:tabs>
                <w:tab w:val="left" w:pos="2340"/>
              </w:tabs>
              <w:spacing w:before="0" w:beforeLines="0" w:beforeAutospacing="0" w:after="0" w:afterLines="0" w:afterAutospacing="0"/>
              <w:ind w:left="0" w:right="0" w:firstLine="420" w:firstLineChars="200"/>
              <w:rPr>
                <w:rFonts w:hint="default" w:hAnsi="宋体" w:cs="宋体"/>
                <w:color w:val="auto"/>
                <w:highlight w:val="none"/>
              </w:rPr>
            </w:pPr>
          </w:p>
        </w:tc>
        <w:tc>
          <w:tcPr>
            <w:tcW w:w="1581" w:type="dxa"/>
            <w:vAlign w:val="center"/>
          </w:tcPr>
          <w:p>
            <w:pPr>
              <w:keepNext w:val="0"/>
              <w:keepLines w:val="0"/>
              <w:suppressLineNumbers w:val="0"/>
              <w:spacing w:before="0" w:beforeLines="0" w:beforeAutospacing="0" w:after="0" w:afterLines="0" w:afterAutospacing="0" w:line="240" w:lineRule="auto"/>
              <w:ind w:left="0" w:right="0" w:firstLine="361" w:firstLineChars="200"/>
              <w:jc w:val="both"/>
              <w:rPr>
                <w:rFonts w:hint="default" w:ascii="宋体" w:hAnsi="宋体" w:cs="Arial"/>
                <w:b/>
                <w:color w:val="auto"/>
                <w:sz w:val="18"/>
                <w:szCs w:val="18"/>
                <w:highlight w:val="none"/>
              </w:rPr>
            </w:pPr>
          </w:p>
        </w:tc>
        <w:tc>
          <w:tcPr>
            <w:tcW w:w="1289" w:type="dxa"/>
            <w:vAlign w:val="center"/>
          </w:tcPr>
          <w:p>
            <w:pPr>
              <w:keepNext w:val="0"/>
              <w:keepLines w:val="0"/>
              <w:suppressLineNumbers w:val="0"/>
              <w:spacing w:before="0" w:beforeLines="0" w:beforeAutospacing="0" w:after="0" w:afterLines="0" w:afterAutospacing="0" w:line="240" w:lineRule="auto"/>
              <w:ind w:left="0" w:right="0" w:firstLine="420" w:firstLineChars="200"/>
              <w:jc w:val="both"/>
              <w:rPr>
                <w:rFonts w:hint="default"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6" w:hRule="atLeast"/>
          <w:jc w:val="center"/>
        </w:trPr>
        <w:tc>
          <w:tcPr>
            <w:tcW w:w="582" w:type="dxa"/>
            <w:vAlign w:val="center"/>
          </w:tcPr>
          <w:p>
            <w:pPr>
              <w:keepNext w:val="0"/>
              <w:keepLines w:val="0"/>
              <w:numPr>
                <w:ilvl w:val="0"/>
                <w:numId w:val="8"/>
              </w:numPr>
              <w:suppressLineNumbers w:val="0"/>
              <w:spacing w:before="0" w:beforeLines="0" w:beforeAutospacing="0" w:after="0" w:afterLines="0" w:afterAutospacing="0" w:line="240" w:lineRule="auto"/>
              <w:ind w:right="0" w:firstLine="0" w:firstLineChars="0"/>
              <w:jc w:val="center"/>
              <w:rPr>
                <w:rFonts w:hint="default" w:ascii="宋体" w:hAnsi="宋体" w:cs="宋体"/>
                <w:color w:val="auto"/>
                <w:szCs w:val="21"/>
                <w:highlight w:val="none"/>
              </w:rPr>
            </w:pPr>
          </w:p>
        </w:tc>
        <w:tc>
          <w:tcPr>
            <w:tcW w:w="5563" w:type="dxa"/>
            <w:vAlign w:val="center"/>
          </w:tcPr>
          <w:p>
            <w:pPr>
              <w:keepNext w:val="0"/>
              <w:keepLines w:val="0"/>
              <w:suppressLineNumbers w:val="0"/>
              <w:tabs>
                <w:tab w:val="left" w:pos="426"/>
              </w:tabs>
              <w:spacing w:before="0" w:beforeLines="0" w:beforeAutospacing="0" w:after="0" w:afterLines="0" w:afterAutospacing="0"/>
              <w:ind w:left="0" w:right="0" w:firstLine="422" w:firstLineChars="200"/>
              <w:outlineLvl w:val="9"/>
              <w:rPr>
                <w:rFonts w:hint="eastAsia" w:ascii="Times New Roman" w:eastAsia="宋体" w:cs="Arial"/>
                <w:b/>
                <w:color w:val="auto"/>
                <w:sz w:val="21"/>
                <w:szCs w:val="21"/>
                <w:highlight w:val="none"/>
              </w:rPr>
            </w:pPr>
            <w:r>
              <w:rPr>
                <w:rFonts w:hint="eastAsia" w:ascii="Times New Roman" w:eastAsia="宋体" w:cs="Arial"/>
                <w:b/>
                <w:color w:val="auto"/>
                <w:sz w:val="21"/>
                <w:szCs w:val="21"/>
                <w:highlight w:val="none"/>
                <w:lang w:eastAsia="zh-CN"/>
              </w:rPr>
              <w:t>（三）</w:t>
            </w:r>
            <w:r>
              <w:rPr>
                <w:rFonts w:hint="eastAsia" w:ascii="Times New Roman" w:eastAsia="宋体" w:cs="Arial"/>
                <w:b/>
                <w:color w:val="auto"/>
                <w:sz w:val="21"/>
                <w:szCs w:val="21"/>
                <w:highlight w:val="none"/>
              </w:rPr>
              <w:t>项目管理要求</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1、项目人员安排要求</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1.1人员数量要求：</w:t>
            </w:r>
            <w:r>
              <w:rPr>
                <w:rFonts w:hint="eastAsia"/>
                <w:szCs w:val="21"/>
              </w:rPr>
              <w:t>中标单位在本项目必须有2名常驻现场监理工程师，总监理工程师必须保证每天到项目现场；中标单位应设置1名机动监理人员，根据项目进度安排及招标单位要求进场开展监理工作。</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1.2投标单位拟投入本项目的项目负责人及项目团队成员应具有相关工作经验，其职称、学位、证书、资历等相关情况将作为评分的重要因素。</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1.3未经招标单位同意，中标单位不得随意更换总监理工程师和现场监理工程师。</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当监理工程师发生以下所列行为之一的，经中标单位或招标单位要求，可以更换监理工程师：</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1）在项目管理中不到岗或未认真履行岗位职责；</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2）管理的项目发生重大质量、安全责任事故；</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3）严重违法违规行为；</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4）因身体原因（应有市级及以上医院证明）不能胜任项目管理工作的；</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5）其它不可抗拒的原因。</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2、项目其他要求</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2.1项目监理重点难点分析</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投标单位应根据建设工程涉及面广、涉及部门多、建设规模大、建设内容多、建设难度大的特点，从实际出发分析本项目监理工作的重点、难点，并根据分析的结果制定相应的监理工作规划、对策和策略，以便日后有针对性的开展信息系统工程的监理服务工作。</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2.2监理工作验收</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通过审核监理单位应提交的各类监理文档和最终监理总结报告，综合评估监理单位在项目建设进度、质量把关、重难点问题解决、项目投资等方面的监理情况。在文档齐全，项目建设过程中没有出现重大质量事故，项目整体通过验收前提下予以验收。</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2）本监理工作的最终验收由双方联合组织验收小组验收。</w:t>
            </w:r>
          </w:p>
          <w:p>
            <w:pPr>
              <w:keepNext w:val="0"/>
              <w:keepLines w:val="0"/>
              <w:suppressLineNumbers w:val="0"/>
              <w:spacing w:before="0" w:beforeLines="0" w:beforeAutospacing="0" w:after="0" w:afterLines="0" w:afterAutospacing="0"/>
              <w:ind w:left="0" w:right="0" w:firstLine="420" w:firstLineChars="200"/>
              <w:rPr>
                <w:rFonts w:hint="default" w:ascii="宋体" w:hAnsi="宋体" w:cs="宋体"/>
                <w:snapToGrid w:val="0"/>
                <w:color w:val="auto"/>
                <w:kern w:val="0"/>
                <w:szCs w:val="21"/>
                <w:highlight w:val="none"/>
              </w:rPr>
            </w:pPr>
          </w:p>
        </w:tc>
        <w:tc>
          <w:tcPr>
            <w:tcW w:w="1581" w:type="dxa"/>
            <w:vAlign w:val="center"/>
          </w:tcPr>
          <w:p>
            <w:pPr>
              <w:keepNext w:val="0"/>
              <w:keepLines w:val="0"/>
              <w:suppressLineNumbers w:val="0"/>
              <w:spacing w:before="0" w:beforeLines="0" w:beforeAutospacing="0" w:after="0" w:afterLines="0" w:afterAutospacing="0" w:line="240" w:lineRule="auto"/>
              <w:ind w:left="0" w:right="0" w:firstLine="420" w:firstLineChars="200"/>
              <w:jc w:val="both"/>
              <w:rPr>
                <w:rFonts w:hint="default" w:ascii="宋体" w:hAnsi="宋体" w:cs="宋体"/>
                <w:color w:val="auto"/>
                <w:highlight w:val="none"/>
              </w:rPr>
            </w:pPr>
          </w:p>
        </w:tc>
        <w:tc>
          <w:tcPr>
            <w:tcW w:w="1289" w:type="dxa"/>
            <w:vAlign w:val="center"/>
          </w:tcPr>
          <w:p>
            <w:pPr>
              <w:keepNext w:val="0"/>
              <w:keepLines w:val="0"/>
              <w:suppressLineNumbers w:val="0"/>
              <w:spacing w:before="0" w:beforeLines="0" w:beforeAutospacing="0" w:after="0" w:afterLines="0" w:afterAutospacing="0" w:line="240" w:lineRule="auto"/>
              <w:ind w:left="0" w:right="0" w:firstLine="420" w:firstLineChars="200"/>
              <w:jc w:val="both"/>
              <w:rPr>
                <w:rFonts w:hint="default"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6" w:hRule="atLeast"/>
          <w:jc w:val="center"/>
        </w:trPr>
        <w:tc>
          <w:tcPr>
            <w:tcW w:w="582" w:type="dxa"/>
            <w:vAlign w:val="center"/>
          </w:tcPr>
          <w:p>
            <w:pPr>
              <w:keepNext w:val="0"/>
              <w:keepLines w:val="0"/>
              <w:numPr>
                <w:ilvl w:val="0"/>
                <w:numId w:val="8"/>
              </w:numPr>
              <w:suppressLineNumbers w:val="0"/>
              <w:spacing w:before="0" w:beforeLines="0" w:beforeAutospacing="0" w:after="0" w:afterLines="0" w:afterAutospacing="0" w:line="240" w:lineRule="auto"/>
              <w:ind w:right="0" w:firstLine="0" w:firstLineChars="0"/>
              <w:jc w:val="center"/>
              <w:rPr>
                <w:rFonts w:hint="default" w:ascii="宋体" w:hAnsi="宋体" w:cs="宋体"/>
                <w:color w:val="auto"/>
                <w:szCs w:val="21"/>
                <w:highlight w:val="none"/>
              </w:rPr>
            </w:pPr>
          </w:p>
        </w:tc>
        <w:tc>
          <w:tcPr>
            <w:tcW w:w="5563" w:type="dxa"/>
            <w:vAlign w:val="center"/>
          </w:tcPr>
          <w:p>
            <w:pPr>
              <w:keepNext w:val="0"/>
              <w:keepLines w:val="0"/>
              <w:suppressLineNumbers w:val="0"/>
              <w:tabs>
                <w:tab w:val="left" w:pos="426"/>
              </w:tabs>
              <w:spacing w:before="0" w:beforeLines="0" w:beforeAutospacing="0" w:after="0" w:afterLines="0" w:afterAutospacing="0"/>
              <w:ind w:left="0" w:right="0" w:firstLine="422" w:firstLineChars="200"/>
              <w:outlineLvl w:val="9"/>
              <w:rPr>
                <w:rFonts w:hint="eastAsia" w:ascii="Times New Roman" w:eastAsia="宋体" w:cs="Arial"/>
                <w:b/>
                <w:color w:val="auto"/>
                <w:sz w:val="21"/>
                <w:szCs w:val="21"/>
                <w:highlight w:val="none"/>
              </w:rPr>
            </w:pPr>
            <w:r>
              <w:rPr>
                <w:rFonts w:hint="eastAsia" w:ascii="Times New Roman" w:eastAsia="宋体" w:cs="Arial"/>
                <w:b/>
                <w:color w:val="auto"/>
                <w:sz w:val="21"/>
                <w:szCs w:val="21"/>
                <w:highlight w:val="none"/>
                <w:lang w:eastAsia="zh-CN"/>
              </w:rPr>
              <w:t>（四）</w:t>
            </w:r>
            <w:r>
              <w:rPr>
                <w:rFonts w:hint="eastAsia" w:ascii="Times New Roman" w:eastAsia="宋体" w:cs="Arial"/>
                <w:b/>
                <w:color w:val="auto"/>
                <w:sz w:val="21"/>
                <w:szCs w:val="21"/>
                <w:highlight w:val="none"/>
              </w:rPr>
              <w:t>项目技术要求</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以项目建设合同、监理委托合同、国家有关法规、技术规范与标准、项目招标单位需求为依据，协助招标单位全面地进行深化设计、项目管理、技术咨询和技术监督，对项目全过程进行咨询、监督、管理、指导、评价，并采取相应的组织措施、技术措施、经济措施和合同措施，确保建设行为合法、合理、科学、经济，使建设进度、投资、质量达到建设合同规定的目标。主要包括：</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1、投资目标</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通过对项目实施方案的优化，确保投资控制在合理、性价比高的范围内，并为招标单位付款提供足够的依据；协助招标单位做好项目支付预算的现金流量表，将付款进度与项目质量和进度结合起来；制定相关的变更控制流程，严格控制系统建设过程中各类设计变更，保证招标单位投资的效果；当发现资金使用严重偏离计划时，应及时指出，并提出对策建议，同时督促承建单位尽快采取措施。</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2、质量目标</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确保</w:t>
            </w:r>
            <w:r>
              <w:rPr>
                <w:rFonts w:hint="eastAsia"/>
                <w:color w:val="auto"/>
                <w:szCs w:val="21"/>
                <w:highlight w:val="none"/>
                <w:lang w:eastAsia="zh-CN"/>
              </w:rPr>
              <w:t>智慧前海视频云平台二期项目</w:t>
            </w:r>
            <w:r>
              <w:rPr>
                <w:rFonts w:hint="eastAsia"/>
                <w:color w:val="auto"/>
                <w:szCs w:val="21"/>
                <w:highlight w:val="none"/>
              </w:rPr>
              <w:t>监理质量能达到实际服务要求的质量目标,确保项目建设质量达到项目合同中规定的质量目标；要求监理在整个项目实施过程中做好对质量的事前控制，事中监督和事后评估，以确保项目质量合格；投标单位应针对本项目建设提出信息系统工程监理的质量控制原则、方法、措施、工作流程和目标。</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包括但不限于以下工作：</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协助招标单位进行详细需求设计方案的审核和确认；</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协助招标单位审核硬件与支撑软件选型方案、质量进行检验、测试和验收审核；</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对承建单位的建设质量进行审核；</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对承建单位技术培训质量的控制，审核确认承建单位的培训计划、培训总结报告。</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3、进度目标</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确保</w:t>
            </w:r>
            <w:r>
              <w:rPr>
                <w:rFonts w:hint="eastAsia"/>
                <w:color w:val="auto"/>
                <w:szCs w:val="21"/>
                <w:highlight w:val="none"/>
                <w:lang w:eastAsia="zh-CN"/>
              </w:rPr>
              <w:t>智慧前海视频云平台二期项目</w:t>
            </w:r>
            <w:r>
              <w:rPr>
                <w:rFonts w:hint="eastAsia"/>
                <w:color w:val="auto"/>
                <w:szCs w:val="21"/>
                <w:highlight w:val="none"/>
              </w:rPr>
              <w:t>按项目承包合同规定的工期完工；</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对项目实施进度进行实时跟踪，必要时要求承建单位对进度计划进行动态调整，以确保项目的阶段和总体进度目标的实施；当工期严重偏离计划时，应及时指出，并提出对策建议，同时督促承建单位尽快采取措施。</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4、合同管理目标</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对项目的合同、各种文档提供可靠的审核和质量保证。保障与项目建设有关的其他合同顺利履行，确保工程建设各项目标的达成。并考虑合同管理的目的和效率，明确工作范围管理、人员管理、费用管理、工作计划管理、工作实施管理等。</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5、文档管理目标</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对项目文档进行标准化、规范化的制作和管理，确保建设项目实施过程中产生的全部文档及时、完整、有效。</w:t>
            </w:r>
          </w:p>
          <w:p>
            <w:pPr>
              <w:keepNext w:val="0"/>
              <w:keepLines w:val="0"/>
              <w:suppressLineNumbers w:val="0"/>
              <w:spacing w:before="0" w:beforeLines="0" w:beforeAutospacing="0" w:after="0" w:afterLines="0" w:afterAutospacing="0"/>
              <w:ind w:left="0" w:right="0" w:firstLine="420" w:firstLineChars="200"/>
              <w:rPr>
                <w:rFonts w:hint="default" w:ascii="宋体" w:hAnsi="宋体" w:cs="宋体"/>
                <w:snapToGrid w:val="0"/>
                <w:color w:val="auto"/>
                <w:kern w:val="0"/>
                <w:szCs w:val="21"/>
                <w:highlight w:val="none"/>
              </w:rPr>
            </w:pPr>
          </w:p>
        </w:tc>
        <w:tc>
          <w:tcPr>
            <w:tcW w:w="1581" w:type="dxa"/>
            <w:vAlign w:val="center"/>
          </w:tcPr>
          <w:p>
            <w:pPr>
              <w:keepNext w:val="0"/>
              <w:keepLines w:val="0"/>
              <w:suppressLineNumbers w:val="0"/>
              <w:spacing w:before="0" w:beforeLines="0" w:beforeAutospacing="0" w:after="0" w:afterLines="0" w:afterAutospacing="0" w:line="240" w:lineRule="auto"/>
              <w:ind w:left="0" w:right="0" w:firstLine="420" w:firstLineChars="200"/>
              <w:jc w:val="both"/>
              <w:rPr>
                <w:rFonts w:hint="default" w:ascii="宋体" w:hAnsi="宋体" w:cs="宋体"/>
                <w:color w:val="auto"/>
                <w:highlight w:val="none"/>
              </w:rPr>
            </w:pPr>
          </w:p>
        </w:tc>
        <w:tc>
          <w:tcPr>
            <w:tcW w:w="1289" w:type="dxa"/>
            <w:vAlign w:val="center"/>
          </w:tcPr>
          <w:p>
            <w:pPr>
              <w:keepNext w:val="0"/>
              <w:keepLines w:val="0"/>
              <w:suppressLineNumbers w:val="0"/>
              <w:spacing w:before="0" w:beforeLines="0" w:beforeAutospacing="0" w:after="0" w:afterLines="0" w:afterAutospacing="0" w:line="240" w:lineRule="auto"/>
              <w:ind w:left="0" w:right="0" w:firstLine="420" w:firstLineChars="200"/>
              <w:jc w:val="both"/>
              <w:rPr>
                <w:rFonts w:hint="default"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6" w:hRule="atLeast"/>
          <w:jc w:val="center"/>
        </w:trPr>
        <w:tc>
          <w:tcPr>
            <w:tcW w:w="582" w:type="dxa"/>
            <w:vAlign w:val="center"/>
          </w:tcPr>
          <w:p>
            <w:pPr>
              <w:keepNext w:val="0"/>
              <w:keepLines w:val="0"/>
              <w:numPr>
                <w:ilvl w:val="0"/>
                <w:numId w:val="8"/>
              </w:numPr>
              <w:suppressLineNumbers w:val="0"/>
              <w:spacing w:before="0" w:beforeLines="0" w:beforeAutospacing="0" w:after="0" w:afterLines="0" w:afterAutospacing="0" w:line="240" w:lineRule="auto"/>
              <w:ind w:right="0" w:firstLine="0" w:firstLineChars="0"/>
              <w:jc w:val="center"/>
              <w:rPr>
                <w:rFonts w:hint="default" w:ascii="宋体" w:hAnsi="宋体" w:cs="宋体"/>
                <w:color w:val="auto"/>
                <w:szCs w:val="21"/>
                <w:highlight w:val="none"/>
              </w:rPr>
            </w:pPr>
          </w:p>
        </w:tc>
        <w:tc>
          <w:tcPr>
            <w:tcW w:w="5563" w:type="dxa"/>
            <w:vAlign w:val="center"/>
          </w:tcPr>
          <w:p>
            <w:pPr>
              <w:keepNext w:val="0"/>
              <w:keepLines w:val="0"/>
              <w:suppressLineNumbers w:val="0"/>
              <w:tabs>
                <w:tab w:val="left" w:pos="426"/>
              </w:tabs>
              <w:spacing w:before="0" w:beforeLines="0" w:beforeAutospacing="0" w:after="0" w:afterLines="0" w:afterAutospacing="0"/>
              <w:ind w:left="0" w:right="0" w:firstLine="422" w:firstLineChars="200"/>
              <w:outlineLvl w:val="9"/>
              <w:rPr>
                <w:rFonts w:hint="eastAsia" w:ascii="Times New Roman" w:eastAsia="宋体" w:cs="Arial"/>
                <w:b/>
                <w:color w:val="auto"/>
                <w:sz w:val="21"/>
                <w:szCs w:val="21"/>
                <w:highlight w:val="none"/>
              </w:rPr>
            </w:pPr>
            <w:r>
              <w:rPr>
                <w:rFonts w:hint="eastAsia" w:ascii="Times New Roman" w:eastAsia="宋体" w:cs="Arial"/>
                <w:b/>
                <w:color w:val="auto"/>
                <w:sz w:val="21"/>
                <w:szCs w:val="21"/>
                <w:highlight w:val="none"/>
                <w:lang w:eastAsia="zh-CN"/>
              </w:rPr>
              <w:t>（五）</w:t>
            </w:r>
            <w:r>
              <w:rPr>
                <w:rFonts w:hint="eastAsia" w:ascii="Times New Roman" w:eastAsia="宋体" w:cs="Arial"/>
                <w:b/>
                <w:color w:val="auto"/>
                <w:sz w:val="21"/>
                <w:szCs w:val="21"/>
                <w:highlight w:val="none"/>
              </w:rPr>
              <w:t>服务要求</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1、项目监理要点</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1.1材料控制</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协助招标单位管理好采购合同，对采购计划进行监督与控制，审核、验收、移交符合合同和相关标准的材料。主要工作为以下内容：</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1）审核承建单位的材料采购计划和材料采购清单；</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2）审核材料的质量和到货时间；</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3）组织到货验收，三方现场开箱；发现短缺或破损，及时要求材料提供商补发或免费更换；</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4）审核材料到货清单是否与材料采购清单相符、到货材料是否与合同所规定的规格相符，做好记录；审核到货材料的合格证明、渠道、供应商保证书等证明文件是否齐全、真实，必要时利用测试工具进行评估和测试；</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5）审核材料移交、提交材料到货验收报告；</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注：此阶段要求承建单位提前三天通知招标单位和中标单位材料到达时间和地点，并提交交货清单。</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1.2质量控制</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default"/>
                <w:color w:val="auto"/>
                <w:szCs w:val="21"/>
                <w:highlight w:val="none"/>
              </w:rPr>
              <w:tab/>
            </w:r>
            <w:r>
              <w:rPr>
                <w:rFonts w:hint="eastAsia"/>
                <w:color w:val="auto"/>
                <w:szCs w:val="21"/>
                <w:highlight w:val="none"/>
              </w:rPr>
              <w:t>1）依据有关的招标文件、投标文件、合同和设计单位制定的技术规范书，审查、监督、控制项目建设的质量；</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2）采取事前预防、事中控制、事后纠正的监理方式，依据国家法律、法规、标准以及项目合同、设计方案、监理规划、监理实施细则等文件控制工程质量；</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3）组织项目质量事故的原因调查、问题分析、问题评估、事故处理；</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4）监督系统项目需求管理、配置管理的执行和控制情况，督促整改存在的问题；</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5）跟踪各子项目在质保期内的运行状况，督促实施方做好售后及</w:t>
            </w:r>
            <w:r>
              <w:rPr>
                <w:rFonts w:hint="default"/>
                <w:color w:val="auto"/>
                <w:szCs w:val="21"/>
                <w:highlight w:val="none"/>
              </w:rPr>
              <w:t>保修</w:t>
            </w:r>
            <w:r>
              <w:rPr>
                <w:rFonts w:hint="eastAsia"/>
                <w:color w:val="auto"/>
                <w:szCs w:val="21"/>
                <w:highlight w:val="none"/>
              </w:rPr>
              <w:t>服务。</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1.3进度控制</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1）协助进行项目建设周期总进度目标的分析、论证；</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2）审查各子项目的进度计划，并监督计划的执行；</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3）控制项目实施的进度；</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4）编制项目实施各阶段、各年、季、月度的进度监理计划，并控制其执行，必要时调整进度计划；</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5）审核设计方、承建单位和材料设备供货方提出的进度计划/供货计划，检查、督促和控制其执行；</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6）发现项目未能按计划进行时，要求项目承包商调整或修改计划，采取必要措施加快开发进度，以使实际项目进度符合合同的要求；</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7）在项目实施过程中，每月进行计划值与实际值的比较，每月、季、年度提交各种进度控制监理报告和报表。</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1.4变更控制</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1）对项目变更进行严格控制，不能随意地进行变更；</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2）监理对可能发生的风险以及可能引起的变更要保持预控能力，也应当具备快速反应能力；</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3）对变更申请快速响应；</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4）任何变更都要得到三方（招标单位、承建单位、中标单位）确认；</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5）明确界定项目变更的目标；</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6）加强变更风险及变更效果的评估；</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7）及时公布变更信息；</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8）选择冲击最小的方案；</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9）执行制定完成的变更程序，对变更进行严格的控制。</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1.5投资控制</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1）动态管理、跟踪项目费用，进行费用控制和分析；</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2）审查项目进度款申报；</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3）严格控制和审查项目需求变更，核算成本和变化量，报招标单位审批；</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4）审核承建单位的工程量清单和工程竣工结算。</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1.6合同管理</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1）协助招标单位确定项目实施的合同结构；</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2）协助招标单位起草与项目有关的各类合同（包括设计合同、集成合同、开发合同、施工合同、材料和设备定货与安装调试合同等）；</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3）参与合同谈判；</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4）监督检查承建单位合同，确保承建单位按时履约；</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5）合同的跟踪管理（检查各方执行情况，提交合同管理报表与报告）；</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6）协助招标单位处理各子项目实施的每个过程出现的违约、索赔、延期、分包、纠纷调解及仲裁等问题；</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7）合同整理与归档。</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1.7信息管理</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1）及时向招标单位提交反映各子项目的动态信息和监理工作情况的项目文档；</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2）建立全面、准确反映各子项目各阶段状况的图表、文档，收集、管理项目各类文档和资料；</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3）督促、检查承建单位及时完成各阶段设计文档、会议纪要、变更单、问题跟踪单、监理建议书、监理通知书等资料的整理和归档工作；</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4）审查承建单位的设计文档、变更单、问题跟踪单，审查承建单位与招标单位之间的业务联系单、备忘录、电子邮件、传真、电话记录等，并加具处理意见；</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5）当项目质量或工期出现问题或严重偏离计划时，应及时向招标单位报告，并提出对策建议，同时督促承建单位尽快采取措施。</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1.8组织协调</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1）帮助招标单位划分或澄清承建单位的工作范围和职责；</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2）监督本项目各方履行职责，协调各方的工作关系；</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3）建立畅通的沟通平台和沟通渠道，采取有效措施使项目信息在有关各方之间保持顺畅流通，积极协调本项目各方之间的关系，推动项目实施过程中问题的解决。</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1.9信息安全管理</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1）督促承建单位建立完善的信息安全管理制度，数据备份制度；</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2）组织信息安全事故的调查与处理；</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3）建立信息化工程监理的信息安全管理工作目标和管理流程。</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1.10项目文档管理</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督促检查承建单位及时完成各阶段设计文档、测试记录、变更记录、问题跟踪处理记录等文件的归档工作，按归档要求进行分类整理归档，按时完成竣工资料（包括监理工作方面的归档资料）验收。确保项目中各类文件传送的规范化、制度化，监理类文书资料管理的科学化、规范化；</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2）监理单位的文档管理人员，负责收集、管理监理工作各类文书资料，对监理工作文档、收发文签收登记等进行管理；</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3）现场监理人员须完成监理日志、隐蔽工程记录表、工程量复核资料等文档资料，并保证数据无误。</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2、项目日常监理</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2.1掌握监理范围内涉及的各种技术及相关标准；</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2.2安排足够的监理人员，按项目需要派驻相应的专业人员进行项目监理，至少保证1名监理项目师在现场，随时为招标单位提供服务，安排总监理工程师服务本项目；</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2.3制定工程管理的组织机构方案并协助招标单位组建相关机构，并提供相关培训；</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2.4熟悉了解本项目各子项目的业务需求，协助招标单位对项目的目标、范围和功能进行界定，参与并协助本项目各子项目的招标技术文件编制工作（包括各项目建设需求的整理编制工作）；</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2.5参与各项目的招投标工作，参与各项合同的起草、评审及谈判工作，并对合同的执行情况进行总体监督；</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2.6建立健全科学合理的会议制度，并予以贯彻落实；</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2.7建立健全科学合理的文档管理制度，制订实施过程中产生的各类文档制作、管理规范，并予以贯彻落实；</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2.8与招标单位一起制定评审机制，在项目实施全过程中随时关注隐患苗头，如发现将会导致项目失败的情况出现时，应及时启动评审机制，组织专家对项目实施情况进行评审，对评审不合格的，应向招标单位提出终止合同意见；</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2.9其他需要日常监理的事项。</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3、项目过程监理</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3.1实施过程中的监理</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1）为保障项目全过程优质监理服务，投标单位应提供对本项目优质服务承诺；</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2）编制监理大纲、监理规划、监理实施细则，提交给招标单位审核；</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3）根据相关项目的工作范围的要求，制定出详细的项目管理实施计划，主要内容包括项目计划管理、人员管理、进度管理、质量管理、变更与风险管理、合同管理、安全管理、知识产权管理、沟通与协调管理、评估与验收管理、文档管理、项目管理办法、承建单位管理办法等，提交给招标单位审核，并依此进行过程管理；</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4）审核承建单位的开工申请报告，对承建单位进行开工前检查；</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5）根据项目的总体规划，与招标单位联合对承建单位制定的项目总体实施方案、技术方案、实施策略、实施规范等进行审核评估，并提交审核意见及相关问题处理方案和措施，以及监督方案和措施的执行；</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6）检查项目采用硬件、系统软件是否符合采购文件或技术方案所确定的品牌、型号、规格和质量标准，提交相关验收清单和验收方法，依此严格审查验收采购的硬件、系统软件产品，保证所有硬件、系统软件都符合合同要求；</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7）督促承建单位严格执行项目合同、国家相关技术标准、规范，对违反要求的及时向招标单位报告，并提出处理方案。对项目中的难点、重点进行检查，做好分项验收工作；</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8）对各项目以及项目整体的进展状况进行评审及监控，定期检查汇报项目实际进度情况，审核承建单位的进度报告，对项目实施过程中各个阶段的实施成果进行评审和管理，并提交审核意见及相关问题处理方案和措施，以及监督方案和措施的执行；</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9）监督需求管理、配置管理的执行和控制情况，督促整改存在的问题；</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10）根据项目进度情况，对阶段测试方案进行评审，并根据测试方案对已完成部分进行测试，就发现的问题提出处理方案和措施，以及监督方案和措施的执行；</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11）对项目的重大变更进行审核和有效控制，提出相关变更处理方案及措施，以及监督方案和措施的执行，处理好各种变更及索赔事宜；</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12）发现质量问题时及时向招标单位报告，并提出处理方案和措施，以及监督方案和措施执行；</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13）督促及监督承建单位按照有关部门规定的安全文明施工标准开展安全文明施工的规范培训、现场施工的安全防护与标识牌的设置；</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14）每月编制监理月报向招标单位综合报告和评价本月的质量和进度、合同执行情况、发生的重大事件、下月工作的计划、需要配合的事宜以及发生变化的可能性与应对措施；</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15）其他需要监理的事项。</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3.2试运行阶段的监理</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1）协助招标单位确认项目进入试运行；</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2）监查系统的调试和试运行情况，记录系统试运行数据；</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3）进行试运行期系统检测或测试，做出检测或测试报告；</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4）试运行期间系统出现的质量问题进行记录，并责成有关单位解决。</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5）进行试运行时间核算；</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6）协助招标单位确认试运行通过。</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3.3验收过程中的监理</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1）审核承建单位测试方案、竣工文档、验收报告、项目结算，对测试过程进行全程监控，确保交付质量；</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2）协助招标单位审批承建单位的验收申请，并制订项目验收计划；</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3）协助招标单位进行项目初验、试运行和终验工作，并负责督促和检查承建单位的整改工作；</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4）各项目完工后根据相关合同督促承建单位将完整的原始实施技术资料移交给招标单位，同时负责检查移交的文档（项目的设计方案、设计图纸，设备、材料等的验收文档，项目施工文档、竣工文档），确保真实和完整；</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5）复核确认或否决承建单位编制的项目结算、决算，提出监理意见；</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6）项目验收通过后，与招标单位、承建单位三方共同签署验收报告；</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7）项目验收完毕进入保修阶段的审核与签发移交证书。</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8）出具监理总结报告；</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9）其他需要监理的事项。</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3.4保修阶段的监理</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1）审核承建单位的维护维修（定期维护）计划，并定期检查承建单位是否按计划进行定期维护；</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2）当出现质量问题时，鉴定质量问题的责任；</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3）对质量问题的处理结果进行跟踪、评审，直至解决为止；</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4）审查造成质量问题的费用清单，并根据相关责任认定费用由谁支付；</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5）出具保修服务期的监理总结报告；</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6）其他需要监理的事项。</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3.5项目的动态管理和控制要求</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投标单位应根据项目的特点，制定项目的目标规划、动态控制和管理方案，对项目进行主动控制，对项目实施动态管理，发现问题，及时纠偏，不断修改。</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4、监理终止要求</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在本项目工程监理过程中，发生下列几种情况时之一的，招标单位有权向有关部门申请，终止与投标单位所签订的监理合同。</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4.1要求常驻的监理工程师出现严重的脱岗情况的；</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4.2经监理单位验收过的项目内容与承建单位提供产品（或服务）内容不一致；</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4.3监理单位与项目承建单位联合欺骗招标单位，弄虚作假的；</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4.4监理单位验收过的项目出现严重质量事故的；</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4.5参与本项目的监理工程师频繁更换且未经招标单位同意的；</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4.6监理单位所派出的监理工程师的服务质量较差；</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4.7监理单位将本项目的子项目分包给其他监理单位的；</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4.8监理单位泄露本项目的工作秘密的；</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4.9监理单位未能依法履行其他监理职责的。</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5、监理服务质量保障</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要求投标单位根据自身特点，在公司资质、案例、质量保障体系、人员结构、监理设施配置等不同角度来说明完成上述监理工作的保证。</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6、安全保密要求</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本项目要求投标单位制定一整套监理安全保密制度(随同投标文件一起上传)，确定项目保密责任人，同时要求投标单位：</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6.1按照国家、省的有关法规文件规定，要求监理履行保密责任，并与招标单位签订保密协议；</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6.2中标单位各级组织严格履行保密职责；</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6.3按照公司内部保密规定开展监理工作。</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投标单位根据上述监理工作内容（但不局限于上述内容），分别制定详细的监理工作流程，使</w:t>
            </w:r>
            <w:r>
              <w:rPr>
                <w:rFonts w:hint="eastAsia"/>
                <w:color w:val="auto"/>
                <w:szCs w:val="21"/>
                <w:highlight w:val="none"/>
                <w:lang w:eastAsia="zh-CN"/>
              </w:rPr>
              <w:t>智慧前海视频云平台二期项目</w:t>
            </w:r>
            <w:r>
              <w:rPr>
                <w:rFonts w:hint="eastAsia"/>
                <w:color w:val="auto"/>
                <w:szCs w:val="21"/>
                <w:highlight w:val="none"/>
              </w:rPr>
              <w:t>监理的监理工作流程化、制度化。</w:t>
            </w:r>
          </w:p>
          <w:p>
            <w:pPr>
              <w:keepNext w:val="0"/>
              <w:keepLines w:val="0"/>
              <w:suppressLineNumbers w:val="0"/>
              <w:spacing w:before="0" w:beforeLines="0" w:beforeAutospacing="0" w:after="0" w:afterLines="0" w:afterAutospacing="0"/>
              <w:ind w:left="0" w:right="0" w:firstLine="420" w:firstLineChars="200"/>
              <w:rPr>
                <w:rFonts w:hint="default" w:ascii="宋体" w:hAnsi="宋体" w:cs="宋体"/>
                <w:snapToGrid w:val="0"/>
                <w:color w:val="auto"/>
                <w:kern w:val="0"/>
                <w:szCs w:val="21"/>
                <w:highlight w:val="none"/>
              </w:rPr>
            </w:pPr>
          </w:p>
        </w:tc>
        <w:tc>
          <w:tcPr>
            <w:tcW w:w="1581" w:type="dxa"/>
            <w:vAlign w:val="center"/>
          </w:tcPr>
          <w:p>
            <w:pPr>
              <w:keepNext w:val="0"/>
              <w:keepLines w:val="0"/>
              <w:suppressLineNumbers w:val="0"/>
              <w:spacing w:before="0" w:beforeLines="0" w:beforeAutospacing="0" w:after="0" w:afterLines="0" w:afterAutospacing="0" w:line="240" w:lineRule="auto"/>
              <w:ind w:left="0" w:right="0" w:firstLine="420" w:firstLineChars="200"/>
              <w:jc w:val="both"/>
              <w:rPr>
                <w:rFonts w:hint="default" w:ascii="宋体" w:hAnsi="宋体" w:cs="宋体"/>
                <w:color w:val="auto"/>
                <w:highlight w:val="none"/>
              </w:rPr>
            </w:pPr>
          </w:p>
        </w:tc>
        <w:tc>
          <w:tcPr>
            <w:tcW w:w="1289" w:type="dxa"/>
            <w:vAlign w:val="center"/>
          </w:tcPr>
          <w:p>
            <w:pPr>
              <w:keepNext w:val="0"/>
              <w:keepLines w:val="0"/>
              <w:suppressLineNumbers w:val="0"/>
              <w:spacing w:before="0" w:beforeLines="0" w:beforeAutospacing="0" w:after="0" w:afterLines="0" w:afterAutospacing="0" w:line="240" w:lineRule="auto"/>
              <w:ind w:left="0" w:right="0" w:firstLine="420" w:firstLineChars="200"/>
              <w:jc w:val="both"/>
              <w:rPr>
                <w:rFonts w:hint="default"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6" w:hRule="atLeast"/>
          <w:jc w:val="center"/>
        </w:trPr>
        <w:tc>
          <w:tcPr>
            <w:tcW w:w="582" w:type="dxa"/>
            <w:vAlign w:val="center"/>
          </w:tcPr>
          <w:p>
            <w:pPr>
              <w:keepNext w:val="0"/>
              <w:keepLines w:val="0"/>
              <w:numPr>
                <w:ilvl w:val="0"/>
                <w:numId w:val="8"/>
              </w:numPr>
              <w:suppressLineNumbers w:val="0"/>
              <w:spacing w:before="0" w:beforeLines="0" w:beforeAutospacing="0" w:after="0" w:afterLines="0" w:afterAutospacing="0" w:line="240" w:lineRule="auto"/>
              <w:ind w:right="0" w:firstLine="0" w:firstLineChars="0"/>
              <w:jc w:val="center"/>
              <w:rPr>
                <w:rFonts w:hint="default" w:ascii="宋体" w:hAnsi="宋体" w:cs="宋体"/>
                <w:color w:val="auto"/>
                <w:szCs w:val="21"/>
                <w:highlight w:val="none"/>
              </w:rPr>
            </w:pPr>
          </w:p>
        </w:tc>
        <w:tc>
          <w:tcPr>
            <w:tcW w:w="5563" w:type="dxa"/>
            <w:vAlign w:val="center"/>
          </w:tcPr>
          <w:p>
            <w:pPr>
              <w:keepNext w:val="0"/>
              <w:keepLines w:val="0"/>
              <w:suppressLineNumbers w:val="0"/>
              <w:spacing w:before="0" w:beforeLines="0" w:beforeAutospacing="0" w:after="0" w:afterLines="0" w:afterAutospacing="0" w:line="240" w:lineRule="auto"/>
              <w:ind w:left="0" w:right="0" w:firstLine="420" w:firstLineChars="200"/>
              <w:jc w:val="both"/>
              <w:outlineLvl w:val="9"/>
              <w:rPr>
                <w:rFonts w:hint="eastAsia" w:ascii="黑体" w:hAnsi="宋体"/>
                <w:bCs w:val="0"/>
                <w:color w:val="auto"/>
                <w:kern w:val="0"/>
                <w:highlight w:val="none"/>
              </w:rPr>
            </w:pPr>
            <w:r>
              <w:rPr>
                <w:rFonts w:hint="eastAsia" w:ascii="黑体" w:hAnsi="宋体"/>
                <w:bCs w:val="0"/>
                <w:color w:val="auto"/>
                <w:kern w:val="0"/>
                <w:highlight w:val="none"/>
                <w:lang w:eastAsia="zh-CN"/>
              </w:rPr>
              <w:t>五、</w:t>
            </w:r>
            <w:r>
              <w:rPr>
                <w:rFonts w:hint="eastAsia" w:ascii="黑体" w:hAnsi="宋体"/>
                <w:bCs w:val="0"/>
                <w:color w:val="auto"/>
                <w:kern w:val="0"/>
                <w:highlight w:val="none"/>
              </w:rPr>
              <w:t>商务要求</w:t>
            </w:r>
          </w:p>
          <w:p>
            <w:pPr>
              <w:keepNext w:val="0"/>
              <w:keepLines w:val="0"/>
              <w:suppressLineNumbers w:val="0"/>
              <w:tabs>
                <w:tab w:val="left" w:pos="426"/>
              </w:tabs>
              <w:spacing w:before="0" w:beforeLines="0" w:beforeAutospacing="0" w:after="0" w:afterLines="0" w:afterAutospacing="0"/>
              <w:ind w:left="0" w:right="0" w:firstLine="422" w:firstLineChars="200"/>
              <w:outlineLvl w:val="9"/>
              <w:rPr>
                <w:rFonts w:hint="eastAsia" w:cs="Arial"/>
                <w:b/>
                <w:color w:val="auto"/>
                <w:szCs w:val="21"/>
                <w:highlight w:val="none"/>
              </w:rPr>
            </w:pPr>
            <w:r>
              <w:rPr>
                <w:rFonts w:hint="eastAsia" w:cs="Arial"/>
                <w:b/>
                <w:color w:val="auto"/>
                <w:szCs w:val="21"/>
                <w:highlight w:val="none"/>
                <w:lang w:eastAsia="zh-CN"/>
              </w:rPr>
              <w:t>（一）</w:t>
            </w:r>
            <w:r>
              <w:rPr>
                <w:rFonts w:hint="eastAsia" w:cs="Arial"/>
                <w:b/>
                <w:color w:val="auto"/>
                <w:szCs w:val="21"/>
                <w:highlight w:val="none"/>
              </w:rPr>
              <w:t>报价要求及合同期限</w:t>
            </w:r>
          </w:p>
          <w:p>
            <w:pPr>
              <w:keepNext w:val="0"/>
              <w:keepLines w:val="0"/>
              <w:suppressLineNumbers w:val="0"/>
              <w:tabs>
                <w:tab w:val="left" w:pos="426"/>
              </w:tabs>
              <w:spacing w:before="0" w:beforeLines="0" w:beforeAutospacing="0" w:after="0" w:afterLines="0" w:afterAutospacing="0"/>
              <w:ind w:left="0" w:right="0" w:firstLine="422" w:firstLineChars="200"/>
              <w:rPr>
                <w:rFonts w:hint="default"/>
                <w:b/>
                <w:color w:val="auto"/>
                <w:szCs w:val="21"/>
                <w:highlight w:val="none"/>
              </w:rPr>
            </w:pPr>
            <w:r>
              <w:rPr>
                <w:rFonts w:hint="eastAsia"/>
                <w:b/>
                <w:color w:val="auto"/>
                <w:szCs w:val="21"/>
                <w:highlight w:val="none"/>
              </w:rPr>
              <w:t>1.本项目服务期限：</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lang w:val="en-US" w:eastAsia="zh-CN"/>
              </w:rPr>
              <w:t>1）</w:t>
            </w:r>
            <w:r>
              <w:rPr>
                <w:rFonts w:hint="eastAsia"/>
                <w:color w:val="auto"/>
                <w:szCs w:val="21"/>
                <w:highlight w:val="none"/>
              </w:rPr>
              <w:t>自工程开工至工程竣工验收合格、保修期完成。</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lang w:val="en-US" w:eastAsia="zh-CN"/>
              </w:rPr>
              <w:t>2）</w:t>
            </w:r>
            <w:r>
              <w:rPr>
                <w:rFonts w:hint="eastAsia"/>
                <w:color w:val="auto"/>
                <w:szCs w:val="21"/>
                <w:highlight w:val="none"/>
              </w:rPr>
              <w:t>项目审计和保修期间，中标单位仍需提供阶段性服务，并及时接受招标单位的工作安排开展工作。</w:t>
            </w:r>
          </w:p>
          <w:p>
            <w:pPr>
              <w:keepNext w:val="0"/>
              <w:keepLines w:val="0"/>
              <w:suppressLineNumbers w:val="0"/>
              <w:tabs>
                <w:tab w:val="left" w:pos="426"/>
              </w:tabs>
              <w:spacing w:before="0" w:beforeLines="0" w:beforeAutospacing="0" w:after="0" w:afterLines="0" w:afterAutospacing="0"/>
              <w:ind w:left="0" w:right="0" w:firstLine="422" w:firstLineChars="200"/>
              <w:rPr>
                <w:rFonts w:hint="default"/>
                <w:b/>
                <w:color w:val="auto"/>
                <w:szCs w:val="21"/>
                <w:highlight w:val="none"/>
              </w:rPr>
            </w:pPr>
            <w:r>
              <w:rPr>
                <w:rFonts w:hint="eastAsia"/>
                <w:b/>
                <w:color w:val="auto"/>
                <w:szCs w:val="21"/>
                <w:highlight w:val="none"/>
              </w:rPr>
              <w:t>2报价要求</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2.1投标单位应提供详细分项报价清单（含报价依据及其详细计算过程等）；</w:t>
            </w:r>
          </w:p>
          <w:p>
            <w:pPr>
              <w:keepNext w:val="0"/>
              <w:keepLines w:val="0"/>
              <w:suppressLineNumbers w:val="0"/>
              <w:tabs>
                <w:tab w:val="left" w:pos="426"/>
              </w:tabs>
              <w:spacing w:before="0" w:beforeAutospacing="0" w:after="0" w:afterAutospacing="0" w:line="360" w:lineRule="exact"/>
              <w:ind w:left="0" w:right="0" w:firstLine="422" w:firstLineChars="200"/>
              <w:rPr>
                <w:rFonts w:hint="eastAsia"/>
                <w:b/>
                <w:color w:val="auto"/>
                <w:szCs w:val="21"/>
                <w:highlight w:val="none"/>
              </w:rPr>
            </w:pPr>
            <w:r>
              <w:rPr>
                <w:rFonts w:hint="eastAsia"/>
                <w:b/>
                <w:color w:val="auto"/>
                <w:kern w:val="18"/>
                <w:szCs w:val="21"/>
                <w:highlight w:val="none"/>
              </w:rPr>
              <w:t>本工程监理服务酬金总额包括</w:t>
            </w:r>
            <w:r>
              <w:rPr>
                <w:rFonts w:hint="eastAsia"/>
                <w:b/>
                <w:color w:val="auto"/>
                <w:szCs w:val="21"/>
                <w:highlight w:val="none"/>
              </w:rPr>
              <w:t>施工阶段监理服务酬金和保修阶段监理服务酬金两部</w:t>
            </w:r>
            <w:r>
              <w:rPr>
                <w:rFonts w:hint="default"/>
                <w:b/>
                <w:color w:val="auto"/>
                <w:szCs w:val="21"/>
                <w:highlight w:val="none"/>
              </w:rPr>
              <w:t>分</w:t>
            </w:r>
            <w:r>
              <w:rPr>
                <w:rFonts w:hint="eastAsia"/>
                <w:b/>
                <w:color w:val="auto"/>
                <w:szCs w:val="21"/>
                <w:highlight w:val="none"/>
              </w:rPr>
              <w:t>:</w:t>
            </w:r>
          </w:p>
          <w:p>
            <w:pPr>
              <w:pStyle w:val="25"/>
              <w:keepNext w:val="0"/>
              <w:keepLines w:val="0"/>
              <w:widowControl w:val="0"/>
              <w:numPr>
                <w:ilvl w:val="0"/>
                <w:numId w:val="0"/>
              </w:numPr>
              <w:suppressLineNumbers w:val="0"/>
              <w:shd w:val="clear" w:color="auto" w:fill="auto"/>
              <w:adjustRightInd/>
              <w:snapToGrid/>
              <w:spacing w:before="0" w:beforeAutospacing="0" w:after="0" w:afterAutospacing="0" w:line="360" w:lineRule="exact"/>
              <w:ind w:left="840" w:leftChars="0" w:right="0"/>
              <w:jc w:val="both"/>
              <w:rPr>
                <w:rFonts w:hint="default" w:ascii="宋体"/>
                <w:b/>
                <w:color w:val="auto"/>
                <w:szCs w:val="21"/>
                <w:highlight w:val="none"/>
              </w:rPr>
            </w:pPr>
            <w:r>
              <w:rPr>
                <w:rFonts w:hint="eastAsia" w:ascii="宋体"/>
                <w:b/>
                <w:color w:val="auto"/>
                <w:szCs w:val="21"/>
                <w:highlight w:val="none"/>
                <w:lang w:val="en-US" w:eastAsia="zh-CN"/>
              </w:rPr>
              <w:t>1.</w:t>
            </w:r>
            <w:r>
              <w:rPr>
                <w:rFonts w:hint="default" w:ascii="宋体"/>
                <w:b/>
                <w:color w:val="auto"/>
                <w:szCs w:val="21"/>
                <w:highlight w:val="none"/>
              </w:rPr>
              <w:t>.</w:t>
            </w:r>
            <w:r>
              <w:rPr>
                <w:rFonts w:hint="eastAsia" w:ascii="宋体" w:hAnsi="宋体"/>
                <w:b/>
                <w:color w:val="auto"/>
                <w:szCs w:val="21"/>
                <w:highlight w:val="none"/>
              </w:rPr>
              <w:t>工程概算投资额</w:t>
            </w:r>
          </w:p>
          <w:p>
            <w:pPr>
              <w:keepNext w:val="0"/>
              <w:keepLines w:val="0"/>
              <w:suppressLineNumbers w:val="0"/>
              <w:tabs>
                <w:tab w:val="left" w:pos="426"/>
              </w:tabs>
              <w:spacing w:before="0" w:beforeAutospacing="0" w:after="0" w:afterAutospacing="0" w:line="360" w:lineRule="exact"/>
              <w:ind w:left="0" w:right="0" w:firstLine="420" w:firstLineChars="200"/>
              <w:rPr>
                <w:rFonts w:hint="default"/>
                <w:color w:val="auto"/>
                <w:szCs w:val="21"/>
                <w:highlight w:val="none"/>
              </w:rPr>
            </w:pPr>
            <w:r>
              <w:rPr>
                <w:rFonts w:hint="eastAsia"/>
                <w:color w:val="auto"/>
                <w:kern w:val="18"/>
                <w:szCs w:val="21"/>
                <w:highlight w:val="none"/>
              </w:rPr>
              <w:t>本工程概算投资额为</w:t>
            </w:r>
            <w:r>
              <w:rPr>
                <w:rFonts w:hint="default"/>
                <w:color w:val="auto"/>
                <w:szCs w:val="21"/>
                <w:highlight w:val="none"/>
                <w:u w:val="single"/>
              </w:rPr>
              <w:t xml:space="preserve">  </w:t>
            </w:r>
            <w:r>
              <w:rPr>
                <w:rFonts w:hint="eastAsia"/>
                <w:color w:val="auto"/>
                <w:szCs w:val="21"/>
                <w:highlight w:val="none"/>
                <w:u w:val="single"/>
              </w:rPr>
              <w:t>/</w:t>
            </w:r>
            <w:r>
              <w:rPr>
                <w:rFonts w:hint="default"/>
                <w:color w:val="auto"/>
                <w:szCs w:val="21"/>
                <w:highlight w:val="none"/>
                <w:u w:val="single"/>
              </w:rPr>
              <w:t xml:space="preserve">  </w:t>
            </w:r>
            <w:r>
              <w:rPr>
                <w:rFonts w:hint="eastAsia"/>
                <w:color w:val="auto"/>
                <w:szCs w:val="21"/>
                <w:highlight w:val="none"/>
              </w:rPr>
              <w:t>万元，其中：建筑安装工程费</w:t>
            </w:r>
            <w:r>
              <w:rPr>
                <w:rFonts w:hint="eastAsia"/>
                <w:color w:val="auto"/>
                <w:szCs w:val="21"/>
                <w:highlight w:val="none"/>
                <w:lang w:val="en-US" w:eastAsia="zh-CN"/>
              </w:rPr>
              <w:t>暂定</w:t>
            </w:r>
            <w:r>
              <w:rPr>
                <w:rFonts w:hint="default"/>
                <w:color w:val="auto"/>
                <w:szCs w:val="21"/>
                <w:highlight w:val="none"/>
                <w:u w:val="single"/>
              </w:rPr>
              <w:t xml:space="preserve"> </w:t>
            </w:r>
            <w:r>
              <w:rPr>
                <w:rFonts w:hint="eastAsia"/>
                <w:color w:val="auto"/>
                <w:szCs w:val="21"/>
                <w:highlight w:val="none"/>
                <w:u w:val="single"/>
                <w:lang w:val="en-US" w:eastAsia="zh-CN"/>
              </w:rPr>
              <w:t>903.99</w:t>
            </w:r>
            <w:r>
              <w:rPr>
                <w:rFonts w:hint="default"/>
                <w:color w:val="auto"/>
                <w:szCs w:val="21"/>
                <w:highlight w:val="none"/>
                <w:u w:val="single"/>
              </w:rPr>
              <w:t xml:space="preserve">   </w:t>
            </w:r>
            <w:r>
              <w:rPr>
                <w:rFonts w:hint="eastAsia"/>
                <w:color w:val="auto"/>
                <w:szCs w:val="21"/>
                <w:highlight w:val="none"/>
              </w:rPr>
              <w:t>万元。</w:t>
            </w:r>
          </w:p>
          <w:p>
            <w:pPr>
              <w:pStyle w:val="25"/>
              <w:keepNext w:val="0"/>
              <w:keepLines w:val="0"/>
              <w:widowControl w:val="0"/>
              <w:numPr>
                <w:ilvl w:val="0"/>
                <w:numId w:val="0"/>
              </w:numPr>
              <w:suppressLineNumbers w:val="0"/>
              <w:shd w:val="clear" w:color="auto" w:fill="auto"/>
              <w:adjustRightInd/>
              <w:snapToGrid/>
              <w:spacing w:before="0" w:beforeAutospacing="0" w:after="0" w:afterAutospacing="0" w:line="360" w:lineRule="exact"/>
              <w:ind w:left="840" w:leftChars="0" w:right="0"/>
              <w:jc w:val="both"/>
              <w:rPr>
                <w:rFonts w:hint="eastAsia"/>
                <w:color w:val="auto"/>
                <w:szCs w:val="21"/>
                <w:highlight w:val="none"/>
              </w:rPr>
            </w:pPr>
            <w:r>
              <w:rPr>
                <w:rFonts w:hint="eastAsia" w:ascii="宋体" w:hAnsi="宋体"/>
                <w:b/>
                <w:color w:val="auto"/>
                <w:szCs w:val="21"/>
                <w:highlight w:val="none"/>
                <w:lang w:val="en-US" w:eastAsia="zh-CN"/>
              </w:rPr>
              <w:t>2</w:t>
            </w:r>
            <w:r>
              <w:rPr>
                <w:rFonts w:hint="eastAsia" w:ascii="宋体" w:hAnsi="宋体"/>
                <w:b/>
                <w:color w:val="auto"/>
                <w:szCs w:val="21"/>
                <w:highlight w:val="none"/>
              </w:rPr>
              <w:t>.监理服务酬金基价</w:t>
            </w:r>
          </w:p>
          <w:p>
            <w:pPr>
              <w:keepNext w:val="0"/>
              <w:keepLines w:val="0"/>
              <w:suppressLineNumbers w:val="0"/>
              <w:tabs>
                <w:tab w:val="left" w:pos="426"/>
              </w:tabs>
              <w:spacing w:before="0" w:beforeAutospacing="0" w:after="0" w:afterAutospacing="0" w:line="360" w:lineRule="exact"/>
              <w:ind w:left="0" w:right="0" w:firstLine="840" w:firstLineChars="400"/>
              <w:rPr>
                <w:rFonts w:hint="eastAsia"/>
                <w:color w:val="auto"/>
                <w:kern w:val="18"/>
                <w:szCs w:val="21"/>
                <w:highlight w:val="none"/>
                <w:u w:val="single"/>
                <w:lang w:val="en-US" w:eastAsia="zh-CN"/>
              </w:rPr>
            </w:pPr>
            <w:r>
              <w:rPr>
                <w:rFonts w:hint="eastAsia"/>
                <w:color w:val="auto"/>
                <w:kern w:val="18"/>
                <w:szCs w:val="21"/>
                <w:highlight w:val="none"/>
              </w:rPr>
              <w:t>经投标单位确认，本工程监理服务酬金</w:t>
            </w:r>
            <w:r>
              <w:rPr>
                <w:rFonts w:hint="eastAsia"/>
                <w:color w:val="auto"/>
                <w:kern w:val="18"/>
                <w:szCs w:val="21"/>
                <w:highlight w:val="none"/>
                <w:lang w:val="en-US" w:eastAsia="zh-CN"/>
              </w:rPr>
              <w:t>的投标监理费费率为</w:t>
            </w:r>
            <w:r>
              <w:rPr>
                <w:rFonts w:hint="eastAsia"/>
                <w:color w:val="auto"/>
                <w:kern w:val="18"/>
                <w:szCs w:val="21"/>
                <w:highlight w:val="none"/>
                <w:u w:val="single"/>
              </w:rPr>
              <w:t xml:space="preserve"> </w:t>
            </w:r>
            <w:r>
              <w:rPr>
                <w:rFonts w:hint="eastAsia"/>
                <w:color w:val="auto"/>
                <w:kern w:val="18"/>
                <w:szCs w:val="21"/>
                <w:highlight w:val="none"/>
                <w:u w:val="single"/>
                <w:lang w:val="en-US" w:eastAsia="zh-CN"/>
              </w:rPr>
              <w:t xml:space="preserve"> </w:t>
            </w:r>
            <w:r>
              <w:rPr>
                <w:rFonts w:hint="eastAsia"/>
                <w:color w:val="auto"/>
                <w:kern w:val="18"/>
                <w:szCs w:val="21"/>
                <w:highlight w:val="none"/>
                <w:u w:val="single"/>
              </w:rPr>
              <w:t xml:space="preserve"> </w:t>
            </w:r>
            <w:r>
              <w:rPr>
                <w:rFonts w:hint="eastAsia"/>
                <w:color w:val="auto"/>
                <w:kern w:val="18"/>
                <w:szCs w:val="21"/>
                <w:highlight w:val="none"/>
                <w:u w:val="single"/>
                <w:lang w:val="en-US" w:eastAsia="zh-CN"/>
              </w:rPr>
              <w:t xml:space="preserve"> %</w:t>
            </w:r>
          </w:p>
          <w:p>
            <w:pPr>
              <w:keepNext w:val="0"/>
              <w:keepLines w:val="0"/>
              <w:suppressLineNumbers w:val="0"/>
              <w:tabs>
                <w:tab w:val="left" w:pos="426"/>
              </w:tabs>
              <w:spacing w:before="0" w:beforeAutospacing="0" w:after="0" w:afterAutospacing="0" w:line="360" w:lineRule="exact"/>
              <w:ind w:left="0" w:right="0" w:firstLine="420" w:firstLineChars="200"/>
              <w:rPr>
                <w:rFonts w:hint="eastAsia"/>
                <w:color w:val="auto"/>
                <w:kern w:val="18"/>
                <w:szCs w:val="21"/>
                <w:highlight w:val="none"/>
                <w:u w:val="single"/>
                <w:lang w:val="en-US" w:eastAsia="zh-CN"/>
              </w:rPr>
            </w:pPr>
            <w:r>
              <w:rPr>
                <w:rFonts w:hint="eastAsia"/>
                <w:color w:val="auto"/>
                <w:kern w:val="18"/>
                <w:szCs w:val="21"/>
                <w:highlight w:val="none"/>
              </w:rPr>
              <w:t>本工程监理服务酬金</w:t>
            </w:r>
            <w:r>
              <w:rPr>
                <w:rFonts w:hint="eastAsia"/>
                <w:color w:val="auto"/>
                <w:kern w:val="18"/>
                <w:szCs w:val="21"/>
                <w:highlight w:val="none"/>
                <w:lang w:val="en-US" w:eastAsia="zh-CN"/>
              </w:rPr>
              <w:t>基价=</w:t>
            </w:r>
            <w:r>
              <w:rPr>
                <w:rFonts w:hint="eastAsia"/>
                <w:color w:val="auto"/>
                <w:kern w:val="18"/>
                <w:szCs w:val="21"/>
                <w:highlight w:val="none"/>
              </w:rPr>
              <w:t>建筑安装工程费×</w:t>
            </w:r>
            <w:r>
              <w:rPr>
                <w:rFonts w:hint="eastAsia"/>
                <w:color w:val="auto"/>
                <w:kern w:val="18"/>
                <w:szCs w:val="21"/>
                <w:highlight w:val="none"/>
                <w:lang w:val="en-US" w:eastAsia="zh-CN"/>
              </w:rPr>
              <w:t>投标监理费费率为</w:t>
            </w:r>
            <w:r>
              <w:rPr>
                <w:rFonts w:hint="eastAsia"/>
                <w:color w:val="auto"/>
                <w:kern w:val="18"/>
                <w:szCs w:val="21"/>
                <w:highlight w:val="none"/>
                <w:u w:val="single"/>
              </w:rPr>
              <w:t xml:space="preserve"> </w:t>
            </w:r>
            <w:r>
              <w:rPr>
                <w:rFonts w:hint="eastAsia"/>
                <w:color w:val="auto"/>
                <w:kern w:val="18"/>
                <w:szCs w:val="21"/>
                <w:highlight w:val="none"/>
                <w:u w:val="single"/>
                <w:lang w:val="en-US" w:eastAsia="zh-CN"/>
              </w:rPr>
              <w:t xml:space="preserve">  </w:t>
            </w:r>
            <w:r>
              <w:rPr>
                <w:rFonts w:hint="eastAsia"/>
                <w:color w:val="auto"/>
                <w:kern w:val="18"/>
                <w:szCs w:val="21"/>
                <w:highlight w:val="none"/>
                <w:u w:val="single"/>
              </w:rPr>
              <w:t xml:space="preserve"> </w:t>
            </w:r>
            <w:r>
              <w:rPr>
                <w:rFonts w:hint="eastAsia"/>
                <w:color w:val="auto"/>
                <w:kern w:val="18"/>
                <w:szCs w:val="21"/>
                <w:highlight w:val="none"/>
                <w:u w:val="single"/>
                <w:lang w:val="en-US" w:eastAsia="zh-CN"/>
              </w:rPr>
              <w:t>%</w:t>
            </w:r>
          </w:p>
          <w:p>
            <w:pPr>
              <w:keepNext w:val="0"/>
              <w:keepLines w:val="0"/>
              <w:suppressLineNumbers w:val="0"/>
              <w:tabs>
                <w:tab w:val="left" w:pos="426"/>
              </w:tabs>
              <w:spacing w:before="0" w:beforeAutospacing="0" w:after="0" w:afterAutospacing="0" w:line="360" w:lineRule="exact"/>
              <w:ind w:left="0" w:right="0" w:firstLine="420" w:firstLineChars="200"/>
              <w:rPr>
                <w:rFonts w:hint="eastAsia"/>
                <w:color w:val="auto"/>
                <w:kern w:val="18"/>
                <w:szCs w:val="21"/>
                <w:highlight w:val="none"/>
                <w:lang w:val="en-US" w:eastAsia="zh-CN"/>
              </w:rPr>
            </w:pPr>
            <w:r>
              <w:rPr>
                <w:rFonts w:hint="eastAsia"/>
                <w:color w:val="auto"/>
                <w:kern w:val="18"/>
                <w:szCs w:val="21"/>
                <w:highlight w:val="none"/>
              </w:rPr>
              <w:t>本工程监理服务酬金基价为</w:t>
            </w:r>
            <w:r>
              <w:rPr>
                <w:rFonts w:hint="eastAsia"/>
                <w:color w:val="auto"/>
                <w:kern w:val="18"/>
                <w:szCs w:val="21"/>
                <w:highlight w:val="none"/>
                <w:u w:val="single"/>
              </w:rPr>
              <w:t xml:space="preserve">  </w:t>
            </w:r>
            <w:r>
              <w:rPr>
                <w:rFonts w:hint="eastAsia"/>
                <w:color w:val="auto"/>
                <w:kern w:val="18"/>
                <w:szCs w:val="21"/>
                <w:highlight w:val="none"/>
                <w:u w:val="single"/>
                <w:lang w:val="en-US" w:eastAsia="zh-CN"/>
              </w:rPr>
              <w:t xml:space="preserve"> </w:t>
            </w:r>
            <w:r>
              <w:rPr>
                <w:rFonts w:hint="eastAsia"/>
                <w:color w:val="auto"/>
                <w:kern w:val="18"/>
                <w:szCs w:val="21"/>
                <w:highlight w:val="none"/>
                <w:u w:val="single"/>
              </w:rPr>
              <w:t xml:space="preserve">   </w:t>
            </w:r>
            <w:r>
              <w:rPr>
                <w:rFonts w:hint="eastAsia"/>
                <w:color w:val="auto"/>
                <w:kern w:val="18"/>
                <w:szCs w:val="21"/>
                <w:highlight w:val="none"/>
              </w:rPr>
              <w:t>万元。</w:t>
            </w:r>
          </w:p>
          <w:p>
            <w:pPr>
              <w:pStyle w:val="25"/>
              <w:keepNext w:val="0"/>
              <w:keepLines w:val="0"/>
              <w:widowControl w:val="0"/>
              <w:numPr>
                <w:ilvl w:val="0"/>
                <w:numId w:val="0"/>
              </w:numPr>
              <w:suppressLineNumbers w:val="0"/>
              <w:shd w:val="clear" w:color="auto" w:fill="auto"/>
              <w:adjustRightInd/>
              <w:snapToGrid/>
              <w:spacing w:before="0" w:beforeAutospacing="0" w:after="0" w:afterAutospacing="0" w:line="360" w:lineRule="exact"/>
              <w:ind w:left="840" w:leftChars="0" w:right="0"/>
              <w:jc w:val="both"/>
              <w:rPr>
                <w:rFonts w:hint="default" w:ascii="宋体"/>
                <w:b/>
                <w:color w:val="auto"/>
                <w:szCs w:val="21"/>
                <w:highlight w:val="none"/>
              </w:rPr>
            </w:pPr>
            <w:r>
              <w:rPr>
                <w:rFonts w:hint="eastAsia" w:ascii="宋体"/>
                <w:b/>
                <w:color w:val="auto"/>
                <w:szCs w:val="21"/>
                <w:highlight w:val="none"/>
                <w:lang w:val="en-US" w:eastAsia="zh-CN"/>
              </w:rPr>
              <w:t>3.</w:t>
            </w:r>
            <w:r>
              <w:rPr>
                <w:rFonts w:hint="default" w:ascii="宋体"/>
                <w:b/>
                <w:color w:val="auto"/>
                <w:szCs w:val="21"/>
                <w:highlight w:val="none"/>
              </w:rPr>
              <w:t>.</w:t>
            </w:r>
            <w:r>
              <w:rPr>
                <w:rFonts w:hint="eastAsia" w:ascii="宋体"/>
                <w:b/>
                <w:color w:val="auto"/>
                <w:szCs w:val="21"/>
                <w:highlight w:val="none"/>
              </w:rPr>
              <w:t>监理服务酬金</w:t>
            </w:r>
            <w:r>
              <w:rPr>
                <w:rFonts w:hint="eastAsia" w:ascii="宋体"/>
                <w:b/>
                <w:color w:val="auto"/>
                <w:szCs w:val="21"/>
                <w:highlight w:val="none"/>
                <w:lang w:val="en-US" w:eastAsia="zh-CN"/>
              </w:rPr>
              <w:t>总额</w:t>
            </w:r>
          </w:p>
          <w:p>
            <w:pPr>
              <w:pStyle w:val="2"/>
              <w:keepNext w:val="0"/>
              <w:keepLines w:val="0"/>
              <w:suppressLineNumbers w:val="0"/>
              <w:spacing w:before="0" w:beforeAutospacing="0" w:afterAutospacing="0"/>
              <w:ind w:left="0" w:right="0" w:firstLine="422" w:firstLineChars="200"/>
              <w:rPr>
                <w:rFonts w:hint="eastAsia"/>
                <w:lang w:eastAsia="zh-CN"/>
              </w:rPr>
            </w:pPr>
            <w:r>
              <w:rPr>
                <w:rFonts w:hint="eastAsia" w:ascii="宋体"/>
                <w:b/>
                <w:color w:val="auto"/>
                <w:szCs w:val="21"/>
                <w:highlight w:val="none"/>
                <w:lang w:val="en-US" w:eastAsia="zh-CN"/>
              </w:rPr>
              <w:t>在监理服务酬金基价基础上计算监理服务酬金总额。</w:t>
            </w:r>
          </w:p>
          <w:p>
            <w:pPr>
              <w:pStyle w:val="25"/>
              <w:keepNext w:val="0"/>
              <w:keepLines w:val="0"/>
              <w:widowControl w:val="0"/>
              <w:numPr>
                <w:ilvl w:val="0"/>
                <w:numId w:val="0"/>
              </w:numPr>
              <w:suppressLineNumbers w:val="0"/>
              <w:shd w:val="clear" w:color="auto" w:fill="auto"/>
              <w:adjustRightInd/>
              <w:snapToGrid/>
              <w:spacing w:before="0" w:beforeAutospacing="0" w:after="0" w:afterAutospacing="0" w:line="360" w:lineRule="exact"/>
              <w:ind w:left="0" w:right="0"/>
              <w:jc w:val="both"/>
              <w:rPr>
                <w:rFonts w:hint="default" w:ascii="宋体" w:eastAsia="宋体"/>
                <w:b/>
                <w:color w:val="auto"/>
                <w:szCs w:val="21"/>
                <w:highlight w:val="none"/>
                <w:lang w:val="en-US" w:eastAsia="zh-CN"/>
              </w:rPr>
            </w:pPr>
            <w:r>
              <w:rPr>
                <w:rFonts w:hint="eastAsia" w:ascii="宋体"/>
                <w:b/>
                <w:color w:val="auto"/>
                <w:szCs w:val="21"/>
                <w:highlight w:val="none"/>
                <w:lang w:val="en-US" w:eastAsia="zh-CN"/>
              </w:rPr>
              <w:t xml:space="preserve">     计算方法：</w:t>
            </w:r>
          </w:p>
          <w:p>
            <w:pPr>
              <w:keepNext w:val="0"/>
              <w:keepLines w:val="0"/>
              <w:suppressLineNumbers w:val="0"/>
              <w:tabs>
                <w:tab w:val="left" w:pos="426"/>
              </w:tabs>
              <w:spacing w:before="0" w:beforeAutospacing="0" w:after="0" w:afterAutospacing="0" w:line="360" w:lineRule="exact"/>
              <w:ind w:left="0" w:right="0" w:firstLine="420" w:firstLineChars="200"/>
              <w:rPr>
                <w:rFonts w:hint="default"/>
                <w:color w:val="auto"/>
                <w:szCs w:val="21"/>
                <w:highlight w:val="none"/>
              </w:rPr>
            </w:pPr>
            <w:r>
              <w:rPr>
                <w:rFonts w:hint="eastAsia"/>
                <w:color w:val="auto"/>
                <w:szCs w:val="21"/>
                <w:highlight w:val="none"/>
              </w:rPr>
              <w:t>本工程的专业调整系数为</w:t>
            </w:r>
            <w:r>
              <w:rPr>
                <w:rFonts w:hint="default"/>
                <w:color w:val="auto"/>
                <w:szCs w:val="21"/>
                <w:highlight w:val="none"/>
                <w:u w:val="single"/>
              </w:rPr>
              <w:t xml:space="preserve"> </w:t>
            </w:r>
            <w:r>
              <w:rPr>
                <w:rFonts w:hint="eastAsia"/>
                <w:color w:val="auto"/>
                <w:szCs w:val="21"/>
                <w:highlight w:val="none"/>
                <w:u w:val="single"/>
              </w:rPr>
              <w:t>1.0</w:t>
            </w:r>
            <w:r>
              <w:rPr>
                <w:rFonts w:hint="default"/>
                <w:color w:val="auto"/>
                <w:szCs w:val="21"/>
                <w:highlight w:val="none"/>
                <w:u w:val="single"/>
              </w:rPr>
              <w:t xml:space="preserve"> </w:t>
            </w:r>
            <w:r>
              <w:rPr>
                <w:rFonts w:hint="eastAsia"/>
                <w:color w:val="auto"/>
                <w:szCs w:val="21"/>
                <w:highlight w:val="none"/>
              </w:rPr>
              <w:t>，工程复杂程度调整系数为</w:t>
            </w:r>
            <w:r>
              <w:rPr>
                <w:rFonts w:hint="default"/>
                <w:color w:val="auto"/>
                <w:szCs w:val="21"/>
                <w:highlight w:val="none"/>
                <w:u w:val="single"/>
              </w:rPr>
              <w:t xml:space="preserve"> </w:t>
            </w:r>
            <w:r>
              <w:rPr>
                <w:rFonts w:hint="eastAsia"/>
                <w:color w:val="auto"/>
                <w:szCs w:val="21"/>
                <w:highlight w:val="none"/>
                <w:u w:val="single"/>
              </w:rPr>
              <w:t>1.0</w:t>
            </w:r>
            <w:r>
              <w:rPr>
                <w:rFonts w:hint="default"/>
                <w:color w:val="auto"/>
                <w:szCs w:val="21"/>
                <w:highlight w:val="none"/>
                <w:u w:val="single"/>
              </w:rPr>
              <w:t xml:space="preserve"> </w:t>
            </w:r>
            <w:r>
              <w:rPr>
                <w:rFonts w:hint="eastAsia"/>
                <w:color w:val="auto"/>
                <w:szCs w:val="21"/>
                <w:highlight w:val="none"/>
              </w:rPr>
              <w:t>，高程调整系数为</w:t>
            </w:r>
            <w:r>
              <w:rPr>
                <w:rFonts w:hint="default"/>
                <w:color w:val="auto"/>
                <w:szCs w:val="21"/>
                <w:highlight w:val="none"/>
                <w:u w:val="single"/>
              </w:rPr>
              <w:t xml:space="preserve"> </w:t>
            </w:r>
            <w:r>
              <w:rPr>
                <w:rFonts w:hint="eastAsia"/>
                <w:color w:val="auto"/>
                <w:szCs w:val="21"/>
                <w:highlight w:val="none"/>
                <w:u w:val="single"/>
              </w:rPr>
              <w:t>1.0</w:t>
            </w:r>
            <w:r>
              <w:rPr>
                <w:rFonts w:hint="default"/>
                <w:color w:val="auto"/>
                <w:szCs w:val="21"/>
                <w:highlight w:val="none"/>
                <w:u w:val="single"/>
              </w:rPr>
              <w:t xml:space="preserve"> </w:t>
            </w:r>
            <w:r>
              <w:rPr>
                <w:rFonts w:hint="eastAsia"/>
                <w:color w:val="auto"/>
                <w:szCs w:val="21"/>
                <w:highlight w:val="none"/>
              </w:rPr>
              <w:t>。</w:t>
            </w:r>
          </w:p>
          <w:p>
            <w:pPr>
              <w:keepNext w:val="0"/>
              <w:keepLines w:val="0"/>
              <w:suppressLineNumbers w:val="0"/>
              <w:tabs>
                <w:tab w:val="left" w:pos="426"/>
              </w:tabs>
              <w:spacing w:before="0" w:beforeAutospacing="0" w:after="0" w:afterAutospacing="0" w:line="360" w:lineRule="exact"/>
              <w:ind w:left="0" w:right="0" w:firstLine="420" w:firstLineChars="200"/>
              <w:rPr>
                <w:rFonts w:hint="default" w:eastAsia="宋体"/>
                <w:color w:val="auto"/>
                <w:szCs w:val="21"/>
                <w:highlight w:val="none"/>
                <w:lang w:val="en-US" w:eastAsia="zh-CN"/>
              </w:rPr>
            </w:pPr>
            <w:r>
              <w:rPr>
                <w:rFonts w:hint="eastAsia"/>
                <w:color w:val="auto"/>
                <w:szCs w:val="21"/>
                <w:highlight w:val="none"/>
                <w:lang w:val="en-US" w:eastAsia="zh-CN"/>
              </w:rPr>
              <w:t>本工程</w:t>
            </w:r>
            <w:r>
              <w:rPr>
                <w:rFonts w:hint="eastAsia"/>
                <w:color w:val="auto"/>
                <w:szCs w:val="21"/>
                <w:highlight w:val="none"/>
              </w:rPr>
              <w:t>监理服务酬金</w:t>
            </w:r>
            <w:r>
              <w:rPr>
                <w:rFonts w:hint="eastAsia"/>
                <w:color w:val="auto"/>
                <w:szCs w:val="21"/>
                <w:highlight w:val="none"/>
                <w:lang w:val="en-US" w:eastAsia="zh-CN"/>
              </w:rPr>
              <w:t>总额</w:t>
            </w:r>
            <w:r>
              <w:rPr>
                <w:rFonts w:hint="eastAsia"/>
                <w:color w:val="auto"/>
                <w:szCs w:val="21"/>
                <w:highlight w:val="none"/>
              </w:rPr>
              <w:t>＝</w:t>
            </w:r>
            <w:r>
              <w:rPr>
                <w:rFonts w:hint="eastAsia"/>
                <w:color w:val="auto"/>
                <w:szCs w:val="21"/>
                <w:highlight w:val="none"/>
                <w:lang w:val="en-US" w:eastAsia="zh-CN"/>
              </w:rPr>
              <w:t>本工程</w:t>
            </w:r>
            <w:r>
              <w:rPr>
                <w:rFonts w:hint="eastAsia"/>
                <w:color w:val="auto"/>
                <w:szCs w:val="21"/>
                <w:highlight w:val="none"/>
              </w:rPr>
              <w:t>监理服务酬金基价×专业调整系数×工程复杂程度调整系数×高程调整系数</w:t>
            </w:r>
          </w:p>
          <w:p>
            <w:pPr>
              <w:keepNext w:val="0"/>
              <w:keepLines w:val="0"/>
              <w:suppressLineNumbers w:val="0"/>
              <w:tabs>
                <w:tab w:val="left" w:pos="426"/>
              </w:tabs>
              <w:spacing w:before="0" w:beforeAutospacing="0" w:after="0" w:afterAutospacing="0" w:line="360" w:lineRule="exact"/>
              <w:ind w:left="0" w:right="0"/>
              <w:rPr>
                <w:rFonts w:hint="default" w:eastAsia="宋体"/>
                <w:color w:val="auto"/>
                <w:szCs w:val="21"/>
                <w:highlight w:val="none"/>
                <w:u w:val="single"/>
                <w:lang w:val="en-US" w:eastAsia="zh-CN"/>
              </w:rPr>
            </w:pPr>
            <w:r>
              <w:rPr>
                <w:rFonts w:hint="eastAsia"/>
                <w:color w:val="auto"/>
                <w:szCs w:val="21"/>
                <w:highlight w:val="none"/>
              </w:rPr>
              <w:t>＝</w:t>
            </w:r>
            <w:r>
              <w:rPr>
                <w:rFonts w:hint="default"/>
                <w:color w:val="auto"/>
                <w:szCs w:val="21"/>
                <w:highlight w:val="none"/>
                <w:u w:val="single"/>
              </w:rPr>
              <w:t xml:space="preserve">      </w:t>
            </w:r>
            <w:r>
              <w:rPr>
                <w:rFonts w:hint="eastAsia"/>
                <w:color w:val="auto"/>
                <w:szCs w:val="21"/>
                <w:highlight w:val="none"/>
              </w:rPr>
              <w:t>（万元）×</w:t>
            </w:r>
            <w:r>
              <w:rPr>
                <w:rFonts w:hint="default"/>
                <w:color w:val="auto"/>
                <w:szCs w:val="21"/>
                <w:highlight w:val="none"/>
                <w:u w:val="single"/>
              </w:rPr>
              <w:t xml:space="preserve"> </w:t>
            </w:r>
            <w:r>
              <w:rPr>
                <w:rFonts w:hint="eastAsia"/>
                <w:color w:val="auto"/>
                <w:szCs w:val="21"/>
                <w:highlight w:val="none"/>
                <w:u w:val="single"/>
              </w:rPr>
              <w:t>1.0</w:t>
            </w:r>
            <w:r>
              <w:rPr>
                <w:rFonts w:hint="default"/>
                <w:color w:val="auto"/>
                <w:szCs w:val="21"/>
                <w:highlight w:val="none"/>
                <w:u w:val="single"/>
              </w:rPr>
              <w:t xml:space="preserve"> </w:t>
            </w:r>
            <w:r>
              <w:rPr>
                <w:rFonts w:hint="eastAsia"/>
                <w:color w:val="auto"/>
                <w:szCs w:val="21"/>
                <w:highlight w:val="none"/>
              </w:rPr>
              <w:t>×</w:t>
            </w:r>
            <w:r>
              <w:rPr>
                <w:rFonts w:hint="default"/>
                <w:color w:val="auto"/>
                <w:szCs w:val="21"/>
                <w:highlight w:val="none"/>
                <w:u w:val="single"/>
              </w:rPr>
              <w:t xml:space="preserve"> </w:t>
            </w:r>
            <w:r>
              <w:rPr>
                <w:rFonts w:hint="eastAsia"/>
                <w:color w:val="auto"/>
                <w:szCs w:val="21"/>
                <w:highlight w:val="none"/>
                <w:u w:val="single"/>
              </w:rPr>
              <w:t>1.0</w:t>
            </w:r>
            <w:r>
              <w:rPr>
                <w:rFonts w:hint="default"/>
                <w:color w:val="auto"/>
                <w:szCs w:val="21"/>
                <w:highlight w:val="none"/>
                <w:u w:val="single"/>
              </w:rPr>
              <w:t xml:space="preserve"> </w:t>
            </w:r>
            <w:r>
              <w:rPr>
                <w:rFonts w:hint="eastAsia"/>
                <w:color w:val="auto"/>
                <w:szCs w:val="21"/>
                <w:highlight w:val="none"/>
              </w:rPr>
              <w:t>×</w:t>
            </w:r>
            <w:r>
              <w:rPr>
                <w:rFonts w:hint="default"/>
                <w:color w:val="auto"/>
                <w:szCs w:val="21"/>
                <w:highlight w:val="none"/>
                <w:u w:val="single"/>
              </w:rPr>
              <w:t xml:space="preserve"> </w:t>
            </w:r>
            <w:r>
              <w:rPr>
                <w:rFonts w:hint="eastAsia"/>
                <w:color w:val="auto"/>
                <w:szCs w:val="21"/>
                <w:highlight w:val="none"/>
                <w:u w:val="single"/>
              </w:rPr>
              <w:t>1.0</w:t>
            </w:r>
            <w:r>
              <w:rPr>
                <w:rFonts w:hint="default"/>
                <w:color w:val="auto"/>
                <w:szCs w:val="21"/>
                <w:highlight w:val="none"/>
                <w:u w:val="single"/>
              </w:rPr>
              <w:t xml:space="preserve"> </w:t>
            </w:r>
          </w:p>
          <w:p>
            <w:pPr>
              <w:keepNext w:val="0"/>
              <w:keepLines w:val="0"/>
              <w:suppressLineNumbers w:val="0"/>
              <w:tabs>
                <w:tab w:val="left" w:pos="426"/>
              </w:tabs>
              <w:spacing w:before="0" w:beforeAutospacing="0" w:after="0" w:afterAutospacing="0" w:line="360" w:lineRule="exact"/>
              <w:ind w:left="0" w:right="0"/>
              <w:rPr>
                <w:rFonts w:hint="default"/>
                <w:color w:val="auto"/>
                <w:szCs w:val="21"/>
                <w:highlight w:val="none"/>
              </w:rPr>
            </w:pPr>
            <w:r>
              <w:rPr>
                <w:rFonts w:hint="eastAsia"/>
                <w:color w:val="auto"/>
                <w:szCs w:val="21"/>
                <w:highlight w:val="none"/>
              </w:rPr>
              <w:t>＝</w:t>
            </w:r>
            <w:r>
              <w:rPr>
                <w:rFonts w:hint="default"/>
                <w:color w:val="auto"/>
                <w:szCs w:val="21"/>
                <w:highlight w:val="none"/>
                <w:u w:val="single"/>
              </w:rPr>
              <w:t xml:space="preserve">      </w:t>
            </w:r>
            <w:r>
              <w:rPr>
                <w:rFonts w:hint="eastAsia"/>
                <w:color w:val="auto"/>
                <w:szCs w:val="21"/>
                <w:highlight w:val="none"/>
              </w:rPr>
              <w:t>万元。</w:t>
            </w:r>
          </w:p>
          <w:p>
            <w:pPr>
              <w:pStyle w:val="2"/>
              <w:keepNext w:val="0"/>
              <w:keepLines w:val="0"/>
              <w:suppressLineNumbers w:val="0"/>
              <w:spacing w:before="0" w:beforeAutospacing="0" w:afterAutospacing="0"/>
              <w:ind w:left="0" w:right="0" w:firstLine="422" w:firstLineChars="200"/>
              <w:rPr>
                <w:rFonts w:hint="default"/>
              </w:rPr>
            </w:pPr>
            <w:r>
              <w:rPr>
                <w:rFonts w:hint="eastAsia"/>
                <w:b/>
                <w:color w:val="auto"/>
                <w:kern w:val="18"/>
                <w:szCs w:val="21"/>
                <w:highlight w:val="none"/>
              </w:rPr>
              <w:t>本工程监理服务酬金总额包括施工阶段监理服务酬金和保修阶段监理服务酬金两部分</w:t>
            </w:r>
            <w:r>
              <w:rPr>
                <w:rFonts w:hint="eastAsia"/>
                <w:b/>
                <w:color w:val="auto"/>
                <w:kern w:val="18"/>
                <w:szCs w:val="21"/>
                <w:highlight w:val="none"/>
                <w:lang w:eastAsia="zh-CN"/>
              </w:rPr>
              <w:t>，</w:t>
            </w:r>
            <w:r>
              <w:rPr>
                <w:rFonts w:hint="eastAsia"/>
                <w:b/>
                <w:color w:val="auto"/>
                <w:kern w:val="18"/>
                <w:szCs w:val="21"/>
                <w:highlight w:val="none"/>
                <w:lang w:val="en-US" w:eastAsia="zh-CN"/>
              </w:rPr>
              <w:t>其中</w:t>
            </w:r>
            <w:r>
              <w:rPr>
                <w:rFonts w:hint="eastAsia"/>
                <w:b/>
                <w:color w:val="auto"/>
                <w:kern w:val="18"/>
                <w:szCs w:val="21"/>
                <w:highlight w:val="none"/>
              </w:rPr>
              <w:t>施工阶段监理服务酬金</w:t>
            </w:r>
            <w:r>
              <w:rPr>
                <w:rFonts w:hint="eastAsia"/>
                <w:b/>
                <w:color w:val="auto"/>
                <w:kern w:val="18"/>
                <w:szCs w:val="21"/>
                <w:highlight w:val="none"/>
                <w:lang w:val="en-US" w:eastAsia="zh-CN"/>
              </w:rPr>
              <w:t>占监理服务酬金总额的97%，</w:t>
            </w:r>
            <w:r>
              <w:rPr>
                <w:rFonts w:hint="eastAsia"/>
                <w:b/>
                <w:color w:val="auto"/>
                <w:kern w:val="18"/>
                <w:szCs w:val="21"/>
                <w:highlight w:val="none"/>
              </w:rPr>
              <w:t>保修阶段监理服务酬金</w:t>
            </w:r>
            <w:r>
              <w:rPr>
                <w:rFonts w:hint="eastAsia"/>
                <w:b/>
                <w:color w:val="auto"/>
                <w:kern w:val="18"/>
                <w:szCs w:val="21"/>
                <w:highlight w:val="none"/>
                <w:lang w:val="en-US" w:eastAsia="zh-CN"/>
              </w:rPr>
              <w:t>占监理服务酬金总额的3%。</w:t>
            </w:r>
          </w:p>
          <w:p>
            <w:pPr>
              <w:keepNext w:val="0"/>
              <w:keepLines w:val="0"/>
              <w:suppressLineNumbers w:val="0"/>
              <w:tabs>
                <w:tab w:val="left" w:pos="426"/>
              </w:tabs>
              <w:spacing w:before="0" w:beforeAutospacing="0" w:after="0" w:afterAutospacing="0"/>
              <w:ind w:left="0" w:right="0"/>
              <w:rPr>
                <w:rFonts w:hint="default"/>
                <w:color w:val="auto"/>
                <w:szCs w:val="21"/>
                <w:highlight w:val="none"/>
              </w:rPr>
            </w:pPr>
          </w:p>
          <w:p>
            <w:pPr>
              <w:keepNext w:val="0"/>
              <w:keepLines w:val="0"/>
              <w:suppressLineNumbers w:val="0"/>
              <w:tabs>
                <w:tab w:val="left" w:pos="426"/>
              </w:tabs>
              <w:spacing w:before="0" w:beforeLines="0" w:beforeAutospacing="0" w:after="0" w:afterLines="0" w:afterAutospacing="0"/>
              <w:ind w:left="0" w:right="0" w:firstLine="422" w:firstLineChars="200"/>
              <w:rPr>
                <w:rFonts w:hint="default"/>
                <w:b/>
                <w:color w:val="auto"/>
                <w:kern w:val="18"/>
                <w:szCs w:val="21"/>
                <w:highlight w:val="none"/>
              </w:rPr>
            </w:pPr>
            <w:r>
              <w:rPr>
                <w:rFonts w:hint="eastAsia"/>
                <w:b/>
                <w:color w:val="auto"/>
                <w:kern w:val="18"/>
                <w:szCs w:val="21"/>
                <w:highlight w:val="none"/>
              </w:rPr>
              <w:t>特别</w:t>
            </w:r>
            <w:r>
              <w:rPr>
                <w:rFonts w:hint="default"/>
                <w:b/>
                <w:color w:val="auto"/>
                <w:kern w:val="18"/>
                <w:szCs w:val="21"/>
                <w:highlight w:val="none"/>
              </w:rPr>
              <w:t>说明：招标人结算</w:t>
            </w:r>
            <w:r>
              <w:rPr>
                <w:rFonts w:hint="eastAsia"/>
                <w:b/>
                <w:color w:val="auto"/>
                <w:kern w:val="18"/>
                <w:szCs w:val="21"/>
                <w:highlight w:val="none"/>
              </w:rPr>
              <w:t>监理服务酬金总额</w:t>
            </w:r>
            <w:r>
              <w:rPr>
                <w:rFonts w:hint="default"/>
                <w:b/>
                <w:color w:val="auto"/>
                <w:kern w:val="18"/>
                <w:szCs w:val="21"/>
                <w:highlight w:val="none"/>
              </w:rPr>
              <w:t>根据实际</w:t>
            </w:r>
            <w:r>
              <w:rPr>
                <w:rFonts w:hint="eastAsia"/>
                <w:b/>
                <w:color w:val="auto"/>
                <w:kern w:val="18"/>
                <w:szCs w:val="21"/>
                <w:highlight w:val="none"/>
              </w:rPr>
              <w:t>最终结算</w:t>
            </w:r>
            <w:r>
              <w:rPr>
                <w:rFonts w:hint="eastAsia"/>
                <w:b/>
                <w:color w:val="auto"/>
                <w:kern w:val="18"/>
                <w:szCs w:val="21"/>
                <w:highlight w:val="none"/>
                <w:lang w:val="en-US" w:eastAsia="zh-CN"/>
              </w:rPr>
              <w:t>工程建设费用</w:t>
            </w:r>
            <w:r>
              <w:rPr>
                <w:rFonts w:hint="default"/>
                <w:b/>
                <w:color w:val="auto"/>
                <w:kern w:val="18"/>
                <w:szCs w:val="21"/>
                <w:highlight w:val="none"/>
              </w:rPr>
              <w:t>及</w:t>
            </w:r>
            <w:r>
              <w:rPr>
                <w:rFonts w:hint="eastAsia"/>
                <w:b/>
                <w:color w:val="auto"/>
                <w:kern w:val="18"/>
                <w:szCs w:val="21"/>
                <w:highlight w:val="none"/>
                <w:lang w:eastAsia="zh-CN"/>
              </w:rPr>
              <w:t>投标监理费费率</w:t>
            </w:r>
            <w:r>
              <w:rPr>
                <w:rFonts w:hint="default"/>
                <w:b/>
                <w:color w:val="auto"/>
                <w:kern w:val="18"/>
                <w:szCs w:val="21"/>
                <w:highlight w:val="none"/>
              </w:rPr>
              <w:t>重新核算。</w:t>
            </w:r>
          </w:p>
          <w:p>
            <w:pPr>
              <w:keepNext w:val="0"/>
              <w:keepLines w:val="0"/>
              <w:suppressLineNumbers w:val="0"/>
              <w:tabs>
                <w:tab w:val="left" w:pos="426"/>
              </w:tabs>
              <w:spacing w:before="0" w:beforeLines="0" w:beforeAutospacing="0" w:after="0" w:afterLines="0" w:afterAutospacing="0"/>
              <w:ind w:left="0" w:right="0" w:firstLine="422" w:firstLineChars="200"/>
              <w:rPr>
                <w:rFonts w:hint="default"/>
                <w:b/>
                <w:color w:val="auto"/>
                <w:szCs w:val="21"/>
                <w:highlight w:val="none"/>
              </w:rPr>
            </w:pPr>
            <w:r>
              <w:rPr>
                <w:rFonts w:hint="eastAsia"/>
                <w:b/>
                <w:color w:val="auto"/>
                <w:kern w:val="18"/>
                <w:szCs w:val="21"/>
                <w:highlight w:val="none"/>
              </w:rPr>
              <w:t>本工程监理服务酬金总额结算时，以最终结算的</w:t>
            </w:r>
            <w:r>
              <w:rPr>
                <w:rFonts w:hint="eastAsia"/>
                <w:b/>
                <w:color w:val="auto"/>
                <w:kern w:val="18"/>
                <w:szCs w:val="21"/>
                <w:highlight w:val="none"/>
                <w:lang w:val="en-US" w:eastAsia="zh-CN"/>
              </w:rPr>
              <w:t>工程建设费用</w:t>
            </w:r>
            <w:r>
              <w:rPr>
                <w:rFonts w:hint="eastAsia"/>
                <w:b/>
                <w:color w:val="auto"/>
                <w:kern w:val="18"/>
                <w:szCs w:val="21"/>
                <w:highlight w:val="none"/>
              </w:rPr>
              <w:t>作为监理酬金计费额</w:t>
            </w:r>
            <w:r>
              <w:rPr>
                <w:rFonts w:hint="eastAsia"/>
                <w:b/>
                <w:color w:val="auto"/>
                <w:kern w:val="18"/>
                <w:szCs w:val="21"/>
                <w:highlight w:val="none"/>
                <w:lang w:val="en-US" w:eastAsia="zh-CN"/>
              </w:rPr>
              <w:t>依据</w:t>
            </w:r>
            <w:r>
              <w:rPr>
                <w:rFonts w:hint="eastAsia"/>
                <w:b/>
                <w:color w:val="auto"/>
                <w:kern w:val="18"/>
                <w:szCs w:val="21"/>
                <w:highlight w:val="none"/>
              </w:rPr>
              <w:t>，但监理服务酬金结算价</w:t>
            </w:r>
            <w:r>
              <w:rPr>
                <w:rFonts w:hint="eastAsia"/>
                <w:b/>
                <w:color w:val="auto"/>
                <w:kern w:val="18"/>
                <w:szCs w:val="21"/>
                <w:highlight w:val="none"/>
                <w:lang w:val="en-US" w:eastAsia="zh-CN"/>
              </w:rPr>
              <w:t>总金额</w:t>
            </w:r>
            <w:r>
              <w:rPr>
                <w:rFonts w:hint="eastAsia"/>
                <w:b/>
                <w:color w:val="auto"/>
                <w:kern w:val="18"/>
                <w:szCs w:val="21"/>
                <w:highlight w:val="none"/>
              </w:rPr>
              <w:t>最高为</w:t>
            </w:r>
            <w:r>
              <w:rPr>
                <w:rFonts w:hint="eastAsia"/>
                <w:b/>
                <w:color w:val="FF0000"/>
                <w:kern w:val="18"/>
                <w:szCs w:val="21"/>
                <w:highlight w:val="none"/>
                <w:lang w:val="en-US" w:eastAsia="zh-CN"/>
              </w:rPr>
              <w:t>23.37</w:t>
            </w:r>
            <w:r>
              <w:rPr>
                <w:rFonts w:hint="eastAsia"/>
                <w:b/>
                <w:color w:val="auto"/>
                <w:kern w:val="18"/>
                <w:szCs w:val="21"/>
                <w:highlight w:val="none"/>
              </w:rPr>
              <w:t>万元。若监理服务酬金结算价</w:t>
            </w:r>
            <w:r>
              <w:rPr>
                <w:rFonts w:hint="eastAsia"/>
                <w:b/>
                <w:color w:val="auto"/>
                <w:kern w:val="18"/>
                <w:szCs w:val="21"/>
                <w:highlight w:val="none"/>
                <w:lang w:val="en-US" w:eastAsia="zh-CN"/>
              </w:rPr>
              <w:t>总金额</w:t>
            </w:r>
            <w:r>
              <w:rPr>
                <w:rFonts w:hint="eastAsia"/>
                <w:b/>
                <w:color w:val="auto"/>
                <w:kern w:val="18"/>
                <w:szCs w:val="21"/>
                <w:highlight w:val="none"/>
              </w:rPr>
              <w:t>超过</w:t>
            </w:r>
            <w:r>
              <w:rPr>
                <w:rFonts w:hint="eastAsia"/>
                <w:b/>
                <w:color w:val="FF0000"/>
                <w:kern w:val="18"/>
                <w:szCs w:val="21"/>
                <w:highlight w:val="none"/>
                <w:lang w:val="en-US" w:eastAsia="zh-CN"/>
              </w:rPr>
              <w:t>23.37</w:t>
            </w:r>
            <w:r>
              <w:rPr>
                <w:rFonts w:hint="eastAsia"/>
                <w:b/>
                <w:color w:val="auto"/>
                <w:kern w:val="18"/>
                <w:szCs w:val="21"/>
                <w:highlight w:val="none"/>
              </w:rPr>
              <w:t>万元，则最终监理服务酬金结算价</w:t>
            </w:r>
            <w:r>
              <w:rPr>
                <w:rFonts w:hint="eastAsia"/>
                <w:b/>
                <w:color w:val="auto"/>
                <w:kern w:val="18"/>
                <w:szCs w:val="21"/>
                <w:highlight w:val="none"/>
                <w:lang w:val="en-US" w:eastAsia="zh-CN"/>
              </w:rPr>
              <w:t>总金额</w:t>
            </w:r>
            <w:r>
              <w:rPr>
                <w:rFonts w:hint="eastAsia"/>
                <w:b/>
                <w:color w:val="auto"/>
                <w:kern w:val="18"/>
                <w:szCs w:val="21"/>
                <w:highlight w:val="none"/>
              </w:rPr>
              <w:t>为</w:t>
            </w:r>
            <w:r>
              <w:rPr>
                <w:rFonts w:hint="eastAsia"/>
                <w:b/>
                <w:color w:val="FF0000"/>
                <w:kern w:val="18"/>
                <w:szCs w:val="21"/>
                <w:highlight w:val="none"/>
                <w:lang w:val="en-US" w:eastAsia="zh-CN"/>
              </w:rPr>
              <w:t>23.37</w:t>
            </w:r>
            <w:r>
              <w:rPr>
                <w:rFonts w:hint="eastAsia"/>
                <w:b/>
                <w:color w:val="auto"/>
                <w:kern w:val="18"/>
                <w:szCs w:val="21"/>
                <w:highlight w:val="none"/>
              </w:rPr>
              <w:t>万元。</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2.2投标报价应以人民币为结算单位；</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2.3 投标单位应在投标文件中填报 “监理服务费构成明细报价”表，写明分项单价和投标总价。如果单价与总价有出入，以单价为准。投标单位对每种项目只允许有一个报价，招标单位不接受有任何选择的报价；</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lang w:val="en-US" w:eastAsia="zh-CN"/>
              </w:rPr>
              <w:t>2</w:t>
            </w:r>
            <w:r>
              <w:rPr>
                <w:rFonts w:hint="eastAsia"/>
                <w:color w:val="auto"/>
                <w:szCs w:val="21"/>
                <w:highlight w:val="none"/>
              </w:rPr>
              <w:t>.4 投标单位的投标总价为完成项目监理及招标文件或合同条款所规定的工作内容的各项费用，应包括人工、设备、项目管理、场地踏勘、监理费、利润、税金、包干预备费、政策性文件规定及招标文件、合同包含的所有风险、责任等各项应有的费用；</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2.5 投标总价为投标单位的投标文件中提出的各项支付金额的总和，投标单位应充分考虑项目至竣工验收、保修为止期间物价上涨、政策性调整等诸多因素以及由此引起的费用变动并计入报价；</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2.6投标单位的投标报价，应是本项目招标范围和招标文件及合同条款上所列的各项内容中所述的全部，不得以任何理由予以重复；</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2.7投标单位不得期望通过索赔、签证等方式获取补偿，否则，除可能遭到拒绝外，还可能将被作为不良行为记录在案，并可能影响其以后参加政府采购的项目投标。各投标单位在投标报价时，应充分考虑投标报价的风险；</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2.8中标单位根据有关法律法规与招标单位签订合同，对该项目统一管理，综合服务，自主经营，自负盈亏。</w:t>
            </w:r>
          </w:p>
          <w:p>
            <w:pPr>
              <w:keepNext w:val="0"/>
              <w:keepLines w:val="0"/>
              <w:suppressLineNumbers w:val="0"/>
              <w:spacing w:before="0" w:beforeLines="0" w:beforeAutospacing="0" w:after="0" w:afterLines="0" w:afterAutospacing="0"/>
              <w:ind w:left="0" w:right="0" w:firstLine="420" w:firstLineChars="200"/>
              <w:rPr>
                <w:rFonts w:hint="default" w:ascii="宋体" w:hAnsi="宋体" w:cs="宋体"/>
                <w:snapToGrid w:val="0"/>
                <w:color w:val="auto"/>
                <w:kern w:val="0"/>
                <w:szCs w:val="21"/>
                <w:highlight w:val="none"/>
              </w:rPr>
            </w:pPr>
          </w:p>
        </w:tc>
        <w:tc>
          <w:tcPr>
            <w:tcW w:w="1581" w:type="dxa"/>
            <w:vAlign w:val="center"/>
          </w:tcPr>
          <w:p>
            <w:pPr>
              <w:keepNext w:val="0"/>
              <w:keepLines w:val="0"/>
              <w:suppressLineNumbers w:val="0"/>
              <w:spacing w:before="0" w:beforeLines="0" w:beforeAutospacing="0" w:after="0" w:afterLines="0" w:afterAutospacing="0" w:line="240" w:lineRule="auto"/>
              <w:ind w:left="0" w:right="0" w:firstLine="420" w:firstLineChars="200"/>
              <w:jc w:val="both"/>
              <w:rPr>
                <w:rFonts w:hint="default" w:ascii="宋体" w:hAnsi="宋体" w:cs="宋体"/>
                <w:color w:val="auto"/>
                <w:highlight w:val="none"/>
              </w:rPr>
            </w:pPr>
          </w:p>
        </w:tc>
        <w:tc>
          <w:tcPr>
            <w:tcW w:w="1289" w:type="dxa"/>
            <w:vAlign w:val="center"/>
          </w:tcPr>
          <w:p>
            <w:pPr>
              <w:keepNext w:val="0"/>
              <w:keepLines w:val="0"/>
              <w:suppressLineNumbers w:val="0"/>
              <w:spacing w:before="0" w:beforeLines="0" w:beforeAutospacing="0" w:after="0" w:afterLines="0" w:afterAutospacing="0" w:line="240" w:lineRule="auto"/>
              <w:ind w:left="0" w:right="0" w:firstLine="420" w:firstLineChars="200"/>
              <w:jc w:val="both"/>
              <w:rPr>
                <w:rFonts w:hint="default"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4" w:hRule="atLeast"/>
          <w:jc w:val="center"/>
        </w:trPr>
        <w:tc>
          <w:tcPr>
            <w:tcW w:w="582" w:type="dxa"/>
            <w:vAlign w:val="center"/>
          </w:tcPr>
          <w:p>
            <w:pPr>
              <w:keepNext w:val="0"/>
              <w:keepLines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5563" w:type="dxa"/>
            <w:vAlign w:val="center"/>
          </w:tcPr>
          <w:p>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b w:val="0"/>
                <w:snapToGrid w:val="0"/>
                <w:kern w:val="0"/>
                <w:sz w:val="21"/>
                <w:szCs w:val="21"/>
                <w:highlight w:val="none"/>
              </w:rPr>
            </w:pPr>
            <w:r>
              <w:rPr>
                <w:rFonts w:hint="eastAsia" w:ascii="宋体" w:hAnsi="宋体" w:eastAsia="宋体" w:cs="宋体"/>
                <w:b w:val="0"/>
                <w:snapToGrid w:val="0"/>
                <w:kern w:val="0"/>
                <w:sz w:val="21"/>
                <w:szCs w:val="21"/>
                <w:highlight w:val="none"/>
                <w:lang w:val="en-US" w:eastAsia="zh-CN"/>
              </w:rPr>
              <w:t>六、</w:t>
            </w:r>
            <w:r>
              <w:rPr>
                <w:rFonts w:hint="eastAsia" w:ascii="宋体" w:hAnsi="宋体" w:eastAsia="宋体" w:cs="宋体"/>
                <w:b w:val="0"/>
                <w:snapToGrid w:val="0"/>
                <w:kern w:val="0"/>
                <w:sz w:val="21"/>
                <w:szCs w:val="21"/>
                <w:highlight w:val="none"/>
              </w:rPr>
              <w:t>违约责任</w:t>
            </w:r>
          </w:p>
          <w:p>
            <w:pPr>
              <w:keepNext w:val="0"/>
              <w:keepLines w:val="0"/>
              <w:suppressLineNumbers w:val="0"/>
              <w:adjustRightInd w:val="0"/>
              <w:snapToGrid w:val="0"/>
              <w:spacing w:before="0" w:beforeAutospacing="0" w:after="0" w:afterAutospacing="0" w:line="360" w:lineRule="auto"/>
              <w:ind w:left="0" w:right="0" w:firstLine="422" w:firstLineChars="200"/>
              <w:jc w:val="left"/>
              <w:rPr>
                <w:rFonts w:hint="eastAsia" w:ascii="宋体" w:hAnsi="宋体" w:eastAsia="宋体" w:cs="宋体"/>
                <w:snapToGrid w:val="0"/>
                <w:kern w:val="0"/>
                <w:highlight w:val="none"/>
              </w:rPr>
            </w:pPr>
            <w:r>
              <w:rPr>
                <w:rFonts w:hint="eastAsia" w:ascii="宋体" w:hAnsi="宋体" w:eastAsia="宋体" w:cs="宋体"/>
                <w:b/>
                <w:snapToGrid w:val="0"/>
                <w:kern w:val="0"/>
                <w:highlight w:val="none"/>
              </w:rPr>
              <w:t>4.1</w:t>
            </w:r>
            <w:r>
              <w:rPr>
                <w:rFonts w:hint="eastAsia" w:ascii="宋体" w:hAnsi="宋体" w:cs="宋体"/>
                <w:b/>
                <w:snapToGrid w:val="0"/>
                <w:kern w:val="0"/>
                <w:highlight w:val="none"/>
                <w:lang w:val="en-US" w:eastAsia="zh-CN"/>
              </w:rPr>
              <w:t>投标单位</w:t>
            </w:r>
            <w:r>
              <w:rPr>
                <w:rFonts w:hint="eastAsia" w:ascii="宋体" w:hAnsi="宋体" w:eastAsia="宋体" w:cs="宋体"/>
                <w:b/>
                <w:snapToGrid w:val="0"/>
                <w:kern w:val="0"/>
                <w:highlight w:val="none"/>
              </w:rPr>
              <w:t>的违约责任</w:t>
            </w:r>
          </w:p>
          <w:p>
            <w:pPr>
              <w:keepNext w:val="0"/>
              <w:keepLines w:val="0"/>
              <w:suppressLineNumbers w:val="0"/>
              <w:adjustRightInd w:val="0"/>
              <w:snapToGrid w:val="0"/>
              <w:spacing w:before="0" w:beforeAutospacing="0" w:after="0" w:afterAutospacing="0" w:line="460" w:lineRule="exact"/>
              <w:ind w:left="0" w:right="0" w:firstLine="420" w:firstLineChars="200"/>
              <w:jc w:val="left"/>
              <w:rPr>
                <w:rFonts w:hint="eastAsia" w:ascii="宋体" w:hAnsi="宋体" w:eastAsia="宋体" w:cs="宋体"/>
                <w:snapToGrid w:val="0"/>
                <w:kern w:val="0"/>
                <w:szCs w:val="21"/>
                <w:highlight w:val="none"/>
              </w:rPr>
            </w:pPr>
            <w:r>
              <w:rPr>
                <w:rFonts w:hint="eastAsia" w:ascii="宋体" w:hAnsi="宋体" w:cs="宋体"/>
                <w:snapToGrid w:val="0"/>
                <w:kern w:val="0"/>
                <w:szCs w:val="21"/>
                <w:highlight w:val="none"/>
                <w:lang w:val="en-US" w:eastAsia="zh-CN"/>
              </w:rPr>
              <w:t>投标单位</w:t>
            </w:r>
            <w:r>
              <w:rPr>
                <w:rFonts w:hint="eastAsia" w:ascii="宋体" w:hAnsi="宋体" w:eastAsia="宋体" w:cs="宋体"/>
                <w:snapToGrid w:val="0"/>
                <w:kern w:val="0"/>
                <w:szCs w:val="21"/>
                <w:highlight w:val="none"/>
              </w:rPr>
              <w:t>未履行合同义务的，应承担相应的责任。</w:t>
            </w:r>
          </w:p>
          <w:p>
            <w:pPr>
              <w:keepNext w:val="0"/>
              <w:keepLines w:val="0"/>
              <w:suppressLineNumbers w:val="0"/>
              <w:adjustRightInd w:val="0"/>
              <w:snapToGrid w:val="0"/>
              <w:spacing w:before="0" w:beforeAutospacing="0" w:after="0" w:afterAutospacing="0" w:line="460" w:lineRule="exact"/>
              <w:ind w:left="0" w:right="0" w:firstLine="420" w:firstLineChars="200"/>
              <w:jc w:val="left"/>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4.1.1因</w:t>
            </w:r>
            <w:r>
              <w:rPr>
                <w:rFonts w:hint="eastAsia" w:ascii="宋体" w:hAnsi="宋体" w:cs="宋体"/>
                <w:snapToGrid w:val="0"/>
                <w:kern w:val="0"/>
                <w:szCs w:val="21"/>
                <w:highlight w:val="none"/>
                <w:lang w:val="en-US" w:eastAsia="zh-CN"/>
              </w:rPr>
              <w:t>投标单位</w:t>
            </w:r>
            <w:r>
              <w:rPr>
                <w:rFonts w:hint="eastAsia" w:ascii="宋体" w:hAnsi="宋体" w:eastAsia="宋体" w:cs="宋体"/>
                <w:snapToGrid w:val="0"/>
                <w:kern w:val="0"/>
                <w:szCs w:val="21"/>
                <w:highlight w:val="none"/>
              </w:rPr>
              <w:t>违反合同约定给</w:t>
            </w:r>
            <w:r>
              <w:rPr>
                <w:rFonts w:hint="eastAsia" w:ascii="宋体" w:hAnsi="宋体" w:cs="宋体"/>
                <w:snapToGrid w:val="0"/>
                <w:kern w:val="0"/>
                <w:szCs w:val="21"/>
                <w:highlight w:val="none"/>
                <w:lang w:val="en-US" w:eastAsia="zh-CN"/>
              </w:rPr>
              <w:t>招标单位</w:t>
            </w:r>
            <w:r>
              <w:rPr>
                <w:rFonts w:hint="eastAsia" w:ascii="宋体" w:hAnsi="宋体" w:eastAsia="宋体" w:cs="宋体"/>
                <w:snapToGrid w:val="0"/>
                <w:kern w:val="0"/>
                <w:szCs w:val="21"/>
                <w:highlight w:val="none"/>
              </w:rPr>
              <w:t>造成损失的，</w:t>
            </w:r>
            <w:r>
              <w:rPr>
                <w:rFonts w:hint="eastAsia" w:ascii="宋体" w:hAnsi="宋体" w:cs="宋体"/>
                <w:snapToGrid w:val="0"/>
                <w:kern w:val="0"/>
                <w:szCs w:val="21"/>
                <w:highlight w:val="none"/>
                <w:lang w:val="en-US" w:eastAsia="zh-CN"/>
              </w:rPr>
              <w:t>投标单位</w:t>
            </w:r>
            <w:r>
              <w:rPr>
                <w:rFonts w:hint="eastAsia" w:ascii="宋体" w:hAnsi="宋体" w:eastAsia="宋体" w:cs="宋体"/>
                <w:snapToGrid w:val="0"/>
                <w:kern w:val="0"/>
                <w:szCs w:val="21"/>
                <w:highlight w:val="none"/>
              </w:rPr>
              <w:t>应当赔偿</w:t>
            </w:r>
            <w:r>
              <w:rPr>
                <w:rFonts w:hint="eastAsia" w:ascii="宋体" w:hAnsi="宋体" w:cs="宋体"/>
                <w:snapToGrid w:val="0"/>
                <w:kern w:val="0"/>
                <w:szCs w:val="21"/>
                <w:highlight w:val="none"/>
                <w:lang w:val="en-US" w:eastAsia="zh-CN"/>
              </w:rPr>
              <w:t>招标单位</w:t>
            </w:r>
            <w:r>
              <w:rPr>
                <w:rFonts w:hint="eastAsia" w:ascii="宋体" w:hAnsi="宋体" w:eastAsia="宋体" w:cs="宋体"/>
                <w:snapToGrid w:val="0"/>
                <w:kern w:val="0"/>
                <w:szCs w:val="21"/>
                <w:highlight w:val="none"/>
              </w:rPr>
              <w:t>损失。赔偿金额的确定方法在</w:t>
            </w:r>
            <w:r>
              <w:rPr>
                <w:rFonts w:hint="eastAsia" w:ascii="宋体" w:hAnsi="宋体" w:cs="宋体"/>
                <w:snapToGrid w:val="0"/>
                <w:kern w:val="0"/>
                <w:szCs w:val="21"/>
                <w:highlight w:val="none"/>
                <w:lang w:val="en-US" w:eastAsia="zh-CN"/>
              </w:rPr>
              <w:t>合同</w:t>
            </w:r>
            <w:r>
              <w:rPr>
                <w:rFonts w:hint="eastAsia" w:ascii="宋体" w:hAnsi="宋体" w:eastAsia="宋体" w:cs="宋体"/>
                <w:snapToGrid w:val="0"/>
                <w:kern w:val="0"/>
                <w:szCs w:val="21"/>
                <w:highlight w:val="none"/>
              </w:rPr>
              <w:t>中约定。</w:t>
            </w:r>
            <w:r>
              <w:rPr>
                <w:rFonts w:hint="eastAsia" w:ascii="宋体" w:hAnsi="宋体" w:cs="宋体"/>
                <w:snapToGrid w:val="0"/>
                <w:kern w:val="0"/>
                <w:szCs w:val="21"/>
                <w:highlight w:val="none"/>
                <w:lang w:val="en-US" w:eastAsia="zh-CN"/>
              </w:rPr>
              <w:t>投标单位</w:t>
            </w:r>
            <w:r>
              <w:rPr>
                <w:rFonts w:hint="eastAsia" w:ascii="宋体" w:hAnsi="宋体" w:eastAsia="宋体" w:cs="宋体"/>
                <w:snapToGrid w:val="0"/>
                <w:kern w:val="0"/>
                <w:szCs w:val="21"/>
                <w:highlight w:val="none"/>
              </w:rPr>
              <w:t>承担部分赔偿责任的，其承担赔偿金额由双方协商确定。</w:t>
            </w:r>
          </w:p>
          <w:p>
            <w:pPr>
              <w:keepNext w:val="0"/>
              <w:keepLines w:val="0"/>
              <w:suppressLineNumbers w:val="0"/>
              <w:tabs>
                <w:tab w:val="left" w:pos="426"/>
              </w:tabs>
              <w:spacing w:before="0" w:beforeAutospacing="0" w:after="0" w:afterAutospacing="0" w:line="460" w:lineRule="exact"/>
              <w:ind w:left="0" w:right="0" w:firstLine="420" w:firstLineChars="200"/>
              <w:rPr>
                <w:rFonts w:hint="default"/>
                <w:color w:val="auto"/>
                <w:szCs w:val="21"/>
                <w:highlight w:val="none"/>
              </w:rPr>
            </w:pPr>
            <w:r>
              <w:rPr>
                <w:rFonts w:hint="eastAsia" w:ascii="宋体" w:hAnsi="宋体" w:eastAsia="宋体" w:cs="宋体"/>
                <w:snapToGrid w:val="0"/>
                <w:kern w:val="0"/>
                <w:szCs w:val="21"/>
                <w:highlight w:val="none"/>
              </w:rPr>
              <w:t>4.1.2</w:t>
            </w:r>
            <w:r>
              <w:rPr>
                <w:rFonts w:hint="eastAsia"/>
                <w:color w:val="auto"/>
                <w:szCs w:val="21"/>
                <w:highlight w:val="none"/>
              </w:rPr>
              <w:t>本合同履行期间，发生下述情形时，</w:t>
            </w:r>
            <w:r>
              <w:rPr>
                <w:rFonts w:hint="eastAsia"/>
                <w:color w:val="auto"/>
                <w:szCs w:val="21"/>
                <w:highlight w:val="none"/>
                <w:lang w:eastAsia="zh-CN"/>
              </w:rPr>
              <w:t>招标单位</w:t>
            </w:r>
            <w:r>
              <w:rPr>
                <w:rFonts w:hint="eastAsia"/>
                <w:color w:val="auto"/>
                <w:szCs w:val="21"/>
                <w:highlight w:val="none"/>
              </w:rPr>
              <w:t>有权解除本合同，</w:t>
            </w:r>
            <w:r>
              <w:rPr>
                <w:rFonts w:hint="eastAsia"/>
                <w:color w:val="auto"/>
                <w:szCs w:val="21"/>
                <w:highlight w:val="none"/>
                <w:lang w:eastAsia="zh-CN"/>
              </w:rPr>
              <w:t>投标单位</w:t>
            </w:r>
            <w:r>
              <w:rPr>
                <w:rFonts w:hint="eastAsia"/>
                <w:color w:val="auto"/>
                <w:szCs w:val="21"/>
                <w:highlight w:val="none"/>
              </w:rPr>
              <w:t>除应退还</w:t>
            </w:r>
            <w:r>
              <w:rPr>
                <w:rFonts w:hint="eastAsia"/>
                <w:color w:val="auto"/>
                <w:szCs w:val="21"/>
                <w:highlight w:val="none"/>
                <w:lang w:eastAsia="zh-CN"/>
              </w:rPr>
              <w:t>招标单位</w:t>
            </w:r>
            <w:r>
              <w:rPr>
                <w:rFonts w:hint="eastAsia"/>
                <w:color w:val="auto"/>
                <w:szCs w:val="21"/>
                <w:highlight w:val="none"/>
              </w:rPr>
              <w:t>支付的全部款项外，还应支付本合同项下服务费总金额20%的违约金。</w:t>
            </w:r>
            <w:r>
              <w:rPr>
                <w:rFonts w:hint="eastAsia"/>
                <w:color w:val="auto"/>
                <w:szCs w:val="21"/>
                <w:highlight w:val="none"/>
                <w:lang w:eastAsia="zh-CN"/>
              </w:rPr>
              <w:t>投标单位</w:t>
            </w:r>
            <w:r>
              <w:rPr>
                <w:rFonts w:hint="eastAsia"/>
                <w:color w:val="auto"/>
                <w:szCs w:val="21"/>
                <w:highlight w:val="none"/>
              </w:rPr>
              <w:t>应同时将已完成的项目成果移交给</w:t>
            </w:r>
            <w:r>
              <w:rPr>
                <w:rFonts w:hint="eastAsia"/>
                <w:color w:val="auto"/>
                <w:szCs w:val="21"/>
                <w:highlight w:val="none"/>
                <w:lang w:eastAsia="zh-CN"/>
              </w:rPr>
              <w:t>招标单位</w:t>
            </w:r>
            <w:r>
              <w:rPr>
                <w:rFonts w:hint="eastAsia"/>
                <w:color w:val="auto"/>
                <w:szCs w:val="21"/>
                <w:highlight w:val="none"/>
              </w:rPr>
              <w:t>，并将全部有关资料退还</w:t>
            </w:r>
            <w:r>
              <w:rPr>
                <w:rFonts w:hint="eastAsia"/>
                <w:color w:val="auto"/>
                <w:szCs w:val="21"/>
                <w:highlight w:val="none"/>
                <w:lang w:eastAsia="zh-CN"/>
              </w:rPr>
              <w:t>招标单位</w:t>
            </w:r>
            <w:r>
              <w:rPr>
                <w:rFonts w:hint="eastAsia"/>
                <w:color w:val="auto"/>
                <w:szCs w:val="21"/>
                <w:highlight w:val="none"/>
              </w:rPr>
              <w:t>：</w:t>
            </w:r>
          </w:p>
          <w:p>
            <w:pPr>
              <w:keepNext w:val="0"/>
              <w:keepLines w:val="0"/>
              <w:suppressLineNumbers w:val="0"/>
              <w:tabs>
                <w:tab w:val="left" w:pos="426"/>
              </w:tabs>
              <w:spacing w:before="0" w:beforeAutospacing="0" w:after="0" w:afterAutospacing="0" w:line="460" w:lineRule="exact"/>
              <w:ind w:left="0" w:right="0" w:firstLine="420" w:firstLineChars="200"/>
              <w:rPr>
                <w:rFonts w:hint="default"/>
                <w:color w:val="auto"/>
                <w:szCs w:val="21"/>
                <w:highlight w:val="none"/>
              </w:rPr>
            </w:pPr>
            <w:r>
              <w:rPr>
                <w:rFonts w:hint="eastAsia"/>
                <w:color w:val="auto"/>
                <w:szCs w:val="21"/>
                <w:highlight w:val="none"/>
              </w:rPr>
              <w:t>(1)</w:t>
            </w:r>
            <w:r>
              <w:rPr>
                <w:rFonts w:hint="eastAsia"/>
                <w:color w:val="auto"/>
                <w:szCs w:val="21"/>
                <w:highlight w:val="none"/>
              </w:rPr>
              <w:tab/>
            </w:r>
            <w:r>
              <w:rPr>
                <w:rFonts w:hint="eastAsia"/>
                <w:color w:val="auto"/>
                <w:szCs w:val="21"/>
                <w:highlight w:val="none"/>
              </w:rPr>
              <w:t>未经</w:t>
            </w:r>
            <w:r>
              <w:rPr>
                <w:rFonts w:hint="eastAsia"/>
                <w:color w:val="auto"/>
                <w:szCs w:val="21"/>
                <w:highlight w:val="none"/>
                <w:lang w:eastAsia="zh-CN"/>
              </w:rPr>
              <w:t>招标单位</w:t>
            </w:r>
            <w:r>
              <w:rPr>
                <w:rFonts w:hint="eastAsia"/>
                <w:color w:val="auto"/>
                <w:szCs w:val="21"/>
                <w:highlight w:val="none"/>
              </w:rPr>
              <w:t>书面在先同意，</w:t>
            </w:r>
            <w:r>
              <w:rPr>
                <w:rFonts w:hint="eastAsia"/>
                <w:color w:val="auto"/>
                <w:szCs w:val="21"/>
                <w:highlight w:val="none"/>
                <w:lang w:eastAsia="zh-CN"/>
              </w:rPr>
              <w:t>投标单位</w:t>
            </w:r>
            <w:r>
              <w:rPr>
                <w:rFonts w:hint="eastAsia"/>
                <w:color w:val="auto"/>
                <w:szCs w:val="21"/>
                <w:highlight w:val="none"/>
              </w:rPr>
              <w:t>擅自将本合同项目与任何第三方合作，或将本合同标的的全部或部分擅自转包给任何第三方，且未按</w:t>
            </w:r>
            <w:r>
              <w:rPr>
                <w:rFonts w:hint="eastAsia"/>
                <w:color w:val="auto"/>
                <w:szCs w:val="21"/>
                <w:highlight w:val="none"/>
                <w:lang w:eastAsia="zh-CN"/>
              </w:rPr>
              <w:t>招标单位</w:t>
            </w:r>
            <w:r>
              <w:rPr>
                <w:rFonts w:hint="eastAsia"/>
                <w:color w:val="auto"/>
                <w:szCs w:val="21"/>
                <w:highlight w:val="none"/>
              </w:rPr>
              <w:t>的要求终止与第三方的协议的。</w:t>
            </w:r>
          </w:p>
          <w:p>
            <w:pPr>
              <w:keepNext w:val="0"/>
              <w:keepLines w:val="0"/>
              <w:suppressLineNumbers w:val="0"/>
              <w:tabs>
                <w:tab w:val="left" w:pos="426"/>
              </w:tabs>
              <w:spacing w:before="0" w:beforeAutospacing="0" w:after="0" w:afterAutospacing="0" w:line="460" w:lineRule="exact"/>
              <w:ind w:left="0" w:right="0" w:firstLine="420" w:firstLineChars="200"/>
              <w:rPr>
                <w:rFonts w:hint="default"/>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项目负责人为承担本协议项目实质性工作，或未经</w:t>
            </w:r>
            <w:r>
              <w:rPr>
                <w:rFonts w:hint="eastAsia"/>
                <w:color w:val="auto"/>
                <w:szCs w:val="21"/>
                <w:highlight w:val="none"/>
                <w:lang w:eastAsia="zh-CN"/>
              </w:rPr>
              <w:t>招标单位</w:t>
            </w:r>
            <w:r>
              <w:rPr>
                <w:rFonts w:hint="eastAsia"/>
                <w:color w:val="auto"/>
                <w:szCs w:val="21"/>
                <w:highlight w:val="none"/>
              </w:rPr>
              <w:t>书面在先同意，</w:t>
            </w:r>
            <w:r>
              <w:rPr>
                <w:rFonts w:hint="eastAsia"/>
                <w:color w:val="auto"/>
                <w:szCs w:val="21"/>
                <w:highlight w:val="none"/>
                <w:lang w:eastAsia="zh-CN"/>
              </w:rPr>
              <w:t>投标单位</w:t>
            </w:r>
            <w:r>
              <w:rPr>
                <w:rFonts w:hint="eastAsia"/>
                <w:color w:val="auto"/>
                <w:szCs w:val="21"/>
                <w:highlight w:val="none"/>
              </w:rPr>
              <w:t>擅自更换总监理工程师的。</w:t>
            </w:r>
          </w:p>
          <w:p>
            <w:pPr>
              <w:keepNext w:val="0"/>
              <w:keepLines w:val="0"/>
              <w:suppressLineNumbers w:val="0"/>
              <w:tabs>
                <w:tab w:val="left" w:pos="426"/>
              </w:tabs>
              <w:spacing w:before="0" w:beforeAutospacing="0" w:after="0" w:afterAutospacing="0" w:line="440" w:lineRule="exact"/>
              <w:ind w:left="0" w:right="0" w:firstLine="420" w:firstLineChars="200"/>
              <w:rPr>
                <w:rFonts w:hint="default"/>
                <w:color w:val="auto"/>
                <w:szCs w:val="21"/>
                <w:highlight w:val="none"/>
              </w:rPr>
            </w:pPr>
            <w:r>
              <w:rPr>
                <w:rFonts w:hint="eastAsia"/>
                <w:color w:val="auto"/>
                <w:szCs w:val="21"/>
                <w:highlight w:val="none"/>
              </w:rPr>
              <w:t>(3)</w:t>
            </w:r>
            <w:r>
              <w:rPr>
                <w:rFonts w:hint="eastAsia"/>
                <w:color w:val="auto"/>
                <w:szCs w:val="21"/>
                <w:highlight w:val="none"/>
              </w:rPr>
              <w:tab/>
            </w:r>
            <w:r>
              <w:rPr>
                <w:rFonts w:hint="eastAsia"/>
                <w:color w:val="auto"/>
                <w:szCs w:val="21"/>
                <w:highlight w:val="none"/>
              </w:rPr>
              <w:t>发现</w:t>
            </w:r>
            <w:r>
              <w:rPr>
                <w:rFonts w:hint="eastAsia"/>
                <w:color w:val="auto"/>
                <w:szCs w:val="21"/>
                <w:highlight w:val="none"/>
                <w:lang w:eastAsia="zh-CN"/>
              </w:rPr>
              <w:t>投标单位</w:t>
            </w:r>
            <w:r>
              <w:rPr>
                <w:rFonts w:hint="eastAsia"/>
                <w:color w:val="auto"/>
                <w:szCs w:val="21"/>
                <w:highlight w:val="none"/>
              </w:rPr>
              <w:t>或</w:t>
            </w:r>
            <w:r>
              <w:rPr>
                <w:rFonts w:hint="eastAsia"/>
                <w:color w:val="auto"/>
                <w:szCs w:val="21"/>
                <w:highlight w:val="none"/>
                <w:lang w:eastAsia="zh-CN"/>
              </w:rPr>
              <w:t>投标单位</w:t>
            </w:r>
            <w:r>
              <w:rPr>
                <w:rFonts w:hint="eastAsia"/>
                <w:color w:val="auto"/>
                <w:szCs w:val="21"/>
                <w:highlight w:val="none"/>
              </w:rPr>
              <w:t>工作人员出现全部或部分丧失履行委托服务能力的情况，</w:t>
            </w:r>
            <w:r>
              <w:rPr>
                <w:rFonts w:hint="eastAsia"/>
                <w:color w:val="auto"/>
                <w:szCs w:val="21"/>
                <w:highlight w:val="none"/>
                <w:lang w:eastAsia="zh-CN"/>
              </w:rPr>
              <w:t>招标单位</w:t>
            </w:r>
            <w:r>
              <w:rPr>
                <w:rFonts w:hint="eastAsia"/>
                <w:color w:val="auto"/>
                <w:szCs w:val="21"/>
                <w:highlight w:val="none"/>
              </w:rPr>
              <w:t>有权通知</w:t>
            </w:r>
            <w:r>
              <w:rPr>
                <w:rFonts w:hint="eastAsia"/>
                <w:color w:val="auto"/>
                <w:szCs w:val="21"/>
                <w:highlight w:val="none"/>
                <w:lang w:eastAsia="zh-CN"/>
              </w:rPr>
              <w:t>投标单位</w:t>
            </w:r>
            <w:r>
              <w:rPr>
                <w:rFonts w:hint="eastAsia"/>
                <w:color w:val="auto"/>
                <w:szCs w:val="21"/>
                <w:highlight w:val="none"/>
              </w:rPr>
              <w:t>限期整改或更换工作人员，期限届满</w:t>
            </w:r>
            <w:r>
              <w:rPr>
                <w:rFonts w:hint="eastAsia"/>
                <w:color w:val="auto"/>
                <w:szCs w:val="21"/>
                <w:highlight w:val="none"/>
                <w:lang w:eastAsia="zh-CN"/>
              </w:rPr>
              <w:t>投标单位</w:t>
            </w:r>
            <w:r>
              <w:rPr>
                <w:rFonts w:hint="eastAsia"/>
                <w:color w:val="auto"/>
                <w:szCs w:val="21"/>
                <w:highlight w:val="none"/>
              </w:rPr>
              <w:t>并未进行改善的。</w:t>
            </w:r>
          </w:p>
          <w:p>
            <w:pPr>
              <w:keepNext w:val="0"/>
              <w:keepLines w:val="0"/>
              <w:suppressLineNumbers w:val="0"/>
              <w:tabs>
                <w:tab w:val="left" w:pos="426"/>
              </w:tabs>
              <w:adjustRightInd/>
              <w:snapToGrid/>
              <w:spacing w:before="0" w:beforeAutospacing="0" w:after="0" w:afterAutospacing="0" w:line="440" w:lineRule="exact"/>
              <w:ind w:left="0" w:right="0" w:firstLine="420" w:firstLineChars="200"/>
              <w:jc w:val="left"/>
              <w:rPr>
                <w:rFonts w:hint="eastAsia" w:ascii="宋体" w:hAnsi="宋体" w:eastAsia="宋体" w:cs="宋体"/>
                <w:snapToGrid w:val="0"/>
                <w:kern w:val="0"/>
                <w:szCs w:val="21"/>
                <w:highlight w:val="none"/>
              </w:rPr>
            </w:pPr>
            <w:r>
              <w:rPr>
                <w:rFonts w:hint="eastAsia"/>
                <w:color w:val="auto"/>
                <w:szCs w:val="21"/>
                <w:highlight w:val="none"/>
              </w:rPr>
              <w:t>(4)</w:t>
            </w:r>
            <w:r>
              <w:rPr>
                <w:rFonts w:hint="eastAsia"/>
                <w:color w:val="auto"/>
                <w:szCs w:val="21"/>
                <w:highlight w:val="none"/>
              </w:rPr>
              <w:tab/>
            </w:r>
            <w:r>
              <w:rPr>
                <w:rFonts w:hint="eastAsia"/>
                <w:color w:val="auto"/>
                <w:szCs w:val="21"/>
                <w:highlight w:val="none"/>
                <w:lang w:eastAsia="zh-CN"/>
              </w:rPr>
              <w:t>投标单位</w:t>
            </w:r>
            <w:r>
              <w:rPr>
                <w:rFonts w:hint="eastAsia"/>
                <w:color w:val="auto"/>
                <w:szCs w:val="21"/>
                <w:highlight w:val="none"/>
              </w:rPr>
              <w:t>明确表示或者以自己的行为表明不履行本合同的。</w:t>
            </w:r>
          </w:p>
          <w:p>
            <w:pPr>
              <w:keepNext w:val="0"/>
              <w:keepLines w:val="0"/>
              <w:suppressLineNumbers w:val="0"/>
              <w:adjustRightInd w:val="0"/>
              <w:snapToGrid w:val="0"/>
              <w:spacing w:before="0" w:beforeAutospacing="0" w:after="0" w:afterAutospacing="0" w:line="440" w:lineRule="exact"/>
              <w:ind w:left="0" w:right="0" w:firstLine="420" w:firstLineChars="200"/>
              <w:jc w:val="left"/>
              <w:rPr>
                <w:rFonts w:hint="eastAsia" w:ascii="宋体" w:hAnsi="宋体" w:eastAsia="宋体" w:cs="宋体"/>
                <w:snapToGrid w:val="0"/>
                <w:kern w:val="0"/>
                <w:szCs w:val="21"/>
                <w:highlight w:val="none"/>
              </w:rPr>
            </w:pPr>
            <w:r>
              <w:rPr>
                <w:rFonts w:hint="eastAsia" w:ascii="宋体" w:hAnsi="宋体" w:cs="宋体"/>
                <w:snapToGrid w:val="0"/>
                <w:kern w:val="0"/>
                <w:szCs w:val="21"/>
                <w:highlight w:val="none"/>
                <w:lang w:val="en-US" w:eastAsia="zh-CN"/>
              </w:rPr>
              <w:t>4.1.3投标单位</w:t>
            </w:r>
            <w:r>
              <w:rPr>
                <w:rFonts w:hint="eastAsia" w:ascii="宋体" w:hAnsi="宋体" w:eastAsia="宋体" w:cs="宋体"/>
                <w:snapToGrid w:val="0"/>
                <w:kern w:val="0"/>
                <w:szCs w:val="21"/>
                <w:highlight w:val="none"/>
              </w:rPr>
              <w:t>向</w:t>
            </w:r>
            <w:r>
              <w:rPr>
                <w:rFonts w:hint="eastAsia" w:ascii="宋体" w:hAnsi="宋体" w:cs="宋体"/>
                <w:snapToGrid w:val="0"/>
                <w:kern w:val="0"/>
                <w:szCs w:val="21"/>
                <w:highlight w:val="none"/>
                <w:lang w:val="en-US" w:eastAsia="zh-CN"/>
              </w:rPr>
              <w:t>招标单位</w:t>
            </w:r>
            <w:r>
              <w:rPr>
                <w:rFonts w:hint="eastAsia" w:ascii="宋体" w:hAnsi="宋体" w:eastAsia="宋体" w:cs="宋体"/>
                <w:snapToGrid w:val="0"/>
                <w:kern w:val="0"/>
                <w:szCs w:val="21"/>
                <w:highlight w:val="none"/>
              </w:rPr>
              <w:t>的索赔不成立时，</w:t>
            </w:r>
            <w:r>
              <w:rPr>
                <w:rFonts w:hint="eastAsia" w:ascii="宋体" w:hAnsi="宋体" w:cs="宋体"/>
                <w:snapToGrid w:val="0"/>
                <w:kern w:val="0"/>
                <w:szCs w:val="21"/>
                <w:highlight w:val="none"/>
                <w:lang w:val="en-US" w:eastAsia="zh-CN"/>
              </w:rPr>
              <w:t>投标单位</w:t>
            </w:r>
            <w:r>
              <w:rPr>
                <w:rFonts w:hint="eastAsia" w:ascii="宋体" w:hAnsi="宋体" w:eastAsia="宋体" w:cs="宋体"/>
                <w:snapToGrid w:val="0"/>
                <w:kern w:val="0"/>
                <w:szCs w:val="21"/>
                <w:highlight w:val="none"/>
              </w:rPr>
              <w:t>应赔偿</w:t>
            </w:r>
            <w:r>
              <w:rPr>
                <w:rFonts w:hint="eastAsia" w:ascii="宋体" w:hAnsi="宋体" w:cs="宋体"/>
                <w:snapToGrid w:val="0"/>
                <w:kern w:val="0"/>
                <w:szCs w:val="21"/>
                <w:highlight w:val="none"/>
                <w:lang w:val="en-US" w:eastAsia="zh-CN"/>
              </w:rPr>
              <w:t>招标单位</w:t>
            </w:r>
            <w:r>
              <w:rPr>
                <w:rFonts w:hint="eastAsia" w:ascii="宋体" w:hAnsi="宋体" w:eastAsia="宋体" w:cs="宋体"/>
                <w:snapToGrid w:val="0"/>
                <w:kern w:val="0"/>
                <w:szCs w:val="21"/>
                <w:highlight w:val="none"/>
              </w:rPr>
              <w:t>由此发生的费用。</w:t>
            </w:r>
          </w:p>
          <w:p>
            <w:pPr>
              <w:keepNext w:val="0"/>
              <w:keepLines w:val="0"/>
              <w:suppressLineNumbers w:val="0"/>
              <w:adjustRightInd w:val="0"/>
              <w:snapToGrid w:val="0"/>
              <w:spacing w:before="0" w:beforeAutospacing="0" w:after="0" w:afterAutospacing="0" w:line="440" w:lineRule="exact"/>
              <w:ind w:left="0" w:right="0" w:firstLine="422" w:firstLineChars="200"/>
              <w:jc w:val="left"/>
              <w:rPr>
                <w:rFonts w:hint="eastAsia" w:ascii="宋体" w:hAnsi="宋体" w:eastAsia="宋体" w:cs="宋体"/>
                <w:snapToGrid w:val="0"/>
                <w:kern w:val="0"/>
                <w:highlight w:val="none"/>
              </w:rPr>
            </w:pPr>
            <w:r>
              <w:rPr>
                <w:rFonts w:hint="eastAsia" w:ascii="宋体" w:hAnsi="宋体" w:eastAsia="宋体" w:cs="宋体"/>
                <w:b/>
                <w:snapToGrid w:val="0"/>
                <w:kern w:val="0"/>
                <w:highlight w:val="none"/>
              </w:rPr>
              <w:t>4.2</w:t>
            </w:r>
            <w:r>
              <w:rPr>
                <w:rFonts w:hint="eastAsia" w:ascii="宋体" w:hAnsi="宋体" w:cs="宋体"/>
                <w:b/>
                <w:snapToGrid w:val="0"/>
                <w:kern w:val="0"/>
                <w:highlight w:val="none"/>
                <w:lang w:val="en-US" w:eastAsia="zh-CN"/>
              </w:rPr>
              <w:t>招标单位</w:t>
            </w:r>
            <w:r>
              <w:rPr>
                <w:rFonts w:hint="eastAsia" w:ascii="宋体" w:hAnsi="宋体" w:eastAsia="宋体" w:cs="宋体"/>
                <w:b/>
                <w:snapToGrid w:val="0"/>
                <w:kern w:val="0"/>
                <w:highlight w:val="none"/>
              </w:rPr>
              <w:t>的违约责任</w:t>
            </w:r>
          </w:p>
          <w:p>
            <w:pPr>
              <w:keepNext w:val="0"/>
              <w:keepLines w:val="0"/>
              <w:suppressLineNumbers w:val="0"/>
              <w:adjustRightInd w:val="0"/>
              <w:snapToGrid w:val="0"/>
              <w:spacing w:before="0" w:beforeAutospacing="0" w:after="0" w:afterAutospacing="0" w:line="440" w:lineRule="exact"/>
              <w:ind w:left="0" w:right="0" w:firstLine="420" w:firstLineChars="200"/>
              <w:jc w:val="left"/>
              <w:rPr>
                <w:rFonts w:hint="eastAsia" w:ascii="宋体" w:hAnsi="宋体" w:eastAsia="宋体" w:cs="宋体"/>
                <w:snapToGrid w:val="0"/>
                <w:kern w:val="0"/>
                <w:szCs w:val="21"/>
                <w:highlight w:val="none"/>
              </w:rPr>
            </w:pPr>
            <w:r>
              <w:rPr>
                <w:rFonts w:hint="eastAsia" w:ascii="宋体" w:hAnsi="宋体" w:cs="宋体"/>
                <w:snapToGrid w:val="0"/>
                <w:kern w:val="0"/>
                <w:szCs w:val="21"/>
                <w:highlight w:val="none"/>
                <w:lang w:val="en-US" w:eastAsia="zh-CN"/>
              </w:rPr>
              <w:t>招标单位</w:t>
            </w:r>
            <w:r>
              <w:rPr>
                <w:rFonts w:hint="eastAsia" w:ascii="宋体" w:hAnsi="宋体" w:eastAsia="宋体" w:cs="宋体"/>
                <w:snapToGrid w:val="0"/>
                <w:kern w:val="0"/>
                <w:szCs w:val="21"/>
                <w:highlight w:val="none"/>
              </w:rPr>
              <w:t>未履行本合同义务的，应承担相应的责任。</w:t>
            </w:r>
          </w:p>
          <w:p>
            <w:pPr>
              <w:keepNext w:val="0"/>
              <w:keepLines w:val="0"/>
              <w:suppressLineNumbers w:val="0"/>
              <w:adjustRightInd w:val="0"/>
              <w:snapToGrid w:val="0"/>
              <w:spacing w:before="0" w:beforeAutospacing="0" w:after="0" w:afterAutospacing="0" w:line="440" w:lineRule="exact"/>
              <w:ind w:left="0" w:right="0" w:firstLine="420" w:firstLineChars="200"/>
              <w:jc w:val="left"/>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4.2.1</w:t>
            </w:r>
            <w:r>
              <w:rPr>
                <w:rFonts w:hint="eastAsia" w:ascii="宋体" w:hAnsi="宋体" w:cs="宋体"/>
                <w:snapToGrid w:val="0"/>
                <w:kern w:val="0"/>
                <w:szCs w:val="21"/>
                <w:highlight w:val="none"/>
                <w:lang w:val="en-US" w:eastAsia="zh-CN"/>
              </w:rPr>
              <w:t>招标单位</w:t>
            </w:r>
            <w:r>
              <w:rPr>
                <w:rFonts w:hint="eastAsia" w:ascii="宋体" w:hAnsi="宋体" w:eastAsia="宋体" w:cs="宋体"/>
                <w:snapToGrid w:val="0"/>
                <w:kern w:val="0"/>
                <w:szCs w:val="21"/>
                <w:highlight w:val="none"/>
              </w:rPr>
              <w:t>违反合同约定造成</w:t>
            </w:r>
            <w:r>
              <w:rPr>
                <w:rFonts w:hint="eastAsia" w:ascii="宋体" w:hAnsi="宋体" w:cs="宋体"/>
                <w:snapToGrid w:val="0"/>
                <w:kern w:val="0"/>
                <w:szCs w:val="21"/>
                <w:highlight w:val="none"/>
                <w:lang w:val="en-US" w:eastAsia="zh-CN"/>
              </w:rPr>
              <w:t>投标单位</w:t>
            </w:r>
            <w:r>
              <w:rPr>
                <w:rFonts w:hint="eastAsia" w:ascii="宋体" w:hAnsi="宋体" w:eastAsia="宋体" w:cs="宋体"/>
                <w:snapToGrid w:val="0"/>
                <w:kern w:val="0"/>
                <w:szCs w:val="21"/>
                <w:highlight w:val="none"/>
              </w:rPr>
              <w:t>损失的，</w:t>
            </w:r>
            <w:r>
              <w:rPr>
                <w:rFonts w:hint="eastAsia" w:ascii="宋体" w:hAnsi="宋体" w:cs="宋体"/>
                <w:snapToGrid w:val="0"/>
                <w:kern w:val="0"/>
                <w:szCs w:val="21"/>
                <w:highlight w:val="none"/>
                <w:lang w:val="en-US" w:eastAsia="zh-CN"/>
              </w:rPr>
              <w:t>招标单位</w:t>
            </w:r>
            <w:r>
              <w:rPr>
                <w:rFonts w:hint="eastAsia" w:ascii="宋体" w:hAnsi="宋体" w:eastAsia="宋体" w:cs="宋体"/>
                <w:snapToGrid w:val="0"/>
                <w:kern w:val="0"/>
                <w:szCs w:val="21"/>
                <w:highlight w:val="none"/>
              </w:rPr>
              <w:t>应予以赔偿。</w:t>
            </w:r>
          </w:p>
          <w:p>
            <w:pPr>
              <w:keepNext w:val="0"/>
              <w:keepLines w:val="0"/>
              <w:suppressLineNumbers w:val="0"/>
              <w:adjustRightInd w:val="0"/>
              <w:snapToGrid w:val="0"/>
              <w:spacing w:before="0" w:beforeAutospacing="0" w:after="0" w:afterAutospacing="0" w:line="440" w:lineRule="exact"/>
              <w:ind w:left="0" w:right="0" w:firstLine="420" w:firstLineChars="200"/>
              <w:jc w:val="left"/>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4.2.2</w:t>
            </w:r>
            <w:r>
              <w:rPr>
                <w:rFonts w:hint="eastAsia" w:ascii="宋体" w:hAnsi="宋体" w:cs="宋体"/>
                <w:snapToGrid w:val="0"/>
                <w:kern w:val="0"/>
                <w:szCs w:val="21"/>
                <w:highlight w:val="none"/>
                <w:lang w:val="en-US" w:eastAsia="zh-CN"/>
              </w:rPr>
              <w:t>招标单位</w:t>
            </w:r>
            <w:r>
              <w:rPr>
                <w:rFonts w:hint="eastAsia" w:ascii="宋体" w:hAnsi="宋体" w:eastAsia="宋体" w:cs="宋体"/>
                <w:snapToGrid w:val="0"/>
                <w:kern w:val="0"/>
                <w:szCs w:val="21"/>
                <w:highlight w:val="none"/>
              </w:rPr>
              <w:t>向</w:t>
            </w:r>
            <w:r>
              <w:rPr>
                <w:rFonts w:hint="eastAsia" w:ascii="宋体" w:hAnsi="宋体" w:cs="宋体"/>
                <w:snapToGrid w:val="0"/>
                <w:kern w:val="0"/>
                <w:szCs w:val="21"/>
                <w:highlight w:val="none"/>
                <w:lang w:val="en-US" w:eastAsia="zh-CN"/>
              </w:rPr>
              <w:t>投标单位</w:t>
            </w:r>
            <w:r>
              <w:rPr>
                <w:rFonts w:hint="eastAsia" w:ascii="宋体" w:hAnsi="宋体" w:eastAsia="宋体" w:cs="宋体"/>
                <w:snapToGrid w:val="0"/>
                <w:kern w:val="0"/>
                <w:szCs w:val="21"/>
                <w:highlight w:val="none"/>
              </w:rPr>
              <w:t>的索赔不成立时，应赔偿</w:t>
            </w:r>
            <w:r>
              <w:rPr>
                <w:rFonts w:hint="eastAsia" w:ascii="宋体" w:hAnsi="宋体" w:cs="宋体"/>
                <w:snapToGrid w:val="0"/>
                <w:kern w:val="0"/>
                <w:szCs w:val="21"/>
                <w:highlight w:val="none"/>
                <w:lang w:val="en-US" w:eastAsia="zh-CN"/>
              </w:rPr>
              <w:t>投标单位</w:t>
            </w:r>
            <w:r>
              <w:rPr>
                <w:rFonts w:hint="eastAsia" w:ascii="宋体" w:hAnsi="宋体" w:eastAsia="宋体" w:cs="宋体"/>
                <w:snapToGrid w:val="0"/>
                <w:kern w:val="0"/>
                <w:szCs w:val="21"/>
                <w:highlight w:val="none"/>
              </w:rPr>
              <w:t>由此引起的费用。</w:t>
            </w:r>
          </w:p>
          <w:p>
            <w:pPr>
              <w:keepNext w:val="0"/>
              <w:keepLines w:val="0"/>
              <w:suppressLineNumbers w:val="0"/>
              <w:adjustRightInd w:val="0"/>
              <w:snapToGrid w:val="0"/>
              <w:spacing w:before="0" w:beforeAutospacing="0" w:after="0" w:afterAutospacing="0" w:line="440" w:lineRule="exact"/>
              <w:ind w:left="0" w:right="0" w:firstLine="420" w:firstLineChars="200"/>
              <w:jc w:val="left"/>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4.2.3</w:t>
            </w:r>
            <w:r>
              <w:rPr>
                <w:rFonts w:hint="eastAsia"/>
                <w:color w:val="auto"/>
                <w:szCs w:val="21"/>
                <w:highlight w:val="none"/>
              </w:rPr>
              <w:t>如</w:t>
            </w:r>
            <w:r>
              <w:rPr>
                <w:rFonts w:hint="eastAsia"/>
                <w:color w:val="auto"/>
                <w:szCs w:val="21"/>
                <w:highlight w:val="none"/>
                <w:lang w:eastAsia="zh-CN"/>
              </w:rPr>
              <w:t>招标单位</w:t>
            </w:r>
            <w:r>
              <w:rPr>
                <w:rFonts w:hint="eastAsia"/>
                <w:color w:val="auto"/>
                <w:szCs w:val="21"/>
                <w:highlight w:val="none"/>
              </w:rPr>
              <w:t>未按照本合同约定的时间支付服务费，</w:t>
            </w:r>
            <w:r>
              <w:rPr>
                <w:rFonts w:hint="eastAsia"/>
                <w:color w:val="auto"/>
                <w:szCs w:val="21"/>
                <w:highlight w:val="none"/>
                <w:lang w:eastAsia="zh-CN"/>
              </w:rPr>
              <w:t>投标单位</w:t>
            </w:r>
            <w:r>
              <w:rPr>
                <w:rFonts w:hint="eastAsia"/>
                <w:color w:val="auto"/>
                <w:szCs w:val="21"/>
                <w:highlight w:val="none"/>
              </w:rPr>
              <w:t>书面催告</w:t>
            </w:r>
            <w:r>
              <w:rPr>
                <w:rFonts w:hint="eastAsia"/>
                <w:color w:val="auto"/>
                <w:szCs w:val="21"/>
                <w:highlight w:val="none"/>
                <w:lang w:eastAsia="zh-CN"/>
              </w:rPr>
              <w:t>招标单位</w:t>
            </w:r>
            <w:r>
              <w:rPr>
                <w:rFonts w:hint="eastAsia"/>
                <w:color w:val="auto"/>
                <w:szCs w:val="21"/>
                <w:highlight w:val="none"/>
              </w:rPr>
              <w:t>并给予不少于7个工作日的履行期限后</w:t>
            </w:r>
            <w:r>
              <w:rPr>
                <w:rFonts w:hint="eastAsia"/>
                <w:color w:val="auto"/>
                <w:szCs w:val="21"/>
                <w:highlight w:val="none"/>
                <w:lang w:eastAsia="zh-CN"/>
              </w:rPr>
              <w:t>招标单位</w:t>
            </w:r>
            <w:r>
              <w:rPr>
                <w:rFonts w:hint="eastAsia"/>
                <w:color w:val="auto"/>
                <w:szCs w:val="21"/>
                <w:highlight w:val="none"/>
              </w:rPr>
              <w:t>仍未支付的，</w:t>
            </w:r>
            <w:r>
              <w:rPr>
                <w:rFonts w:hint="eastAsia"/>
                <w:color w:val="auto"/>
                <w:szCs w:val="21"/>
                <w:highlight w:val="none"/>
                <w:lang w:eastAsia="zh-CN"/>
              </w:rPr>
              <w:t>投标单位</w:t>
            </w:r>
            <w:r>
              <w:rPr>
                <w:rFonts w:hint="eastAsia"/>
                <w:color w:val="auto"/>
                <w:szCs w:val="21"/>
                <w:highlight w:val="none"/>
              </w:rPr>
              <w:t>有权自该期限届满之日起要求</w:t>
            </w:r>
            <w:r>
              <w:rPr>
                <w:rFonts w:hint="eastAsia"/>
                <w:color w:val="auto"/>
                <w:szCs w:val="21"/>
                <w:highlight w:val="none"/>
                <w:lang w:eastAsia="zh-CN"/>
              </w:rPr>
              <w:t>招标单位</w:t>
            </w:r>
            <w:r>
              <w:rPr>
                <w:rFonts w:hint="eastAsia"/>
                <w:color w:val="auto"/>
                <w:szCs w:val="21"/>
                <w:highlight w:val="none"/>
              </w:rPr>
              <w:t>支付该阶段应付而未付合同价款每日3‰的逾期违约金。</w:t>
            </w:r>
          </w:p>
          <w:p>
            <w:pPr>
              <w:keepNext w:val="0"/>
              <w:keepLines w:val="0"/>
              <w:suppressLineNumbers w:val="0"/>
              <w:adjustRightInd w:val="0"/>
              <w:snapToGrid w:val="0"/>
              <w:spacing w:before="0" w:beforeAutospacing="0" w:after="0" w:afterAutospacing="0" w:line="360" w:lineRule="auto"/>
              <w:ind w:left="0" w:right="0" w:firstLine="422" w:firstLineChars="200"/>
              <w:jc w:val="left"/>
              <w:rPr>
                <w:rFonts w:hint="eastAsia" w:ascii="宋体" w:hAnsi="宋体" w:eastAsia="宋体" w:cs="宋体"/>
                <w:snapToGrid w:val="0"/>
                <w:kern w:val="0"/>
                <w:highlight w:val="none"/>
              </w:rPr>
            </w:pPr>
            <w:r>
              <w:rPr>
                <w:rFonts w:hint="eastAsia" w:ascii="宋体" w:hAnsi="宋体" w:eastAsia="宋体" w:cs="宋体"/>
                <w:b/>
                <w:snapToGrid w:val="0"/>
                <w:kern w:val="0"/>
                <w:highlight w:val="none"/>
              </w:rPr>
              <w:t>4.3除外责任</w:t>
            </w:r>
          </w:p>
          <w:p>
            <w:pPr>
              <w:keepNext w:val="0"/>
              <w:keepLines w:val="0"/>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因非</w:t>
            </w:r>
            <w:r>
              <w:rPr>
                <w:rFonts w:hint="eastAsia" w:ascii="宋体" w:hAnsi="宋体" w:cs="宋体"/>
                <w:snapToGrid w:val="0"/>
                <w:kern w:val="0"/>
                <w:szCs w:val="21"/>
                <w:highlight w:val="none"/>
                <w:lang w:val="en-US" w:eastAsia="zh-CN"/>
              </w:rPr>
              <w:t>投标单位</w:t>
            </w:r>
            <w:r>
              <w:rPr>
                <w:rFonts w:hint="eastAsia" w:ascii="宋体" w:hAnsi="宋体" w:eastAsia="宋体" w:cs="宋体"/>
                <w:snapToGrid w:val="0"/>
                <w:kern w:val="0"/>
                <w:szCs w:val="21"/>
                <w:highlight w:val="none"/>
              </w:rPr>
              <w:t>的原因，且</w:t>
            </w:r>
            <w:r>
              <w:rPr>
                <w:rFonts w:hint="eastAsia" w:ascii="宋体" w:hAnsi="宋体" w:cs="宋体"/>
                <w:snapToGrid w:val="0"/>
                <w:kern w:val="0"/>
                <w:szCs w:val="21"/>
                <w:highlight w:val="none"/>
                <w:lang w:val="en-US" w:eastAsia="zh-CN"/>
              </w:rPr>
              <w:t>投标单位</w:t>
            </w:r>
            <w:r>
              <w:rPr>
                <w:rFonts w:hint="eastAsia" w:ascii="宋体" w:hAnsi="宋体" w:eastAsia="宋体" w:cs="宋体"/>
                <w:snapToGrid w:val="0"/>
                <w:kern w:val="0"/>
                <w:szCs w:val="21"/>
                <w:highlight w:val="none"/>
              </w:rPr>
              <w:t>无过错，发生工程质量事故、安全事故、工期延误等造成的损失，</w:t>
            </w:r>
            <w:r>
              <w:rPr>
                <w:rFonts w:hint="eastAsia" w:ascii="宋体" w:hAnsi="宋体" w:cs="宋体"/>
                <w:snapToGrid w:val="0"/>
                <w:kern w:val="0"/>
                <w:szCs w:val="21"/>
                <w:highlight w:val="none"/>
                <w:lang w:val="en-US" w:eastAsia="zh-CN"/>
              </w:rPr>
              <w:t>投标单位</w:t>
            </w:r>
            <w:r>
              <w:rPr>
                <w:rFonts w:hint="eastAsia" w:ascii="宋体" w:hAnsi="宋体" w:eastAsia="宋体" w:cs="宋体"/>
                <w:snapToGrid w:val="0"/>
                <w:kern w:val="0"/>
                <w:szCs w:val="21"/>
                <w:highlight w:val="none"/>
              </w:rPr>
              <w:t>不承担赔偿责任。</w:t>
            </w:r>
          </w:p>
          <w:p>
            <w:pPr>
              <w:keepNext w:val="0"/>
              <w:keepLines w:val="0"/>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因不可抗力导致本合同全部或部分不能履行时，双方各自承担其因此而造成的损失、损害。</w:t>
            </w:r>
          </w:p>
          <w:p>
            <w:pPr>
              <w:keepNext w:val="0"/>
              <w:keepLines w:val="0"/>
              <w:suppressLineNumbers w:val="0"/>
              <w:spacing w:before="0" w:beforeLines="0" w:beforeAutospacing="0" w:after="0" w:afterLines="0" w:afterAutospacing="0"/>
              <w:ind w:left="0" w:right="0" w:firstLine="420" w:firstLineChars="200"/>
              <w:rPr>
                <w:rFonts w:hint="default" w:ascii="宋体" w:hAnsi="宋体" w:cs="宋体"/>
                <w:snapToGrid w:val="0"/>
                <w:color w:val="auto"/>
                <w:kern w:val="0"/>
                <w:szCs w:val="21"/>
                <w:highlight w:val="none"/>
              </w:rPr>
            </w:pPr>
          </w:p>
        </w:tc>
        <w:tc>
          <w:tcPr>
            <w:tcW w:w="1581" w:type="dxa"/>
            <w:vAlign w:val="center"/>
          </w:tcPr>
          <w:p>
            <w:pPr>
              <w:keepNext w:val="0"/>
              <w:keepLines w:val="0"/>
              <w:suppressLineNumbers w:val="0"/>
              <w:spacing w:before="0" w:beforeLines="0" w:beforeAutospacing="0" w:after="0" w:afterLines="0" w:afterAutospacing="0" w:line="240" w:lineRule="auto"/>
              <w:ind w:left="0" w:right="0" w:firstLine="420" w:firstLineChars="200"/>
              <w:jc w:val="both"/>
              <w:rPr>
                <w:rFonts w:hint="default" w:ascii="宋体" w:hAnsi="宋体" w:cs="宋体"/>
                <w:color w:val="auto"/>
                <w:highlight w:val="none"/>
              </w:rPr>
            </w:pPr>
          </w:p>
        </w:tc>
        <w:tc>
          <w:tcPr>
            <w:tcW w:w="1289" w:type="dxa"/>
            <w:vAlign w:val="center"/>
          </w:tcPr>
          <w:p>
            <w:pPr>
              <w:keepNext w:val="0"/>
              <w:keepLines w:val="0"/>
              <w:suppressLineNumbers w:val="0"/>
              <w:spacing w:before="0" w:beforeLines="0" w:beforeAutospacing="0" w:after="0" w:afterLines="0" w:afterAutospacing="0" w:line="240" w:lineRule="auto"/>
              <w:ind w:left="0" w:right="0" w:firstLine="420" w:firstLineChars="200"/>
              <w:jc w:val="both"/>
              <w:rPr>
                <w:rFonts w:hint="default"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4" w:hRule="atLeast"/>
          <w:jc w:val="center"/>
        </w:trPr>
        <w:tc>
          <w:tcPr>
            <w:tcW w:w="582" w:type="dxa"/>
            <w:vAlign w:val="center"/>
          </w:tcPr>
          <w:p>
            <w:pPr>
              <w:keepNext w:val="0"/>
              <w:keepLines w:val="0"/>
              <w:suppressLineNumbers w:val="0"/>
              <w:spacing w:before="0" w:beforeLines="0" w:beforeAutospacing="0" w:after="0" w:afterLines="0" w:afterAutospacing="0" w:line="240" w:lineRule="auto"/>
              <w:ind w:left="0" w:right="0" w:firstLine="0" w:firstLineChars="0"/>
              <w:jc w:val="center"/>
              <w:rPr>
                <w:rFonts w:hint="default" w:ascii="宋体" w:hAnsi="宋体" w:cs="宋体"/>
                <w:color w:val="auto"/>
                <w:szCs w:val="21"/>
                <w:highlight w:val="none"/>
              </w:rPr>
            </w:pPr>
            <w:r>
              <w:rPr>
                <w:rFonts w:hint="eastAsia" w:ascii="宋体" w:hAnsi="宋体" w:cs="宋体"/>
                <w:color w:val="auto"/>
                <w:szCs w:val="21"/>
                <w:highlight w:val="none"/>
              </w:rPr>
              <w:t>8</w:t>
            </w:r>
          </w:p>
        </w:tc>
        <w:tc>
          <w:tcPr>
            <w:tcW w:w="5563" w:type="dxa"/>
            <w:vAlign w:val="center"/>
          </w:tcPr>
          <w:p>
            <w:pPr>
              <w:keepNext w:val="0"/>
              <w:keepLines w:val="0"/>
              <w:suppressLineNumbers w:val="0"/>
              <w:tabs>
                <w:tab w:val="left" w:pos="426"/>
              </w:tabs>
              <w:spacing w:before="0" w:beforeLines="0" w:beforeAutospacing="0" w:after="0" w:afterLines="0" w:afterAutospacing="0"/>
              <w:ind w:left="0" w:right="0" w:firstLine="422" w:firstLineChars="200"/>
              <w:outlineLvl w:val="9"/>
              <w:rPr>
                <w:rFonts w:hint="eastAsia" w:cs="Arial"/>
                <w:b/>
                <w:color w:val="auto"/>
                <w:szCs w:val="21"/>
                <w:highlight w:val="none"/>
              </w:rPr>
            </w:pPr>
            <w:r>
              <w:rPr>
                <w:rFonts w:hint="eastAsia" w:cs="Arial"/>
                <w:b/>
                <w:color w:val="auto"/>
                <w:szCs w:val="21"/>
                <w:highlight w:val="none"/>
                <w:lang w:eastAsia="zh-CN"/>
              </w:rPr>
              <w:t>（二）</w:t>
            </w:r>
            <w:r>
              <w:rPr>
                <w:rFonts w:hint="eastAsia" w:cs="Arial"/>
                <w:b/>
                <w:color w:val="auto"/>
                <w:szCs w:val="21"/>
                <w:highlight w:val="none"/>
              </w:rPr>
              <w:t>付款方式</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1</w:t>
            </w:r>
            <w:r>
              <w:rPr>
                <w:rFonts w:hint="eastAsia"/>
                <w:color w:val="auto"/>
                <w:szCs w:val="21"/>
                <w:highlight w:val="none"/>
                <w:lang w:eastAsia="zh-CN"/>
              </w:rPr>
              <w:t>.</w:t>
            </w:r>
            <w:r>
              <w:rPr>
                <w:rFonts w:hint="eastAsia"/>
                <w:color w:val="auto"/>
                <w:szCs w:val="21"/>
                <w:highlight w:val="none"/>
              </w:rPr>
              <w:t>第一次付款：合同签订后支付合同</w:t>
            </w:r>
            <w:r>
              <w:rPr>
                <w:rFonts w:hint="eastAsia"/>
                <w:color w:val="auto"/>
                <w:szCs w:val="21"/>
                <w:highlight w:val="none"/>
                <w:lang w:val="en-US" w:eastAsia="zh-CN"/>
              </w:rPr>
              <w:t>暂定</w:t>
            </w:r>
            <w:r>
              <w:rPr>
                <w:rFonts w:hint="eastAsia"/>
                <w:color w:val="auto"/>
                <w:szCs w:val="21"/>
                <w:highlight w:val="none"/>
              </w:rPr>
              <w:t xml:space="preserve">价款总额的30%； </w:t>
            </w:r>
          </w:p>
          <w:p>
            <w:pPr>
              <w:keepNext w:val="0"/>
              <w:keepLines w:val="0"/>
              <w:suppressLineNumbers w:val="0"/>
              <w:tabs>
                <w:tab w:val="left" w:pos="426"/>
              </w:tabs>
              <w:spacing w:before="0" w:beforeAutospacing="0" w:after="0" w:afterAutospacing="0"/>
              <w:ind w:left="0" w:right="0" w:firstLine="420" w:firstLineChars="200"/>
              <w:rPr>
                <w:rFonts w:hint="default" w:eastAsia="宋体"/>
                <w:color w:val="auto"/>
                <w:kern w:val="18"/>
                <w:szCs w:val="21"/>
                <w:highlight w:val="none"/>
                <w:lang w:val="en-US" w:eastAsia="zh-CN"/>
              </w:rPr>
            </w:pPr>
            <w:r>
              <w:rPr>
                <w:rFonts w:hint="eastAsia"/>
                <w:color w:val="auto"/>
                <w:szCs w:val="21"/>
                <w:highlight w:val="none"/>
              </w:rPr>
              <w:t>2</w:t>
            </w:r>
            <w:r>
              <w:rPr>
                <w:rFonts w:hint="eastAsia"/>
                <w:color w:val="auto"/>
                <w:szCs w:val="21"/>
                <w:highlight w:val="none"/>
                <w:lang w:eastAsia="zh-CN"/>
              </w:rPr>
              <w:t>.</w:t>
            </w:r>
            <w:r>
              <w:rPr>
                <w:rFonts w:hint="eastAsia"/>
                <w:color w:val="auto"/>
                <w:szCs w:val="21"/>
                <w:highlight w:val="none"/>
                <w:lang w:val="en-US" w:eastAsia="zh-CN"/>
              </w:rPr>
              <w:t>结算时，监理服务酬金总</w:t>
            </w:r>
            <w:r>
              <w:rPr>
                <w:rFonts w:hint="eastAsia"/>
                <w:color w:val="auto"/>
                <w:kern w:val="18"/>
                <w:szCs w:val="21"/>
                <w:highlight w:val="none"/>
                <w:lang w:eastAsia="zh-CN"/>
              </w:rPr>
              <w:t>额</w:t>
            </w:r>
            <w:r>
              <w:rPr>
                <w:rFonts w:hint="eastAsia"/>
                <w:color w:val="auto"/>
                <w:kern w:val="18"/>
                <w:szCs w:val="21"/>
                <w:highlight w:val="none"/>
              </w:rPr>
              <w:t>以</w:t>
            </w:r>
            <w:r>
              <w:rPr>
                <w:rFonts w:hint="eastAsia"/>
                <w:color w:val="auto"/>
                <w:kern w:val="18"/>
                <w:szCs w:val="21"/>
                <w:highlight w:val="none"/>
                <w:lang w:val="en-US" w:eastAsia="zh-CN"/>
              </w:rPr>
              <w:t>经政府审计机构审计的</w:t>
            </w:r>
            <w:r>
              <w:rPr>
                <w:rFonts w:hint="eastAsia"/>
                <w:color w:val="auto"/>
                <w:kern w:val="18"/>
                <w:szCs w:val="21"/>
                <w:highlight w:val="none"/>
              </w:rPr>
              <w:t>工程</w:t>
            </w:r>
            <w:r>
              <w:rPr>
                <w:rFonts w:hint="eastAsia"/>
                <w:color w:val="auto"/>
                <w:kern w:val="18"/>
                <w:szCs w:val="21"/>
                <w:highlight w:val="none"/>
                <w:lang w:val="en-US" w:eastAsia="zh-CN"/>
              </w:rPr>
              <w:t>建设费用</w:t>
            </w:r>
            <w:r>
              <w:rPr>
                <w:rFonts w:hint="eastAsia"/>
                <w:color w:val="auto"/>
                <w:kern w:val="18"/>
                <w:szCs w:val="21"/>
                <w:highlight w:val="none"/>
              </w:rPr>
              <w:t>结算价为取费基数计算</w:t>
            </w:r>
            <w:r>
              <w:rPr>
                <w:rFonts w:hint="eastAsia"/>
                <w:color w:val="auto"/>
                <w:kern w:val="18"/>
                <w:szCs w:val="21"/>
                <w:highlight w:val="none"/>
                <w:lang w:eastAsia="zh-CN"/>
              </w:rPr>
              <w:t>，</w:t>
            </w:r>
            <w:r>
              <w:rPr>
                <w:rFonts w:hint="eastAsia"/>
                <w:color w:val="auto"/>
                <w:kern w:val="18"/>
                <w:szCs w:val="21"/>
                <w:highlight w:val="none"/>
                <w:lang w:val="en-US" w:eastAsia="zh-CN"/>
              </w:rPr>
              <w:t>其计算公式为：</w:t>
            </w:r>
          </w:p>
          <w:p>
            <w:pPr>
              <w:keepNext w:val="0"/>
              <w:keepLines w:val="0"/>
              <w:suppressLineNumbers w:val="0"/>
              <w:tabs>
                <w:tab w:val="left" w:pos="426"/>
              </w:tabs>
              <w:spacing w:before="0" w:beforeAutospacing="0" w:after="0" w:afterAutospacing="0" w:line="360" w:lineRule="exact"/>
              <w:ind w:left="0" w:right="0" w:firstLine="0" w:firstLineChars="0"/>
              <w:jc w:val="left"/>
              <w:rPr>
                <w:rFonts w:hint="default" w:eastAsia="宋体"/>
                <w:color w:val="auto"/>
                <w:szCs w:val="21"/>
                <w:highlight w:val="none"/>
                <w:lang w:val="en-US" w:eastAsia="zh-CN"/>
              </w:rPr>
            </w:pPr>
            <w:r>
              <w:rPr>
                <w:rFonts w:hint="eastAsia"/>
                <w:color w:val="auto"/>
                <w:szCs w:val="21"/>
                <w:highlight w:val="none"/>
              </w:rPr>
              <w:t>监理服务酬金</w:t>
            </w:r>
            <w:r>
              <w:rPr>
                <w:rFonts w:hint="eastAsia"/>
                <w:color w:val="auto"/>
                <w:szCs w:val="21"/>
                <w:highlight w:val="none"/>
                <w:lang w:val="en-US" w:eastAsia="zh-CN"/>
              </w:rPr>
              <w:t>总额</w:t>
            </w:r>
            <w:r>
              <w:rPr>
                <w:rFonts w:hint="eastAsia"/>
                <w:color w:val="auto"/>
                <w:szCs w:val="21"/>
                <w:highlight w:val="none"/>
              </w:rPr>
              <w:t>＝监理服务酬金基价×专业调整系数×工程复杂程度调整系数×高程调整系数</w:t>
            </w:r>
          </w:p>
          <w:p>
            <w:pPr>
              <w:keepNext w:val="0"/>
              <w:keepLines w:val="0"/>
              <w:suppressLineNumbers w:val="0"/>
              <w:tabs>
                <w:tab w:val="left" w:pos="426"/>
              </w:tabs>
              <w:spacing w:before="0" w:beforeAutospacing="0" w:after="0" w:afterAutospacing="0"/>
              <w:ind w:left="0" w:right="0" w:firstLine="0" w:firstLineChars="0"/>
              <w:jc w:val="left"/>
              <w:rPr>
                <w:rFonts w:hint="default"/>
                <w:color w:val="auto"/>
                <w:szCs w:val="21"/>
                <w:highlight w:val="none"/>
              </w:rPr>
            </w:pPr>
            <w:r>
              <w:rPr>
                <w:rFonts w:hint="eastAsia"/>
                <w:color w:val="auto"/>
                <w:szCs w:val="21"/>
                <w:highlight w:val="none"/>
              </w:rPr>
              <w:t>＝</w:t>
            </w:r>
            <w:r>
              <w:rPr>
                <w:rFonts w:hint="eastAsia"/>
                <w:color w:val="auto"/>
                <w:szCs w:val="21"/>
                <w:highlight w:val="none"/>
                <w:u w:val="single"/>
                <w:lang w:val="en-US" w:eastAsia="zh-CN"/>
              </w:rPr>
              <w:t>审计后</w:t>
            </w:r>
            <w:r>
              <w:rPr>
                <w:rFonts w:hint="eastAsia"/>
                <w:color w:val="auto"/>
                <w:kern w:val="18"/>
                <w:szCs w:val="21"/>
                <w:highlight w:val="none"/>
                <w:u w:val="single"/>
                <w:lang w:val="en-US" w:eastAsia="zh-CN"/>
              </w:rPr>
              <w:t>工程建设费用</w:t>
            </w:r>
            <w:r>
              <w:rPr>
                <w:rFonts w:hint="eastAsia"/>
                <w:color w:val="auto"/>
                <w:kern w:val="18"/>
                <w:szCs w:val="21"/>
                <w:highlight w:val="none"/>
              </w:rPr>
              <w:t>×</w:t>
            </w:r>
            <w:r>
              <w:rPr>
                <w:rFonts w:hint="eastAsia"/>
                <w:color w:val="auto"/>
                <w:kern w:val="18"/>
                <w:szCs w:val="21"/>
                <w:highlight w:val="none"/>
                <w:lang w:val="en-US" w:eastAsia="zh-CN"/>
              </w:rPr>
              <w:t>投标监理费费率为</w:t>
            </w:r>
            <w:r>
              <w:rPr>
                <w:rFonts w:hint="eastAsia"/>
                <w:color w:val="auto"/>
                <w:kern w:val="18"/>
                <w:szCs w:val="21"/>
                <w:highlight w:val="none"/>
                <w:u w:val="single"/>
              </w:rPr>
              <w:t xml:space="preserve"> </w:t>
            </w:r>
            <w:r>
              <w:rPr>
                <w:rFonts w:hint="eastAsia"/>
                <w:color w:val="auto"/>
                <w:kern w:val="18"/>
                <w:szCs w:val="21"/>
                <w:highlight w:val="none"/>
                <w:u w:val="single"/>
                <w:lang w:val="en-US" w:eastAsia="zh-CN"/>
              </w:rPr>
              <w:t xml:space="preserve">  </w:t>
            </w:r>
            <w:r>
              <w:rPr>
                <w:rFonts w:hint="eastAsia"/>
                <w:color w:val="auto"/>
                <w:kern w:val="18"/>
                <w:szCs w:val="21"/>
                <w:highlight w:val="none"/>
                <w:u w:val="single"/>
              </w:rPr>
              <w:t xml:space="preserve"> </w:t>
            </w:r>
            <w:r>
              <w:rPr>
                <w:rFonts w:hint="eastAsia"/>
                <w:color w:val="auto"/>
                <w:kern w:val="18"/>
                <w:szCs w:val="21"/>
                <w:highlight w:val="none"/>
                <w:u w:val="single"/>
                <w:lang w:val="en-US" w:eastAsia="zh-CN"/>
              </w:rPr>
              <w:t>%</w:t>
            </w:r>
            <w:r>
              <w:rPr>
                <w:rFonts w:hint="eastAsia"/>
                <w:color w:val="auto"/>
                <w:szCs w:val="21"/>
                <w:highlight w:val="none"/>
              </w:rPr>
              <w:t>×</w:t>
            </w:r>
            <w:r>
              <w:rPr>
                <w:rFonts w:hint="default"/>
                <w:color w:val="auto"/>
                <w:szCs w:val="21"/>
                <w:highlight w:val="none"/>
                <w:u w:val="single"/>
              </w:rPr>
              <w:t xml:space="preserve"> </w:t>
            </w:r>
            <w:r>
              <w:rPr>
                <w:rFonts w:hint="eastAsia"/>
                <w:color w:val="auto"/>
                <w:szCs w:val="21"/>
                <w:highlight w:val="none"/>
                <w:u w:val="single"/>
              </w:rPr>
              <w:t>1.0</w:t>
            </w:r>
            <w:r>
              <w:rPr>
                <w:rFonts w:hint="default"/>
                <w:color w:val="auto"/>
                <w:szCs w:val="21"/>
                <w:highlight w:val="none"/>
                <w:u w:val="single"/>
              </w:rPr>
              <w:t xml:space="preserve"> </w:t>
            </w:r>
            <w:r>
              <w:rPr>
                <w:rFonts w:hint="eastAsia"/>
                <w:color w:val="auto"/>
                <w:szCs w:val="21"/>
                <w:highlight w:val="none"/>
              </w:rPr>
              <w:t>×</w:t>
            </w:r>
            <w:r>
              <w:rPr>
                <w:rFonts w:hint="default"/>
                <w:color w:val="auto"/>
                <w:szCs w:val="21"/>
                <w:highlight w:val="none"/>
                <w:u w:val="single"/>
              </w:rPr>
              <w:t xml:space="preserve"> </w:t>
            </w:r>
            <w:r>
              <w:rPr>
                <w:rFonts w:hint="eastAsia"/>
                <w:color w:val="auto"/>
                <w:szCs w:val="21"/>
                <w:highlight w:val="none"/>
                <w:u w:val="single"/>
              </w:rPr>
              <w:t>1.0</w:t>
            </w:r>
            <w:r>
              <w:rPr>
                <w:rFonts w:hint="default"/>
                <w:color w:val="auto"/>
                <w:szCs w:val="21"/>
                <w:highlight w:val="none"/>
                <w:u w:val="single"/>
              </w:rPr>
              <w:t xml:space="preserve"> </w:t>
            </w:r>
            <w:r>
              <w:rPr>
                <w:rFonts w:hint="eastAsia"/>
                <w:color w:val="auto"/>
                <w:szCs w:val="21"/>
                <w:highlight w:val="none"/>
              </w:rPr>
              <w:t>×</w:t>
            </w:r>
            <w:r>
              <w:rPr>
                <w:rFonts w:hint="default"/>
                <w:color w:val="auto"/>
                <w:szCs w:val="21"/>
                <w:highlight w:val="none"/>
                <w:u w:val="single"/>
              </w:rPr>
              <w:t xml:space="preserve"> </w:t>
            </w:r>
            <w:r>
              <w:rPr>
                <w:rFonts w:hint="eastAsia"/>
                <w:color w:val="auto"/>
                <w:szCs w:val="21"/>
                <w:highlight w:val="none"/>
                <w:u w:val="single"/>
              </w:rPr>
              <w:t>1.0</w:t>
            </w:r>
            <w:r>
              <w:rPr>
                <w:rFonts w:hint="default"/>
                <w:color w:val="auto"/>
                <w:szCs w:val="21"/>
                <w:highlight w:val="none"/>
                <w:u w:val="single"/>
              </w:rPr>
              <w:t xml:space="preserve"> </w:t>
            </w:r>
          </w:p>
          <w:p>
            <w:pPr>
              <w:keepNext w:val="0"/>
              <w:keepLines w:val="0"/>
              <w:suppressLineNumbers w:val="0"/>
              <w:tabs>
                <w:tab w:val="left" w:pos="426"/>
              </w:tabs>
              <w:spacing w:before="0" w:beforeLines="0" w:beforeAutospacing="0" w:after="0" w:afterLines="0" w:afterAutospacing="0"/>
              <w:ind w:left="0" w:right="0" w:firstLine="0" w:firstLineChars="0"/>
              <w:rPr>
                <w:rFonts w:hint="default"/>
                <w:color w:val="auto"/>
                <w:szCs w:val="21"/>
                <w:highlight w:val="none"/>
              </w:rPr>
            </w:pPr>
            <w:r>
              <w:rPr>
                <w:rFonts w:hint="eastAsia"/>
                <w:color w:val="auto"/>
                <w:szCs w:val="21"/>
                <w:highlight w:val="none"/>
              </w:rPr>
              <w:t>第二次付款：</w:t>
            </w:r>
            <w:r>
              <w:rPr>
                <w:rFonts w:hint="eastAsia"/>
                <w:color w:val="auto"/>
                <w:szCs w:val="21"/>
                <w:highlight w:val="none"/>
                <w:lang w:val="en-US" w:eastAsia="zh-CN"/>
              </w:rPr>
              <w:t>项目</w:t>
            </w:r>
            <w:r>
              <w:rPr>
                <w:rFonts w:hint="eastAsia"/>
                <w:color w:val="auto"/>
                <w:szCs w:val="21"/>
                <w:highlight w:val="none"/>
              </w:rPr>
              <w:t>竣工验收</w:t>
            </w:r>
            <w:r>
              <w:rPr>
                <w:rFonts w:hint="eastAsia"/>
                <w:color w:val="auto"/>
                <w:szCs w:val="21"/>
                <w:highlight w:val="none"/>
                <w:lang w:val="en-US" w:eastAsia="zh-CN"/>
              </w:rPr>
              <w:t>后支付至结算监理服务酬金总额的97%。</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3</w:t>
            </w:r>
            <w:r>
              <w:rPr>
                <w:rFonts w:hint="eastAsia"/>
                <w:color w:val="auto"/>
                <w:szCs w:val="21"/>
                <w:highlight w:val="none"/>
                <w:lang w:eastAsia="zh-CN"/>
              </w:rPr>
              <w:t>.</w:t>
            </w:r>
            <w:r>
              <w:rPr>
                <w:rFonts w:hint="eastAsia"/>
                <w:color w:val="auto"/>
                <w:szCs w:val="21"/>
                <w:highlight w:val="none"/>
              </w:rPr>
              <w:t>第三次付款：项目保修期完成后</w:t>
            </w:r>
            <w:r>
              <w:rPr>
                <w:rFonts w:hint="eastAsia"/>
                <w:color w:val="auto"/>
                <w:szCs w:val="21"/>
                <w:highlight w:val="none"/>
                <w:lang w:eastAsia="zh-CN"/>
              </w:rPr>
              <w:t>，</w:t>
            </w:r>
            <w:r>
              <w:rPr>
                <w:rFonts w:hint="default"/>
                <w:color w:val="auto"/>
                <w:szCs w:val="21"/>
                <w:highlight w:val="none"/>
              </w:rPr>
              <w:t>支付</w:t>
            </w:r>
            <w:r>
              <w:rPr>
                <w:rFonts w:hint="eastAsia"/>
                <w:color w:val="auto"/>
                <w:szCs w:val="21"/>
                <w:highlight w:val="none"/>
                <w:lang w:val="en-US" w:eastAsia="zh-CN"/>
              </w:rPr>
              <w:t>监理服务酬金剩余款项，</w:t>
            </w:r>
            <w:r>
              <w:rPr>
                <w:rFonts w:hint="eastAsia"/>
                <w:color w:val="auto"/>
                <w:kern w:val="18"/>
                <w:szCs w:val="21"/>
                <w:highlight w:val="none"/>
                <w:lang w:val="en-US" w:eastAsia="zh-CN"/>
              </w:rPr>
              <w:t>为结算监理服务酬金总额的3%。</w:t>
            </w:r>
          </w:p>
          <w:p>
            <w:pPr>
              <w:keepNext w:val="0"/>
              <w:keepLines w:val="0"/>
              <w:suppressLineNumbers w:val="0"/>
              <w:tabs>
                <w:tab w:val="left" w:pos="426"/>
              </w:tabs>
              <w:spacing w:before="0" w:beforeLines="0" w:beforeAutospacing="0" w:after="0" w:afterLines="0" w:afterAutospacing="0"/>
              <w:ind w:left="0" w:right="0" w:firstLine="420" w:firstLineChars="200"/>
              <w:rPr>
                <w:rFonts w:hint="default"/>
                <w:color w:val="auto"/>
                <w:szCs w:val="21"/>
                <w:highlight w:val="none"/>
              </w:rPr>
            </w:pPr>
            <w:r>
              <w:rPr>
                <w:rFonts w:hint="eastAsia"/>
                <w:color w:val="auto"/>
                <w:szCs w:val="21"/>
                <w:highlight w:val="none"/>
              </w:rPr>
              <w:t>本合同以人民币付款。上述每期款项均在</w:t>
            </w:r>
            <w:r>
              <w:rPr>
                <w:rFonts w:hint="eastAsia"/>
                <w:color w:val="auto"/>
                <w:szCs w:val="21"/>
                <w:highlight w:val="none"/>
                <w:lang w:eastAsia="zh-CN"/>
              </w:rPr>
              <w:t>招标单位</w:t>
            </w:r>
            <w:r>
              <w:rPr>
                <w:rFonts w:hint="eastAsia"/>
                <w:color w:val="auto"/>
                <w:szCs w:val="21"/>
                <w:highlight w:val="none"/>
              </w:rPr>
              <w:t>收到</w:t>
            </w:r>
            <w:r>
              <w:rPr>
                <w:rFonts w:hint="eastAsia"/>
                <w:color w:val="auto"/>
                <w:szCs w:val="21"/>
                <w:highlight w:val="none"/>
                <w:lang w:eastAsia="zh-CN"/>
              </w:rPr>
              <w:t>中标单位</w:t>
            </w:r>
            <w:r>
              <w:rPr>
                <w:rFonts w:hint="eastAsia"/>
                <w:color w:val="auto"/>
                <w:szCs w:val="21"/>
                <w:highlight w:val="none"/>
              </w:rPr>
              <w:t>开具的载明相应金额的正式发票后15个工作日内支付。如未及时收到发票，则</w:t>
            </w:r>
            <w:r>
              <w:rPr>
                <w:rFonts w:hint="eastAsia"/>
                <w:color w:val="auto"/>
                <w:szCs w:val="21"/>
                <w:highlight w:val="none"/>
                <w:lang w:eastAsia="zh-CN"/>
              </w:rPr>
              <w:t>招标单位</w:t>
            </w:r>
            <w:r>
              <w:rPr>
                <w:rFonts w:hint="eastAsia"/>
                <w:color w:val="auto"/>
                <w:szCs w:val="21"/>
                <w:highlight w:val="none"/>
              </w:rPr>
              <w:t>付款时间相应顺延。若因</w:t>
            </w:r>
            <w:r>
              <w:rPr>
                <w:rFonts w:hint="eastAsia"/>
                <w:color w:val="auto"/>
                <w:szCs w:val="21"/>
                <w:highlight w:val="none"/>
                <w:lang w:eastAsia="zh-CN"/>
              </w:rPr>
              <w:t>招标单位</w:t>
            </w:r>
            <w:r>
              <w:rPr>
                <w:rFonts w:hint="eastAsia"/>
                <w:color w:val="auto"/>
                <w:szCs w:val="21"/>
                <w:highlight w:val="none"/>
              </w:rPr>
              <w:t>付款审批影响支付进度，请</w:t>
            </w:r>
            <w:r>
              <w:rPr>
                <w:rFonts w:hint="eastAsia"/>
                <w:color w:val="auto"/>
                <w:szCs w:val="21"/>
                <w:highlight w:val="none"/>
                <w:lang w:eastAsia="zh-CN"/>
              </w:rPr>
              <w:t>中标单位</w:t>
            </w:r>
            <w:r>
              <w:rPr>
                <w:rFonts w:hint="eastAsia"/>
                <w:color w:val="auto"/>
                <w:szCs w:val="21"/>
                <w:highlight w:val="none"/>
              </w:rPr>
              <w:t>予以谅解，并不得就此向</w:t>
            </w:r>
            <w:r>
              <w:rPr>
                <w:rFonts w:hint="eastAsia"/>
                <w:color w:val="auto"/>
                <w:szCs w:val="21"/>
                <w:highlight w:val="none"/>
                <w:lang w:eastAsia="zh-CN"/>
              </w:rPr>
              <w:t>招标单位</w:t>
            </w:r>
            <w:r>
              <w:rPr>
                <w:rFonts w:hint="eastAsia"/>
                <w:color w:val="auto"/>
                <w:szCs w:val="21"/>
                <w:highlight w:val="none"/>
              </w:rPr>
              <w:t>索赔。</w:t>
            </w:r>
          </w:p>
          <w:p>
            <w:pPr>
              <w:keepNext w:val="0"/>
              <w:keepLines w:val="0"/>
              <w:suppressLineNumbers w:val="0"/>
              <w:spacing w:before="0" w:beforeLines="0" w:beforeAutospacing="0" w:after="0" w:afterLines="0" w:afterAutospacing="0"/>
              <w:ind w:left="0" w:right="0" w:firstLine="420" w:firstLineChars="200"/>
              <w:rPr>
                <w:rFonts w:hint="default" w:ascii="宋体" w:hAnsi="宋体" w:cs="宋体"/>
                <w:snapToGrid w:val="0"/>
                <w:color w:val="auto"/>
                <w:kern w:val="0"/>
                <w:szCs w:val="21"/>
                <w:highlight w:val="none"/>
              </w:rPr>
            </w:pPr>
          </w:p>
        </w:tc>
        <w:tc>
          <w:tcPr>
            <w:tcW w:w="1581" w:type="dxa"/>
            <w:vAlign w:val="center"/>
          </w:tcPr>
          <w:p>
            <w:pPr>
              <w:keepNext w:val="0"/>
              <w:keepLines w:val="0"/>
              <w:suppressLineNumbers w:val="0"/>
              <w:spacing w:before="0" w:beforeLines="0" w:beforeAutospacing="0" w:after="0" w:afterLines="0" w:afterAutospacing="0" w:line="240" w:lineRule="auto"/>
              <w:ind w:left="0" w:right="0" w:firstLine="420" w:firstLineChars="200"/>
              <w:jc w:val="both"/>
              <w:rPr>
                <w:rFonts w:hint="default" w:ascii="宋体" w:hAnsi="宋体" w:cs="宋体"/>
                <w:color w:val="auto"/>
                <w:highlight w:val="none"/>
              </w:rPr>
            </w:pPr>
          </w:p>
        </w:tc>
        <w:tc>
          <w:tcPr>
            <w:tcW w:w="1289" w:type="dxa"/>
            <w:vAlign w:val="center"/>
          </w:tcPr>
          <w:p>
            <w:pPr>
              <w:keepNext w:val="0"/>
              <w:keepLines w:val="0"/>
              <w:suppressLineNumbers w:val="0"/>
              <w:spacing w:before="0" w:beforeLines="0" w:beforeAutospacing="0" w:after="0" w:afterLines="0" w:afterAutospacing="0" w:line="240" w:lineRule="auto"/>
              <w:ind w:left="0" w:right="0" w:firstLine="420" w:firstLineChars="200"/>
              <w:jc w:val="both"/>
              <w:rPr>
                <w:rFonts w:hint="default"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6" w:hRule="atLeast"/>
          <w:jc w:val="center"/>
        </w:trPr>
        <w:tc>
          <w:tcPr>
            <w:tcW w:w="582" w:type="dxa"/>
            <w:vAlign w:val="center"/>
          </w:tcPr>
          <w:p>
            <w:pPr>
              <w:keepNext w:val="0"/>
              <w:keepLines w:val="0"/>
              <w:suppressLineNumbers w:val="0"/>
              <w:tabs>
                <w:tab w:val="left" w:pos="314"/>
              </w:tabs>
              <w:spacing w:before="0" w:beforeLines="0" w:beforeAutospacing="0" w:after="0" w:afterLines="0" w:afterAutospacing="0" w:line="240" w:lineRule="auto"/>
              <w:ind w:left="0" w:right="0" w:firstLine="0" w:firstLineChars="0"/>
              <w:jc w:val="center"/>
              <w:rPr>
                <w:rFonts w:hint="default" w:ascii="宋体" w:hAnsi="宋体" w:cs="宋体"/>
                <w:color w:val="auto"/>
                <w:szCs w:val="21"/>
                <w:highlight w:val="none"/>
              </w:rPr>
            </w:pPr>
            <w:r>
              <w:rPr>
                <w:rFonts w:hint="eastAsia" w:ascii="宋体" w:hAnsi="宋体" w:cs="宋体"/>
                <w:color w:val="auto"/>
                <w:szCs w:val="21"/>
                <w:highlight w:val="none"/>
              </w:rPr>
              <w:t>9</w:t>
            </w:r>
          </w:p>
        </w:tc>
        <w:tc>
          <w:tcPr>
            <w:tcW w:w="5563" w:type="dxa"/>
            <w:vAlign w:val="center"/>
          </w:tcPr>
          <w:p>
            <w:pPr>
              <w:keepNext w:val="0"/>
              <w:keepLines w:val="0"/>
              <w:suppressLineNumbers w:val="0"/>
              <w:tabs>
                <w:tab w:val="left" w:pos="426"/>
              </w:tabs>
              <w:spacing w:before="0" w:beforeLines="0" w:beforeAutospacing="0" w:after="0" w:afterLines="0" w:afterAutospacing="0"/>
              <w:ind w:left="0" w:right="0" w:firstLine="422" w:firstLineChars="200"/>
              <w:outlineLvl w:val="9"/>
              <w:rPr>
                <w:rFonts w:hint="eastAsia" w:cs="Arial"/>
                <w:b/>
                <w:color w:val="auto"/>
                <w:szCs w:val="21"/>
                <w:highlight w:val="none"/>
              </w:rPr>
            </w:pPr>
            <w:r>
              <w:rPr>
                <w:rFonts w:hint="eastAsia" w:cs="Arial"/>
                <w:b/>
                <w:color w:val="auto"/>
                <w:szCs w:val="21"/>
                <w:highlight w:val="none"/>
                <w:lang w:eastAsia="zh-CN"/>
              </w:rPr>
              <w:t>（三）</w:t>
            </w:r>
            <w:r>
              <w:rPr>
                <w:rFonts w:hint="eastAsia" w:cs="Arial"/>
                <w:b/>
                <w:color w:val="auto"/>
                <w:szCs w:val="21"/>
                <w:highlight w:val="none"/>
              </w:rPr>
              <w:t>关于现场踏勘</w:t>
            </w:r>
          </w:p>
          <w:p>
            <w:pPr>
              <w:pStyle w:val="15"/>
              <w:keepNext w:val="0"/>
              <w:keepLines w:val="0"/>
              <w:suppressLineNumbers w:val="0"/>
              <w:spacing w:before="0" w:beforeLines="0" w:beforeAutospacing="0" w:after="0" w:afterLines="0" w:afterAutospacing="0" w:line="240" w:lineRule="auto"/>
              <w:ind w:left="0" w:right="0" w:firstLine="420" w:firstLineChars="200"/>
              <w:jc w:val="both"/>
              <w:outlineLvl w:val="9"/>
              <w:rPr>
                <w:rFonts w:hint="default" w:ascii="宋体" w:hAnsi="宋体" w:cs="宋体"/>
                <w:b w:val="0"/>
                <w:bCs w:val="0"/>
                <w:color w:val="auto"/>
                <w:kern w:val="0"/>
                <w:sz w:val="21"/>
                <w:szCs w:val="21"/>
                <w:highlight w:val="none"/>
              </w:rPr>
            </w:pPr>
            <w:bookmarkStart w:id="513" w:name="_Toc4381"/>
            <w:bookmarkStart w:id="514" w:name="_Toc26361"/>
            <w:bookmarkStart w:id="515" w:name="_Toc28669"/>
            <w:bookmarkStart w:id="516" w:name="_Toc27359"/>
            <w:bookmarkStart w:id="517" w:name="_Toc24268"/>
            <w:bookmarkStart w:id="518" w:name="_Toc20386"/>
            <w:r>
              <w:rPr>
                <w:rFonts w:hint="eastAsia" w:ascii="宋体" w:hAnsi="宋体" w:cs="宋体"/>
                <w:b w:val="0"/>
                <w:bCs w:val="0"/>
                <w:color w:val="auto"/>
                <w:kern w:val="0"/>
                <w:sz w:val="21"/>
                <w:szCs w:val="21"/>
                <w:highlight w:val="none"/>
              </w:rPr>
              <w:t>本项目不安排现场踏勘。</w:t>
            </w:r>
            <w:bookmarkEnd w:id="513"/>
            <w:bookmarkEnd w:id="514"/>
            <w:bookmarkEnd w:id="515"/>
            <w:bookmarkEnd w:id="516"/>
            <w:bookmarkEnd w:id="517"/>
            <w:bookmarkEnd w:id="518"/>
          </w:p>
          <w:p>
            <w:pPr>
              <w:keepNext w:val="0"/>
              <w:keepLines w:val="0"/>
              <w:widowControl/>
              <w:suppressLineNumbers w:val="0"/>
              <w:spacing w:before="0" w:beforeLines="0" w:beforeAutospacing="0" w:after="0" w:afterLines="0" w:afterAutospacing="0" w:line="240" w:lineRule="auto"/>
              <w:ind w:left="0" w:right="0" w:firstLine="420" w:firstLineChars="200"/>
              <w:jc w:val="both"/>
              <w:rPr>
                <w:rFonts w:hint="default" w:ascii="宋体" w:hAnsi="宋体" w:cs="宋体"/>
                <w:color w:val="auto"/>
                <w:kern w:val="0"/>
                <w:szCs w:val="21"/>
                <w:highlight w:val="none"/>
              </w:rPr>
            </w:pPr>
          </w:p>
        </w:tc>
        <w:tc>
          <w:tcPr>
            <w:tcW w:w="1581" w:type="dxa"/>
            <w:vAlign w:val="center"/>
          </w:tcPr>
          <w:p>
            <w:pPr>
              <w:keepNext w:val="0"/>
              <w:keepLines w:val="0"/>
              <w:suppressLineNumbers w:val="0"/>
              <w:spacing w:before="0" w:beforeLines="0" w:beforeAutospacing="0" w:after="0" w:afterLines="0" w:afterAutospacing="0" w:line="240" w:lineRule="auto"/>
              <w:ind w:left="0" w:right="0" w:firstLine="420" w:firstLineChars="200"/>
              <w:jc w:val="both"/>
              <w:rPr>
                <w:rFonts w:hint="default" w:ascii="宋体" w:hAnsi="宋体" w:cs="宋体"/>
                <w:color w:val="auto"/>
                <w:highlight w:val="none"/>
              </w:rPr>
            </w:pPr>
          </w:p>
        </w:tc>
        <w:tc>
          <w:tcPr>
            <w:tcW w:w="1289" w:type="dxa"/>
            <w:vAlign w:val="center"/>
          </w:tcPr>
          <w:p>
            <w:pPr>
              <w:keepNext w:val="0"/>
              <w:keepLines w:val="0"/>
              <w:suppressLineNumbers w:val="0"/>
              <w:spacing w:before="0" w:beforeLines="0" w:beforeAutospacing="0" w:after="0" w:afterLines="0" w:afterAutospacing="0" w:line="240" w:lineRule="auto"/>
              <w:ind w:left="0" w:right="0" w:firstLine="420" w:firstLineChars="200"/>
              <w:jc w:val="both"/>
              <w:rPr>
                <w:rFonts w:hint="default"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6" w:hRule="atLeast"/>
          <w:jc w:val="center"/>
        </w:trPr>
        <w:tc>
          <w:tcPr>
            <w:tcW w:w="582" w:type="dxa"/>
            <w:vAlign w:val="center"/>
          </w:tcPr>
          <w:p>
            <w:pPr>
              <w:keepNext w:val="0"/>
              <w:keepLines w:val="0"/>
              <w:suppressLineNumbers w:val="0"/>
              <w:tabs>
                <w:tab w:val="left" w:pos="314"/>
              </w:tabs>
              <w:spacing w:before="0" w:beforeLines="0" w:beforeAutospacing="0" w:after="0" w:afterLines="0" w:afterAutospacing="0" w:line="240" w:lineRule="auto"/>
              <w:ind w:left="0" w:right="0" w:firstLine="0" w:firstLine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5563" w:type="dxa"/>
            <w:vAlign w:val="center"/>
          </w:tcPr>
          <w:p>
            <w:pPr>
              <w:pStyle w:val="3"/>
              <w:numPr>
                <w:ilvl w:val="-1"/>
                <w:numId w:val="0"/>
              </w:numPr>
              <w:suppressLineNumbers w:val="0"/>
              <w:bidi w:val="0"/>
              <w:spacing w:beforeAutospacing="0" w:afterAutospacing="0"/>
              <w:ind w:left="0" w:right="0"/>
              <w:rPr>
                <w:rFonts w:hint="eastAsia"/>
                <w:color w:val="auto"/>
                <w:highlight w:val="none"/>
                <w:lang w:val="en-US" w:eastAsia="zh-CN"/>
              </w:rPr>
            </w:pPr>
            <w:r>
              <w:rPr>
                <w:rFonts w:hint="eastAsia"/>
                <w:color w:val="auto"/>
                <w:highlight w:val="none"/>
                <w:lang w:val="en-US" w:eastAsia="zh-CN"/>
              </w:rPr>
              <w:t>★六、成果归属</w:t>
            </w:r>
          </w:p>
          <w:p>
            <w:pPr>
              <w:keepNext w:val="0"/>
              <w:keepLines w:val="0"/>
              <w:suppressLineNumbers w:val="0"/>
              <w:tabs>
                <w:tab w:val="left" w:pos="426"/>
              </w:tabs>
              <w:spacing w:before="0" w:beforeAutospacing="0" w:after="0" w:afterAutospacing="0" w:line="380" w:lineRule="exact"/>
              <w:ind w:left="0" w:right="0" w:firstLine="420" w:firstLineChars="200"/>
              <w:rPr>
                <w:rFonts w:hint="default"/>
                <w:color w:val="auto"/>
                <w:szCs w:val="21"/>
                <w:highlight w:val="none"/>
              </w:rPr>
            </w:pPr>
            <w:r>
              <w:rPr>
                <w:rFonts w:hint="eastAsia"/>
                <w:color w:val="auto"/>
                <w:szCs w:val="21"/>
                <w:highlight w:val="none"/>
              </w:rPr>
              <w:t>本工程编制的所有阶段性成果和最终成果文件（包括为保修阶段服务范围所编制的文件）的所有权、知识产权以及与之相关的所有权利归委托方所有，</w:t>
            </w:r>
            <w:r>
              <w:rPr>
                <w:rFonts w:hint="eastAsia"/>
                <w:color w:val="auto"/>
                <w:szCs w:val="21"/>
                <w:highlight w:val="none"/>
                <w:lang w:val="en-US" w:eastAsia="zh-CN"/>
              </w:rPr>
              <w:t>中标人</w:t>
            </w:r>
            <w:r>
              <w:rPr>
                <w:rFonts w:hint="eastAsia"/>
                <w:color w:val="auto"/>
                <w:szCs w:val="21"/>
                <w:highlight w:val="none"/>
              </w:rPr>
              <w:t>仅有权为本工程使用和复制此类文件，未经委托方书面在先同意，监理方不得将本项目的阶段性成果和/或最终成果文件及任何数据、资料、软件向任何第三方转让、授权任何第三方使用或用于本合同项目外的其他项目。如发生以上情况，监理方应向委托方支付本合同总价款20%的违约金，同时，委托方保留要求监理方赔偿全部损失的权利。</w:t>
            </w:r>
          </w:p>
          <w:p>
            <w:pPr>
              <w:keepNext w:val="0"/>
              <w:keepLines w:val="0"/>
              <w:widowControl/>
              <w:suppressLineNumbers w:val="0"/>
              <w:spacing w:before="0" w:beforeLines="0" w:beforeAutospacing="0" w:after="0" w:afterLines="0" w:afterAutospacing="0" w:line="240" w:lineRule="auto"/>
              <w:ind w:left="0" w:right="0" w:firstLine="420" w:firstLineChars="200"/>
              <w:jc w:val="both"/>
              <w:rPr>
                <w:rFonts w:hint="default" w:ascii="宋体" w:hAnsi="宋体" w:cs="宋体"/>
                <w:color w:val="auto"/>
                <w:kern w:val="0"/>
                <w:szCs w:val="21"/>
                <w:highlight w:val="none"/>
              </w:rPr>
            </w:pPr>
          </w:p>
        </w:tc>
        <w:tc>
          <w:tcPr>
            <w:tcW w:w="1581" w:type="dxa"/>
            <w:vAlign w:val="center"/>
          </w:tcPr>
          <w:p>
            <w:pPr>
              <w:keepNext w:val="0"/>
              <w:keepLines w:val="0"/>
              <w:suppressLineNumbers w:val="0"/>
              <w:spacing w:before="0" w:beforeLines="0" w:beforeAutospacing="0" w:after="0" w:afterLines="0" w:afterAutospacing="0" w:line="240" w:lineRule="auto"/>
              <w:ind w:left="0" w:right="0" w:firstLine="420" w:firstLineChars="200"/>
              <w:jc w:val="both"/>
              <w:rPr>
                <w:rFonts w:hint="default" w:ascii="宋体" w:hAnsi="宋体" w:cs="宋体"/>
                <w:color w:val="auto"/>
                <w:highlight w:val="none"/>
              </w:rPr>
            </w:pPr>
          </w:p>
        </w:tc>
        <w:tc>
          <w:tcPr>
            <w:tcW w:w="1289" w:type="dxa"/>
            <w:vAlign w:val="center"/>
          </w:tcPr>
          <w:p>
            <w:pPr>
              <w:keepNext w:val="0"/>
              <w:keepLines w:val="0"/>
              <w:suppressLineNumbers w:val="0"/>
              <w:spacing w:before="0" w:beforeLines="0" w:beforeAutospacing="0" w:after="0" w:afterLines="0" w:afterAutospacing="0" w:line="240" w:lineRule="auto"/>
              <w:ind w:left="0" w:right="0" w:firstLine="420" w:firstLineChars="200"/>
              <w:jc w:val="both"/>
              <w:rPr>
                <w:rFonts w:hint="default"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6" w:hRule="atLeast"/>
          <w:jc w:val="center"/>
        </w:trPr>
        <w:tc>
          <w:tcPr>
            <w:tcW w:w="582" w:type="dxa"/>
            <w:vAlign w:val="center"/>
          </w:tcPr>
          <w:p>
            <w:pPr>
              <w:keepNext w:val="0"/>
              <w:keepLines w:val="0"/>
              <w:suppressLineNumbers w:val="0"/>
              <w:tabs>
                <w:tab w:val="left" w:pos="314"/>
              </w:tabs>
              <w:spacing w:before="0" w:beforeLines="0" w:beforeAutospacing="0" w:after="0" w:afterLines="0" w:afterAutospacing="0" w:line="240" w:lineRule="auto"/>
              <w:ind w:left="0" w:right="0" w:firstLine="0" w:firstLine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5563" w:type="dxa"/>
            <w:vAlign w:val="center"/>
          </w:tcPr>
          <w:p>
            <w:pPr>
              <w:pStyle w:val="3"/>
              <w:suppressLineNumbers w:val="0"/>
              <w:bidi w:val="0"/>
              <w:spacing w:beforeAutospacing="0" w:afterAutospacing="0"/>
              <w:ind w:left="0" w:right="0"/>
              <w:rPr>
                <w:rFonts w:hint="eastAsia"/>
                <w:color w:val="auto"/>
                <w:highlight w:val="none"/>
              </w:rPr>
            </w:pPr>
            <w:r>
              <w:rPr>
                <w:rFonts w:hint="eastAsia"/>
                <w:color w:val="auto"/>
                <w:highlight w:val="none"/>
                <w:lang w:val="en-US" w:eastAsia="zh-CN"/>
              </w:rPr>
              <w:t>★七、</w:t>
            </w:r>
            <w:r>
              <w:rPr>
                <w:rFonts w:hint="eastAsia"/>
                <w:color w:val="auto"/>
                <w:highlight w:val="none"/>
              </w:rPr>
              <w:t>保密条款</w:t>
            </w:r>
          </w:p>
          <w:p>
            <w:pPr>
              <w:keepNext w:val="0"/>
              <w:keepLines w:val="0"/>
              <w:widowControl/>
              <w:suppressLineNumbers w:val="0"/>
              <w:spacing w:before="0" w:beforeAutospacing="0" w:after="0" w:afterAutospacing="0" w:line="360" w:lineRule="auto"/>
              <w:ind w:left="0" w:right="0" w:firstLine="420" w:firstLineChars="200"/>
              <w:rPr>
                <w:rFonts w:hint="eastAsia" w:ascii="宋体" w:hAnsi="宋体"/>
                <w:color w:val="auto"/>
                <w:szCs w:val="21"/>
                <w:highlight w:val="none"/>
                <w:lang w:val="en-US" w:eastAsia="zh-CN"/>
              </w:rPr>
            </w:pPr>
            <w:r>
              <w:rPr>
                <w:rFonts w:hint="eastAsia"/>
                <w:lang w:val="en-US" w:eastAsia="zh-Hans"/>
              </w:rPr>
              <w:t>中标人应与采购人签订《保密协议》，《保密协议》的具体内容详见第四部分。</w:t>
            </w:r>
          </w:p>
          <w:p>
            <w:pPr>
              <w:keepNext w:val="0"/>
              <w:keepLines w:val="0"/>
              <w:widowControl/>
              <w:suppressLineNumbers w:val="0"/>
              <w:spacing w:before="0" w:beforeAutospacing="0" w:after="0" w:afterAutospacing="0" w:line="360" w:lineRule="auto"/>
              <w:ind w:left="0" w:right="0"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 xml:space="preserve">1. </w:t>
            </w:r>
            <w:r>
              <w:rPr>
                <w:rFonts w:hint="eastAsia" w:ascii="宋体" w:hAnsi="宋体"/>
                <w:color w:val="auto"/>
                <w:szCs w:val="21"/>
                <w:highlight w:val="none"/>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keepNext w:val="0"/>
              <w:keepLines w:val="0"/>
              <w:widowControl/>
              <w:suppressLineNumbers w:val="0"/>
              <w:spacing w:before="0" w:beforeAutospacing="0" w:after="0" w:afterAutospacing="0" w:line="360" w:lineRule="auto"/>
              <w:ind w:left="0" w:right="0"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 xml:space="preserve">2. </w:t>
            </w:r>
            <w:r>
              <w:rPr>
                <w:rFonts w:hint="eastAsia" w:ascii="宋体" w:hAnsi="宋体"/>
                <w:color w:val="auto"/>
                <w:szCs w:val="21"/>
                <w:highlight w:val="none"/>
              </w:rPr>
              <w:t>监理方应以保密方式处理监理过程中自委托方、委托方工作人员或委托方关联机构获得的相关信息、资料、图纸、数据等，或由委托方在履行本合同过程中明确指明为秘密的任何信息，以及因监理方本项目工作内容所直接或间接取得、处理或接触的任何其他资料。未经委托方书面在先同意，监理方不得向任何第三方透露与本项目有关的内容，或公开本项目的阶段性成果或最终成果内容。即使向履行本合同有关的人员提供，也应注意保密并限于履行合同的必需范围，且这些人员应接受至少与本条款同等严格的保密条款的约束。</w:t>
            </w:r>
          </w:p>
          <w:p>
            <w:pPr>
              <w:keepNext w:val="0"/>
              <w:keepLines w:val="0"/>
              <w:widowControl/>
              <w:suppressLineNumbers w:val="0"/>
              <w:spacing w:before="0" w:beforeAutospacing="0" w:after="0" w:afterAutospacing="0" w:line="360" w:lineRule="auto"/>
              <w:ind w:left="0" w:right="0"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 xml:space="preserve">3. </w:t>
            </w:r>
            <w:r>
              <w:rPr>
                <w:rFonts w:hint="eastAsia" w:ascii="宋体" w:hAnsi="宋体"/>
                <w:color w:val="auto"/>
                <w:szCs w:val="21"/>
                <w:highlight w:val="none"/>
              </w:rPr>
              <w:t>监理方实施项目的程序应符合国家安全、保密的有关规定和标准。</w:t>
            </w:r>
          </w:p>
          <w:p>
            <w:pPr>
              <w:keepNext w:val="0"/>
              <w:keepLines w:val="0"/>
              <w:widowControl/>
              <w:suppressLineNumbers w:val="0"/>
              <w:spacing w:before="0" w:beforeAutospacing="0" w:after="0" w:afterAutospacing="0" w:line="360" w:lineRule="auto"/>
              <w:ind w:left="0" w:right="0"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 xml:space="preserve">4. </w:t>
            </w:r>
            <w:r>
              <w:rPr>
                <w:rFonts w:hint="eastAsia" w:ascii="宋体" w:hAnsi="宋体"/>
                <w:color w:val="auto"/>
                <w:szCs w:val="21"/>
                <w:highlight w:val="none"/>
              </w:rPr>
              <w:t>上述保密义务不适用以下情况：</w:t>
            </w:r>
          </w:p>
          <w:p>
            <w:pPr>
              <w:keepNext w:val="0"/>
              <w:keepLines w:val="0"/>
              <w:widowControl/>
              <w:suppressLineNumbers w:val="0"/>
              <w:spacing w:before="0" w:beforeAutospacing="0" w:after="0" w:afterAutospacing="0" w:line="360" w:lineRule="auto"/>
              <w:ind w:left="0" w:right="0" w:firstLine="420" w:firstLineChars="200"/>
              <w:rPr>
                <w:rFonts w:hint="eastAsia" w:ascii="宋体" w:hAnsi="宋体"/>
                <w:color w:val="auto"/>
                <w:szCs w:val="21"/>
                <w:highlight w:val="none"/>
              </w:rPr>
            </w:pPr>
            <w:r>
              <w:rPr>
                <w:rFonts w:hint="eastAsia" w:ascii="宋体" w:hAnsi="宋体"/>
                <w:color w:val="auto"/>
                <w:szCs w:val="21"/>
                <w:highlight w:val="none"/>
              </w:rPr>
              <w:t>①</w:t>
            </w:r>
            <w:r>
              <w:rPr>
                <w:rFonts w:hint="eastAsia" w:ascii="宋体" w:hAnsi="宋体"/>
                <w:color w:val="auto"/>
                <w:szCs w:val="21"/>
                <w:highlight w:val="none"/>
              </w:rPr>
              <w:tab/>
            </w:r>
            <w:r>
              <w:rPr>
                <w:rFonts w:hint="eastAsia" w:ascii="宋体" w:hAnsi="宋体"/>
                <w:color w:val="auto"/>
                <w:szCs w:val="21"/>
                <w:highlight w:val="none"/>
              </w:rPr>
              <w:t>获取的信息已被合法公开；</w:t>
            </w:r>
          </w:p>
          <w:p>
            <w:pPr>
              <w:keepNext w:val="0"/>
              <w:keepLines w:val="0"/>
              <w:widowControl/>
              <w:suppressLineNumbers w:val="0"/>
              <w:spacing w:before="0" w:beforeAutospacing="0" w:after="0" w:afterAutospacing="0" w:line="360" w:lineRule="auto"/>
              <w:ind w:left="0" w:right="0" w:firstLine="420" w:firstLineChars="200"/>
              <w:rPr>
                <w:rFonts w:hint="eastAsia" w:ascii="宋体" w:hAnsi="宋体"/>
                <w:color w:val="auto"/>
                <w:szCs w:val="21"/>
                <w:highlight w:val="none"/>
              </w:rPr>
            </w:pPr>
            <w:r>
              <w:rPr>
                <w:rFonts w:hint="eastAsia" w:ascii="宋体" w:hAnsi="宋体"/>
                <w:color w:val="auto"/>
                <w:szCs w:val="21"/>
                <w:highlight w:val="none"/>
              </w:rPr>
              <w:t>②</w:t>
            </w:r>
            <w:r>
              <w:rPr>
                <w:rFonts w:hint="eastAsia" w:ascii="宋体" w:hAnsi="宋体"/>
                <w:color w:val="auto"/>
                <w:szCs w:val="21"/>
                <w:highlight w:val="none"/>
              </w:rPr>
              <w:tab/>
            </w:r>
            <w:r>
              <w:rPr>
                <w:rFonts w:hint="eastAsia" w:ascii="宋体" w:hAnsi="宋体"/>
                <w:color w:val="auto"/>
                <w:szCs w:val="21"/>
                <w:highlight w:val="none"/>
              </w:rPr>
              <w:t>获得信息拥有方书面许可；</w:t>
            </w:r>
          </w:p>
          <w:p>
            <w:pPr>
              <w:keepNext w:val="0"/>
              <w:keepLines w:val="0"/>
              <w:widowControl/>
              <w:suppressLineNumbers w:val="0"/>
              <w:spacing w:before="0" w:beforeAutospacing="0" w:after="0" w:afterAutospacing="0" w:line="360" w:lineRule="auto"/>
              <w:ind w:left="0" w:right="0" w:firstLine="420" w:firstLineChars="200"/>
              <w:rPr>
                <w:rFonts w:hint="eastAsia" w:ascii="宋体" w:hAnsi="宋体"/>
                <w:color w:val="auto"/>
                <w:szCs w:val="21"/>
                <w:highlight w:val="none"/>
              </w:rPr>
            </w:pPr>
            <w:r>
              <w:rPr>
                <w:rFonts w:hint="eastAsia" w:ascii="宋体" w:hAnsi="宋体"/>
                <w:color w:val="auto"/>
                <w:szCs w:val="21"/>
                <w:highlight w:val="none"/>
              </w:rPr>
              <w:t>③</w:t>
            </w:r>
            <w:r>
              <w:rPr>
                <w:rFonts w:hint="eastAsia" w:ascii="宋体" w:hAnsi="宋体"/>
                <w:color w:val="auto"/>
                <w:szCs w:val="21"/>
                <w:highlight w:val="none"/>
              </w:rPr>
              <w:tab/>
            </w:r>
            <w:r>
              <w:rPr>
                <w:rFonts w:hint="eastAsia" w:ascii="宋体" w:hAnsi="宋体"/>
                <w:color w:val="auto"/>
                <w:szCs w:val="21"/>
                <w:highlight w:val="none"/>
              </w:rPr>
              <w:t>国家法律、法规规定的情形。</w:t>
            </w:r>
          </w:p>
          <w:p>
            <w:pPr>
              <w:keepNext w:val="0"/>
              <w:keepLines w:val="0"/>
              <w:widowControl/>
              <w:suppressLineNumbers w:val="0"/>
              <w:spacing w:before="0" w:beforeAutospacing="0" w:after="0" w:afterAutospacing="0" w:line="360" w:lineRule="auto"/>
              <w:ind w:left="0" w:right="0"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 xml:space="preserve">5. </w:t>
            </w:r>
            <w:r>
              <w:rPr>
                <w:rFonts w:hint="eastAsia" w:ascii="宋体" w:hAnsi="宋体"/>
                <w:color w:val="auto"/>
                <w:szCs w:val="21"/>
                <w:highlight w:val="none"/>
              </w:rPr>
              <w:t>如违反上述保密条款，监理方应向委托方支付本合同服务费总金额20%的违约金，如果违约金无法弥补委托方损失，委托方保留要求监理方赔偿全部损失的权利。</w:t>
            </w:r>
          </w:p>
          <w:p>
            <w:pPr>
              <w:keepNext w:val="0"/>
              <w:keepLines w:val="0"/>
              <w:widowControl/>
              <w:suppressLineNumbers w:val="0"/>
              <w:spacing w:before="0" w:beforeLines="0" w:beforeAutospacing="0" w:after="0" w:afterLines="0" w:afterAutospacing="0" w:line="240" w:lineRule="auto"/>
              <w:ind w:left="0" w:right="0" w:firstLine="420" w:firstLineChars="200"/>
              <w:jc w:val="both"/>
              <w:rPr>
                <w:rFonts w:hint="default" w:ascii="宋体" w:hAnsi="宋体" w:cs="宋体"/>
                <w:color w:val="auto"/>
                <w:kern w:val="0"/>
                <w:szCs w:val="21"/>
                <w:highlight w:val="none"/>
              </w:rPr>
            </w:pPr>
            <w:r>
              <w:rPr>
                <w:rFonts w:hint="eastAsia" w:ascii="宋体" w:hAnsi="宋体"/>
                <w:color w:val="auto"/>
                <w:szCs w:val="21"/>
                <w:highlight w:val="none"/>
                <w:lang w:val="en-US" w:eastAsia="zh-CN"/>
              </w:rPr>
              <w:t xml:space="preserve">6. </w:t>
            </w:r>
            <w:r>
              <w:rPr>
                <w:rFonts w:hint="eastAsia" w:ascii="宋体" w:hAnsi="宋体"/>
                <w:color w:val="auto"/>
                <w:szCs w:val="21"/>
                <w:highlight w:val="none"/>
              </w:rPr>
              <w:t>无论本合同或本合同其他条款是否有效，或者本合同终止、解除、履行完毕后，本保密条款始终约束双方。国家秘密的保密期限由国家有关部门确定，工作秘密的保密期限由委托方确定。</w:t>
            </w:r>
          </w:p>
        </w:tc>
        <w:tc>
          <w:tcPr>
            <w:tcW w:w="1581" w:type="dxa"/>
            <w:vAlign w:val="center"/>
          </w:tcPr>
          <w:p>
            <w:pPr>
              <w:keepNext w:val="0"/>
              <w:keepLines w:val="0"/>
              <w:suppressLineNumbers w:val="0"/>
              <w:spacing w:before="0" w:beforeLines="0" w:beforeAutospacing="0" w:after="0" w:afterLines="0" w:afterAutospacing="0" w:line="240" w:lineRule="auto"/>
              <w:ind w:left="0" w:right="0" w:firstLine="420" w:firstLineChars="200"/>
              <w:jc w:val="both"/>
              <w:rPr>
                <w:rFonts w:hint="default" w:ascii="宋体" w:hAnsi="宋体" w:cs="宋体"/>
                <w:color w:val="auto"/>
                <w:highlight w:val="none"/>
              </w:rPr>
            </w:pPr>
          </w:p>
        </w:tc>
        <w:tc>
          <w:tcPr>
            <w:tcW w:w="1289" w:type="dxa"/>
            <w:vAlign w:val="center"/>
          </w:tcPr>
          <w:p>
            <w:pPr>
              <w:keepNext w:val="0"/>
              <w:keepLines w:val="0"/>
              <w:suppressLineNumbers w:val="0"/>
              <w:spacing w:before="0" w:beforeLines="0" w:beforeAutospacing="0" w:after="0" w:afterLines="0" w:afterAutospacing="0" w:line="240" w:lineRule="auto"/>
              <w:ind w:left="0" w:right="0" w:firstLine="420" w:firstLineChars="200"/>
              <w:jc w:val="both"/>
              <w:rPr>
                <w:rFonts w:hint="default"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6" w:hRule="atLeast"/>
          <w:jc w:val="center"/>
        </w:trPr>
        <w:tc>
          <w:tcPr>
            <w:tcW w:w="582" w:type="dxa"/>
            <w:vAlign w:val="center"/>
          </w:tcPr>
          <w:p>
            <w:pPr>
              <w:keepNext w:val="0"/>
              <w:keepLines w:val="0"/>
              <w:suppressLineNumbers w:val="0"/>
              <w:tabs>
                <w:tab w:val="left" w:pos="314"/>
              </w:tabs>
              <w:spacing w:before="0" w:beforeLines="0" w:beforeAutospacing="0" w:after="0" w:afterLines="0" w:afterAutospacing="0" w:line="240" w:lineRule="auto"/>
              <w:ind w:left="0" w:right="0" w:firstLine="0" w:firstLine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5563" w:type="dxa"/>
            <w:vAlign w:val="center"/>
          </w:tcPr>
          <w:p>
            <w:pPr>
              <w:pStyle w:val="3"/>
              <w:suppressLineNumbers w:val="0"/>
              <w:spacing w:beforeAutospacing="0" w:afterAutospacing="0"/>
              <w:ind w:left="0" w:right="0"/>
              <w:rPr>
                <w:rFonts w:hint="eastAsia" w:ascii="Calibri Light" w:hAnsi="Calibri Light" w:eastAsia="黑体"/>
                <w:b/>
                <w:color w:val="auto"/>
                <w:kern w:val="44"/>
                <w:sz w:val="28"/>
                <w:szCs w:val="28"/>
                <w:highlight w:val="none"/>
              </w:rPr>
            </w:pPr>
            <w:r>
              <w:rPr>
                <w:rFonts w:hint="eastAsia"/>
                <w:color w:val="auto"/>
                <w:highlight w:val="none"/>
                <w:lang w:val="en-US" w:eastAsia="zh-CN"/>
              </w:rPr>
              <w:t>★</w:t>
            </w:r>
            <w:r>
              <w:rPr>
                <w:rFonts w:hint="eastAsia" w:ascii="Calibri Light" w:hAnsi="Calibri Light" w:eastAsia="黑体" w:cs="Times New Roman"/>
                <w:b/>
                <w:color w:val="auto"/>
                <w:kern w:val="44"/>
                <w:sz w:val="28"/>
                <w:szCs w:val="28"/>
                <w:highlight w:val="none"/>
                <w:lang w:val="en-US" w:eastAsia="zh-CN"/>
              </w:rPr>
              <w:t>八、</w:t>
            </w:r>
            <w:r>
              <w:rPr>
                <w:rFonts w:hint="eastAsia" w:ascii="Calibri Light" w:hAnsi="Calibri Light" w:eastAsia="黑体"/>
                <w:b/>
                <w:color w:val="auto"/>
                <w:kern w:val="44"/>
                <w:sz w:val="28"/>
                <w:szCs w:val="28"/>
                <w:highlight w:val="none"/>
              </w:rPr>
              <w:t>违约责任</w:t>
            </w:r>
          </w:p>
          <w:p>
            <w:pPr>
              <w:keepNext w:val="0"/>
              <w:keepLines w:val="0"/>
              <w:suppressLineNumbers w:val="0"/>
              <w:adjustRightInd w:val="0"/>
              <w:snapToGrid w:val="0"/>
              <w:spacing w:before="0" w:beforeAutospacing="0" w:after="0" w:afterAutospacing="0" w:line="360" w:lineRule="auto"/>
              <w:ind w:left="0" w:right="0" w:firstLine="422" w:firstLineChars="200"/>
              <w:jc w:val="left"/>
              <w:rPr>
                <w:rFonts w:hint="eastAsia" w:ascii="宋体" w:hAnsi="宋体" w:eastAsia="宋体" w:cs="宋体"/>
                <w:snapToGrid w:val="0"/>
                <w:kern w:val="0"/>
                <w:highlight w:val="none"/>
              </w:rPr>
            </w:pPr>
            <w:r>
              <w:rPr>
                <w:rFonts w:hint="eastAsia" w:ascii="宋体" w:hAnsi="宋体" w:eastAsia="宋体" w:cs="宋体"/>
                <w:b/>
                <w:snapToGrid w:val="0"/>
                <w:kern w:val="0"/>
                <w:highlight w:val="none"/>
              </w:rPr>
              <w:t>4.1</w:t>
            </w:r>
            <w:r>
              <w:rPr>
                <w:rFonts w:hint="eastAsia" w:ascii="宋体" w:hAnsi="宋体" w:cs="宋体"/>
                <w:b/>
                <w:snapToGrid w:val="0"/>
                <w:kern w:val="0"/>
                <w:highlight w:val="none"/>
                <w:lang w:val="en-US" w:eastAsia="zh-CN"/>
              </w:rPr>
              <w:t>监理方</w:t>
            </w:r>
            <w:r>
              <w:rPr>
                <w:rFonts w:hint="eastAsia" w:ascii="宋体" w:hAnsi="宋体" w:eastAsia="宋体" w:cs="宋体"/>
                <w:b/>
                <w:snapToGrid w:val="0"/>
                <w:kern w:val="0"/>
                <w:highlight w:val="none"/>
              </w:rPr>
              <w:t>的违约责任</w:t>
            </w:r>
          </w:p>
          <w:p>
            <w:pPr>
              <w:keepNext w:val="0"/>
              <w:keepLines w:val="0"/>
              <w:suppressLineNumbers w:val="0"/>
              <w:adjustRightInd w:val="0"/>
              <w:snapToGrid w:val="0"/>
              <w:spacing w:before="0" w:beforeAutospacing="0" w:after="0" w:afterAutospacing="0" w:line="460" w:lineRule="exact"/>
              <w:ind w:left="0" w:right="0" w:firstLine="420" w:firstLineChars="200"/>
              <w:jc w:val="left"/>
              <w:rPr>
                <w:rFonts w:hint="eastAsia" w:ascii="宋体" w:hAnsi="宋体" w:eastAsia="宋体" w:cs="宋体"/>
                <w:snapToGrid w:val="0"/>
                <w:kern w:val="0"/>
                <w:szCs w:val="21"/>
                <w:highlight w:val="none"/>
              </w:rPr>
            </w:pPr>
            <w:r>
              <w:rPr>
                <w:rFonts w:hint="eastAsia" w:ascii="宋体" w:hAnsi="宋体" w:cs="宋体"/>
                <w:snapToGrid w:val="0"/>
                <w:kern w:val="0"/>
                <w:szCs w:val="21"/>
                <w:highlight w:val="none"/>
                <w:lang w:val="en-US" w:eastAsia="zh-CN"/>
              </w:rPr>
              <w:t>监理方</w:t>
            </w:r>
            <w:r>
              <w:rPr>
                <w:rFonts w:hint="eastAsia" w:ascii="宋体" w:hAnsi="宋体" w:eastAsia="宋体" w:cs="宋体"/>
                <w:snapToGrid w:val="0"/>
                <w:kern w:val="0"/>
                <w:szCs w:val="21"/>
                <w:highlight w:val="none"/>
              </w:rPr>
              <w:t>未履行合同义务的，应承担相应的责任。</w:t>
            </w:r>
          </w:p>
          <w:p>
            <w:pPr>
              <w:keepNext w:val="0"/>
              <w:keepLines w:val="0"/>
              <w:suppressLineNumbers w:val="0"/>
              <w:adjustRightInd w:val="0"/>
              <w:snapToGrid w:val="0"/>
              <w:spacing w:before="0" w:beforeAutospacing="0" w:after="0" w:afterAutospacing="0" w:line="460" w:lineRule="exact"/>
              <w:ind w:left="0" w:right="0" w:firstLine="420" w:firstLineChars="200"/>
              <w:jc w:val="left"/>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4.1.1因</w:t>
            </w:r>
            <w:r>
              <w:rPr>
                <w:rFonts w:hint="eastAsia" w:ascii="宋体" w:hAnsi="宋体" w:cs="宋体"/>
                <w:snapToGrid w:val="0"/>
                <w:kern w:val="0"/>
                <w:szCs w:val="21"/>
                <w:highlight w:val="none"/>
                <w:lang w:val="en-US" w:eastAsia="zh-CN"/>
              </w:rPr>
              <w:t>监理方</w:t>
            </w:r>
            <w:r>
              <w:rPr>
                <w:rFonts w:hint="eastAsia" w:ascii="宋体" w:hAnsi="宋体" w:eastAsia="宋体" w:cs="宋体"/>
                <w:snapToGrid w:val="0"/>
                <w:kern w:val="0"/>
                <w:szCs w:val="21"/>
                <w:highlight w:val="none"/>
              </w:rPr>
              <w:t>违反合同约定给</w:t>
            </w:r>
            <w:r>
              <w:rPr>
                <w:rFonts w:hint="eastAsia" w:ascii="宋体" w:hAnsi="宋体" w:cs="宋体"/>
                <w:snapToGrid w:val="0"/>
                <w:kern w:val="0"/>
                <w:szCs w:val="21"/>
                <w:highlight w:val="none"/>
                <w:lang w:val="en-US" w:eastAsia="zh-CN"/>
              </w:rPr>
              <w:t>委托方</w:t>
            </w:r>
            <w:r>
              <w:rPr>
                <w:rFonts w:hint="eastAsia" w:ascii="宋体" w:hAnsi="宋体" w:eastAsia="宋体" w:cs="宋体"/>
                <w:snapToGrid w:val="0"/>
                <w:kern w:val="0"/>
                <w:szCs w:val="21"/>
                <w:highlight w:val="none"/>
              </w:rPr>
              <w:t>造成损失的，</w:t>
            </w:r>
            <w:r>
              <w:rPr>
                <w:rFonts w:hint="eastAsia" w:ascii="宋体" w:hAnsi="宋体" w:cs="宋体"/>
                <w:snapToGrid w:val="0"/>
                <w:kern w:val="0"/>
                <w:szCs w:val="21"/>
                <w:highlight w:val="none"/>
                <w:lang w:val="en-US" w:eastAsia="zh-CN"/>
              </w:rPr>
              <w:t>监理方</w:t>
            </w:r>
            <w:r>
              <w:rPr>
                <w:rFonts w:hint="eastAsia" w:ascii="宋体" w:hAnsi="宋体" w:eastAsia="宋体" w:cs="宋体"/>
                <w:snapToGrid w:val="0"/>
                <w:kern w:val="0"/>
                <w:szCs w:val="21"/>
                <w:highlight w:val="none"/>
              </w:rPr>
              <w:t>应当赔偿</w:t>
            </w:r>
            <w:r>
              <w:rPr>
                <w:rFonts w:hint="eastAsia" w:ascii="宋体" w:hAnsi="宋体" w:cs="宋体"/>
                <w:snapToGrid w:val="0"/>
                <w:kern w:val="0"/>
                <w:szCs w:val="21"/>
                <w:highlight w:val="none"/>
                <w:lang w:val="en-US" w:eastAsia="zh-CN"/>
              </w:rPr>
              <w:t>委托方</w:t>
            </w:r>
            <w:r>
              <w:rPr>
                <w:rFonts w:hint="eastAsia" w:ascii="宋体" w:hAnsi="宋体" w:eastAsia="宋体" w:cs="宋体"/>
                <w:snapToGrid w:val="0"/>
                <w:kern w:val="0"/>
                <w:szCs w:val="21"/>
                <w:highlight w:val="none"/>
              </w:rPr>
              <w:t>损失。赔偿金额的确定方法在</w:t>
            </w:r>
            <w:r>
              <w:rPr>
                <w:rFonts w:hint="eastAsia" w:ascii="宋体" w:hAnsi="宋体" w:cs="宋体"/>
                <w:snapToGrid w:val="0"/>
                <w:kern w:val="0"/>
                <w:szCs w:val="21"/>
                <w:highlight w:val="none"/>
                <w:lang w:val="en-US" w:eastAsia="zh-CN"/>
              </w:rPr>
              <w:t>合同</w:t>
            </w:r>
            <w:r>
              <w:rPr>
                <w:rFonts w:hint="eastAsia" w:ascii="宋体" w:hAnsi="宋体" w:eastAsia="宋体" w:cs="宋体"/>
                <w:snapToGrid w:val="0"/>
                <w:kern w:val="0"/>
                <w:szCs w:val="21"/>
                <w:highlight w:val="none"/>
              </w:rPr>
              <w:t>中约定。</w:t>
            </w:r>
            <w:r>
              <w:rPr>
                <w:rFonts w:hint="eastAsia" w:ascii="宋体" w:hAnsi="宋体" w:cs="宋体"/>
                <w:snapToGrid w:val="0"/>
                <w:kern w:val="0"/>
                <w:szCs w:val="21"/>
                <w:highlight w:val="none"/>
                <w:lang w:val="en-US" w:eastAsia="zh-CN"/>
              </w:rPr>
              <w:t>监理方</w:t>
            </w:r>
            <w:r>
              <w:rPr>
                <w:rFonts w:hint="eastAsia" w:ascii="宋体" w:hAnsi="宋体" w:eastAsia="宋体" w:cs="宋体"/>
                <w:snapToGrid w:val="0"/>
                <w:kern w:val="0"/>
                <w:szCs w:val="21"/>
                <w:highlight w:val="none"/>
              </w:rPr>
              <w:t>承担部分赔偿责任的，其承担赔偿金额由双方协商确定。</w:t>
            </w:r>
          </w:p>
          <w:p>
            <w:pPr>
              <w:keepNext w:val="0"/>
              <w:keepLines w:val="0"/>
              <w:suppressLineNumbers w:val="0"/>
              <w:tabs>
                <w:tab w:val="left" w:pos="426"/>
              </w:tabs>
              <w:spacing w:before="0" w:beforeAutospacing="0" w:after="0" w:afterAutospacing="0" w:line="460" w:lineRule="exact"/>
              <w:ind w:left="0" w:right="0" w:firstLine="420" w:firstLineChars="200"/>
              <w:rPr>
                <w:rFonts w:hint="default"/>
                <w:color w:val="auto"/>
                <w:szCs w:val="21"/>
                <w:highlight w:val="none"/>
              </w:rPr>
            </w:pPr>
            <w:r>
              <w:rPr>
                <w:rFonts w:hint="eastAsia" w:ascii="宋体" w:hAnsi="宋体" w:eastAsia="宋体" w:cs="宋体"/>
                <w:snapToGrid w:val="0"/>
                <w:kern w:val="0"/>
                <w:szCs w:val="21"/>
                <w:highlight w:val="none"/>
              </w:rPr>
              <w:t>4.1.2</w:t>
            </w:r>
            <w:r>
              <w:rPr>
                <w:rFonts w:hint="eastAsia"/>
                <w:color w:val="auto"/>
                <w:szCs w:val="21"/>
                <w:highlight w:val="none"/>
              </w:rPr>
              <w:t>本合同履行期间，发生下述情形时，委托方有权解除本合同，监理方除应退还委托方支付的全部款项外，还应支付本合同项下服务费总金额20%的违约金。监理方应同时将已完成的项目成果移交给委托方，并将全部有关资料退还委托方：</w:t>
            </w:r>
          </w:p>
          <w:p>
            <w:pPr>
              <w:keepNext w:val="0"/>
              <w:keepLines w:val="0"/>
              <w:suppressLineNumbers w:val="0"/>
              <w:tabs>
                <w:tab w:val="left" w:pos="426"/>
              </w:tabs>
              <w:spacing w:before="0" w:beforeAutospacing="0" w:after="0" w:afterAutospacing="0" w:line="460" w:lineRule="exact"/>
              <w:ind w:left="0" w:right="0" w:firstLine="420" w:firstLineChars="200"/>
              <w:rPr>
                <w:rFonts w:hint="default"/>
                <w:color w:val="auto"/>
                <w:szCs w:val="21"/>
                <w:highlight w:val="none"/>
              </w:rPr>
            </w:pPr>
            <w:r>
              <w:rPr>
                <w:rFonts w:hint="eastAsia"/>
                <w:color w:val="auto"/>
                <w:szCs w:val="21"/>
                <w:highlight w:val="none"/>
              </w:rPr>
              <w:t>(1)</w:t>
            </w:r>
            <w:r>
              <w:rPr>
                <w:rFonts w:hint="eastAsia"/>
                <w:color w:val="auto"/>
                <w:szCs w:val="21"/>
                <w:highlight w:val="none"/>
              </w:rPr>
              <w:tab/>
            </w:r>
            <w:r>
              <w:rPr>
                <w:rFonts w:hint="eastAsia"/>
                <w:color w:val="auto"/>
                <w:szCs w:val="21"/>
                <w:highlight w:val="none"/>
              </w:rPr>
              <w:t>未经委托方书面在先同意，监理方擅自将本合同项目与任何第三方合作，或将本合同标的的全部或部分擅自转包给任何第三方，且未按委托方的要求终止与第三方的协议的。</w:t>
            </w:r>
          </w:p>
          <w:p>
            <w:pPr>
              <w:keepNext w:val="0"/>
              <w:keepLines w:val="0"/>
              <w:suppressLineNumbers w:val="0"/>
              <w:tabs>
                <w:tab w:val="left" w:pos="426"/>
              </w:tabs>
              <w:spacing w:before="0" w:beforeAutospacing="0" w:after="0" w:afterAutospacing="0" w:line="460" w:lineRule="exact"/>
              <w:ind w:left="0" w:right="0" w:firstLine="420" w:firstLineChars="200"/>
              <w:rPr>
                <w:rFonts w:hint="default"/>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项目负责人为承担本协议项目实质性工作，或未经委托方书面在先同意，监理方擅自更换总监理工程师的。</w:t>
            </w:r>
          </w:p>
          <w:p>
            <w:pPr>
              <w:keepNext w:val="0"/>
              <w:keepLines w:val="0"/>
              <w:suppressLineNumbers w:val="0"/>
              <w:tabs>
                <w:tab w:val="left" w:pos="426"/>
              </w:tabs>
              <w:spacing w:before="0" w:beforeAutospacing="0" w:after="0" w:afterAutospacing="0" w:line="440" w:lineRule="exact"/>
              <w:ind w:left="0" w:right="0" w:firstLine="420" w:firstLineChars="200"/>
              <w:rPr>
                <w:rFonts w:hint="default"/>
                <w:color w:val="auto"/>
                <w:szCs w:val="21"/>
                <w:highlight w:val="none"/>
              </w:rPr>
            </w:pPr>
            <w:r>
              <w:rPr>
                <w:rFonts w:hint="eastAsia"/>
                <w:color w:val="auto"/>
                <w:szCs w:val="21"/>
                <w:highlight w:val="none"/>
              </w:rPr>
              <w:t>(3)</w:t>
            </w:r>
            <w:r>
              <w:rPr>
                <w:rFonts w:hint="eastAsia"/>
                <w:color w:val="auto"/>
                <w:szCs w:val="21"/>
                <w:highlight w:val="none"/>
              </w:rPr>
              <w:tab/>
            </w:r>
            <w:r>
              <w:rPr>
                <w:rFonts w:hint="eastAsia"/>
                <w:color w:val="auto"/>
                <w:szCs w:val="21"/>
                <w:highlight w:val="none"/>
              </w:rPr>
              <w:t>发现监理方或监理方工作人员出现全部或部分丧失履行委托服务能力的情况，委托方有权通知监理方限期整改或更换工作人员，期限届满监理方并未进行改善的。</w:t>
            </w:r>
          </w:p>
          <w:p>
            <w:pPr>
              <w:keepNext w:val="0"/>
              <w:keepLines w:val="0"/>
              <w:suppressLineNumbers w:val="0"/>
              <w:tabs>
                <w:tab w:val="left" w:pos="426"/>
              </w:tabs>
              <w:adjustRightInd/>
              <w:snapToGrid/>
              <w:spacing w:before="0" w:beforeAutospacing="0" w:after="0" w:afterAutospacing="0" w:line="440" w:lineRule="exact"/>
              <w:ind w:left="0" w:right="0" w:firstLine="420" w:firstLineChars="200"/>
              <w:jc w:val="left"/>
              <w:rPr>
                <w:rFonts w:hint="eastAsia" w:ascii="宋体" w:hAnsi="宋体" w:eastAsia="宋体" w:cs="宋体"/>
                <w:snapToGrid w:val="0"/>
                <w:kern w:val="0"/>
                <w:szCs w:val="21"/>
                <w:highlight w:val="none"/>
              </w:rPr>
            </w:pPr>
            <w:r>
              <w:rPr>
                <w:rFonts w:hint="eastAsia"/>
                <w:color w:val="auto"/>
                <w:szCs w:val="21"/>
                <w:highlight w:val="none"/>
              </w:rPr>
              <w:t>(4)</w:t>
            </w:r>
            <w:r>
              <w:rPr>
                <w:rFonts w:hint="eastAsia"/>
                <w:color w:val="auto"/>
                <w:szCs w:val="21"/>
                <w:highlight w:val="none"/>
              </w:rPr>
              <w:tab/>
            </w:r>
            <w:r>
              <w:rPr>
                <w:rFonts w:hint="eastAsia"/>
                <w:color w:val="auto"/>
                <w:szCs w:val="21"/>
                <w:highlight w:val="none"/>
              </w:rPr>
              <w:t>监理方明确表示或者以自己的行为表明不履行本合同的。</w:t>
            </w:r>
          </w:p>
          <w:p>
            <w:pPr>
              <w:keepNext w:val="0"/>
              <w:keepLines w:val="0"/>
              <w:suppressLineNumbers w:val="0"/>
              <w:adjustRightInd w:val="0"/>
              <w:snapToGrid w:val="0"/>
              <w:spacing w:before="0" w:beforeAutospacing="0" w:after="0" w:afterAutospacing="0" w:line="440" w:lineRule="exact"/>
              <w:ind w:left="0" w:right="0" w:firstLine="420" w:firstLineChars="200"/>
              <w:jc w:val="left"/>
              <w:rPr>
                <w:rFonts w:hint="eastAsia" w:ascii="宋体" w:hAnsi="宋体" w:eastAsia="宋体" w:cs="宋体"/>
                <w:snapToGrid w:val="0"/>
                <w:kern w:val="0"/>
                <w:szCs w:val="21"/>
                <w:highlight w:val="none"/>
              </w:rPr>
            </w:pPr>
            <w:r>
              <w:rPr>
                <w:rFonts w:hint="eastAsia" w:ascii="宋体" w:hAnsi="宋体" w:cs="宋体"/>
                <w:snapToGrid w:val="0"/>
                <w:kern w:val="0"/>
                <w:szCs w:val="21"/>
                <w:highlight w:val="none"/>
                <w:lang w:val="en-US" w:eastAsia="zh-CN"/>
              </w:rPr>
              <w:t>4.1.3监理方</w:t>
            </w:r>
            <w:r>
              <w:rPr>
                <w:rFonts w:hint="eastAsia" w:ascii="宋体" w:hAnsi="宋体" w:eastAsia="宋体" w:cs="宋体"/>
                <w:snapToGrid w:val="0"/>
                <w:kern w:val="0"/>
                <w:szCs w:val="21"/>
                <w:highlight w:val="none"/>
              </w:rPr>
              <w:t>向</w:t>
            </w:r>
            <w:r>
              <w:rPr>
                <w:rFonts w:hint="eastAsia" w:ascii="宋体" w:hAnsi="宋体" w:cs="宋体"/>
                <w:snapToGrid w:val="0"/>
                <w:kern w:val="0"/>
                <w:szCs w:val="21"/>
                <w:highlight w:val="none"/>
                <w:lang w:val="en-US" w:eastAsia="zh-CN"/>
              </w:rPr>
              <w:t>委托方</w:t>
            </w:r>
            <w:r>
              <w:rPr>
                <w:rFonts w:hint="eastAsia" w:ascii="宋体" w:hAnsi="宋体" w:eastAsia="宋体" w:cs="宋体"/>
                <w:snapToGrid w:val="0"/>
                <w:kern w:val="0"/>
                <w:szCs w:val="21"/>
                <w:highlight w:val="none"/>
              </w:rPr>
              <w:t>的索赔不成立时，</w:t>
            </w:r>
            <w:r>
              <w:rPr>
                <w:rFonts w:hint="eastAsia" w:ascii="宋体" w:hAnsi="宋体" w:cs="宋体"/>
                <w:snapToGrid w:val="0"/>
                <w:kern w:val="0"/>
                <w:szCs w:val="21"/>
                <w:highlight w:val="none"/>
                <w:lang w:val="en-US" w:eastAsia="zh-CN"/>
              </w:rPr>
              <w:t>监理方</w:t>
            </w:r>
            <w:r>
              <w:rPr>
                <w:rFonts w:hint="eastAsia" w:ascii="宋体" w:hAnsi="宋体" w:eastAsia="宋体" w:cs="宋体"/>
                <w:snapToGrid w:val="0"/>
                <w:kern w:val="0"/>
                <w:szCs w:val="21"/>
                <w:highlight w:val="none"/>
              </w:rPr>
              <w:t>应赔偿</w:t>
            </w:r>
            <w:r>
              <w:rPr>
                <w:rFonts w:hint="eastAsia" w:ascii="宋体" w:hAnsi="宋体" w:cs="宋体"/>
                <w:snapToGrid w:val="0"/>
                <w:kern w:val="0"/>
                <w:szCs w:val="21"/>
                <w:highlight w:val="none"/>
                <w:lang w:val="en-US" w:eastAsia="zh-CN"/>
              </w:rPr>
              <w:t>委托方</w:t>
            </w:r>
            <w:r>
              <w:rPr>
                <w:rFonts w:hint="eastAsia" w:ascii="宋体" w:hAnsi="宋体" w:eastAsia="宋体" w:cs="宋体"/>
                <w:snapToGrid w:val="0"/>
                <w:kern w:val="0"/>
                <w:szCs w:val="21"/>
                <w:highlight w:val="none"/>
              </w:rPr>
              <w:t>由此发生的费用。</w:t>
            </w:r>
          </w:p>
          <w:p>
            <w:pPr>
              <w:keepNext w:val="0"/>
              <w:keepLines w:val="0"/>
              <w:suppressLineNumbers w:val="0"/>
              <w:adjustRightInd w:val="0"/>
              <w:snapToGrid w:val="0"/>
              <w:spacing w:before="0" w:beforeAutospacing="0" w:after="0" w:afterAutospacing="0" w:line="440" w:lineRule="exact"/>
              <w:ind w:left="0" w:right="0" w:firstLine="422" w:firstLineChars="200"/>
              <w:jc w:val="left"/>
              <w:rPr>
                <w:rFonts w:hint="eastAsia" w:ascii="宋体" w:hAnsi="宋体" w:eastAsia="宋体" w:cs="宋体"/>
                <w:snapToGrid w:val="0"/>
                <w:kern w:val="0"/>
                <w:highlight w:val="none"/>
              </w:rPr>
            </w:pPr>
            <w:r>
              <w:rPr>
                <w:rFonts w:hint="eastAsia" w:ascii="宋体" w:hAnsi="宋体" w:eastAsia="宋体" w:cs="宋体"/>
                <w:b/>
                <w:snapToGrid w:val="0"/>
                <w:kern w:val="0"/>
                <w:highlight w:val="none"/>
              </w:rPr>
              <w:t>4.2</w:t>
            </w:r>
            <w:r>
              <w:rPr>
                <w:rFonts w:hint="eastAsia" w:ascii="宋体" w:hAnsi="宋体" w:cs="宋体"/>
                <w:b/>
                <w:snapToGrid w:val="0"/>
                <w:kern w:val="0"/>
                <w:highlight w:val="none"/>
                <w:lang w:val="en-US" w:eastAsia="zh-CN"/>
              </w:rPr>
              <w:t>委托方</w:t>
            </w:r>
            <w:r>
              <w:rPr>
                <w:rFonts w:hint="eastAsia" w:ascii="宋体" w:hAnsi="宋体" w:eastAsia="宋体" w:cs="宋体"/>
                <w:b/>
                <w:snapToGrid w:val="0"/>
                <w:kern w:val="0"/>
                <w:highlight w:val="none"/>
              </w:rPr>
              <w:t>的违约责任</w:t>
            </w:r>
          </w:p>
          <w:p>
            <w:pPr>
              <w:keepNext w:val="0"/>
              <w:keepLines w:val="0"/>
              <w:suppressLineNumbers w:val="0"/>
              <w:adjustRightInd w:val="0"/>
              <w:snapToGrid w:val="0"/>
              <w:spacing w:before="0" w:beforeAutospacing="0" w:after="0" w:afterAutospacing="0" w:line="440" w:lineRule="exact"/>
              <w:ind w:left="0" w:right="0" w:firstLine="420" w:firstLineChars="200"/>
              <w:jc w:val="left"/>
              <w:rPr>
                <w:rFonts w:hint="eastAsia" w:ascii="宋体" w:hAnsi="宋体" w:eastAsia="宋体" w:cs="宋体"/>
                <w:snapToGrid w:val="0"/>
                <w:kern w:val="0"/>
                <w:szCs w:val="21"/>
                <w:highlight w:val="none"/>
              </w:rPr>
            </w:pPr>
            <w:r>
              <w:rPr>
                <w:rFonts w:hint="eastAsia" w:ascii="宋体" w:hAnsi="宋体" w:cs="宋体"/>
                <w:snapToGrid w:val="0"/>
                <w:kern w:val="0"/>
                <w:szCs w:val="21"/>
                <w:highlight w:val="none"/>
                <w:lang w:val="en-US" w:eastAsia="zh-CN"/>
              </w:rPr>
              <w:t>委托方</w:t>
            </w:r>
            <w:r>
              <w:rPr>
                <w:rFonts w:hint="eastAsia" w:ascii="宋体" w:hAnsi="宋体" w:eastAsia="宋体" w:cs="宋体"/>
                <w:snapToGrid w:val="0"/>
                <w:kern w:val="0"/>
                <w:szCs w:val="21"/>
                <w:highlight w:val="none"/>
              </w:rPr>
              <w:t>未履行本合同义务的，应承担相应的责任。</w:t>
            </w:r>
          </w:p>
          <w:p>
            <w:pPr>
              <w:keepNext w:val="0"/>
              <w:keepLines w:val="0"/>
              <w:suppressLineNumbers w:val="0"/>
              <w:adjustRightInd w:val="0"/>
              <w:snapToGrid w:val="0"/>
              <w:spacing w:before="0" w:beforeAutospacing="0" w:after="0" w:afterAutospacing="0" w:line="440" w:lineRule="exact"/>
              <w:ind w:left="0" w:right="0" w:firstLine="420" w:firstLineChars="200"/>
              <w:jc w:val="left"/>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4.2.1</w:t>
            </w:r>
            <w:r>
              <w:rPr>
                <w:rFonts w:hint="eastAsia" w:ascii="宋体" w:hAnsi="宋体" w:cs="宋体"/>
                <w:snapToGrid w:val="0"/>
                <w:kern w:val="0"/>
                <w:szCs w:val="21"/>
                <w:highlight w:val="none"/>
                <w:lang w:val="en-US" w:eastAsia="zh-CN"/>
              </w:rPr>
              <w:t>委托方</w:t>
            </w:r>
            <w:r>
              <w:rPr>
                <w:rFonts w:hint="eastAsia" w:ascii="宋体" w:hAnsi="宋体" w:eastAsia="宋体" w:cs="宋体"/>
                <w:snapToGrid w:val="0"/>
                <w:kern w:val="0"/>
                <w:szCs w:val="21"/>
                <w:highlight w:val="none"/>
              </w:rPr>
              <w:t>违反合同约定造成</w:t>
            </w:r>
            <w:r>
              <w:rPr>
                <w:rFonts w:hint="eastAsia" w:ascii="宋体" w:hAnsi="宋体" w:cs="宋体"/>
                <w:snapToGrid w:val="0"/>
                <w:kern w:val="0"/>
                <w:szCs w:val="21"/>
                <w:highlight w:val="none"/>
                <w:lang w:val="en-US" w:eastAsia="zh-CN"/>
              </w:rPr>
              <w:t>监理方</w:t>
            </w:r>
            <w:r>
              <w:rPr>
                <w:rFonts w:hint="eastAsia" w:ascii="宋体" w:hAnsi="宋体" w:eastAsia="宋体" w:cs="宋体"/>
                <w:snapToGrid w:val="0"/>
                <w:kern w:val="0"/>
                <w:szCs w:val="21"/>
                <w:highlight w:val="none"/>
              </w:rPr>
              <w:t>损失的，</w:t>
            </w:r>
            <w:r>
              <w:rPr>
                <w:rFonts w:hint="eastAsia" w:ascii="宋体" w:hAnsi="宋体" w:cs="宋体"/>
                <w:snapToGrid w:val="0"/>
                <w:kern w:val="0"/>
                <w:szCs w:val="21"/>
                <w:highlight w:val="none"/>
                <w:lang w:val="en-US" w:eastAsia="zh-CN"/>
              </w:rPr>
              <w:t>委托方</w:t>
            </w:r>
            <w:r>
              <w:rPr>
                <w:rFonts w:hint="eastAsia" w:ascii="宋体" w:hAnsi="宋体" w:eastAsia="宋体" w:cs="宋体"/>
                <w:snapToGrid w:val="0"/>
                <w:kern w:val="0"/>
                <w:szCs w:val="21"/>
                <w:highlight w:val="none"/>
              </w:rPr>
              <w:t>应予以赔偿。</w:t>
            </w:r>
          </w:p>
          <w:p>
            <w:pPr>
              <w:keepNext w:val="0"/>
              <w:keepLines w:val="0"/>
              <w:suppressLineNumbers w:val="0"/>
              <w:adjustRightInd w:val="0"/>
              <w:snapToGrid w:val="0"/>
              <w:spacing w:before="0" w:beforeAutospacing="0" w:after="0" w:afterAutospacing="0" w:line="440" w:lineRule="exact"/>
              <w:ind w:left="0" w:right="0" w:firstLine="420" w:firstLineChars="200"/>
              <w:jc w:val="left"/>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4.2.2</w:t>
            </w:r>
            <w:r>
              <w:rPr>
                <w:rFonts w:hint="eastAsia" w:ascii="宋体" w:hAnsi="宋体" w:cs="宋体"/>
                <w:snapToGrid w:val="0"/>
                <w:kern w:val="0"/>
                <w:szCs w:val="21"/>
                <w:highlight w:val="none"/>
                <w:lang w:val="en-US" w:eastAsia="zh-CN"/>
              </w:rPr>
              <w:t>委托方</w:t>
            </w:r>
            <w:r>
              <w:rPr>
                <w:rFonts w:hint="eastAsia" w:ascii="宋体" w:hAnsi="宋体" w:eastAsia="宋体" w:cs="宋体"/>
                <w:snapToGrid w:val="0"/>
                <w:kern w:val="0"/>
                <w:szCs w:val="21"/>
                <w:highlight w:val="none"/>
              </w:rPr>
              <w:t>向</w:t>
            </w:r>
            <w:r>
              <w:rPr>
                <w:rFonts w:hint="eastAsia" w:ascii="宋体" w:hAnsi="宋体" w:cs="宋体"/>
                <w:snapToGrid w:val="0"/>
                <w:kern w:val="0"/>
                <w:szCs w:val="21"/>
                <w:highlight w:val="none"/>
                <w:lang w:val="en-US" w:eastAsia="zh-CN"/>
              </w:rPr>
              <w:t>监理方</w:t>
            </w:r>
            <w:r>
              <w:rPr>
                <w:rFonts w:hint="eastAsia" w:ascii="宋体" w:hAnsi="宋体" w:eastAsia="宋体" w:cs="宋体"/>
                <w:snapToGrid w:val="0"/>
                <w:kern w:val="0"/>
                <w:szCs w:val="21"/>
                <w:highlight w:val="none"/>
              </w:rPr>
              <w:t>的索赔不成立时，应赔偿</w:t>
            </w:r>
            <w:r>
              <w:rPr>
                <w:rFonts w:hint="eastAsia" w:ascii="宋体" w:hAnsi="宋体" w:cs="宋体"/>
                <w:snapToGrid w:val="0"/>
                <w:kern w:val="0"/>
                <w:szCs w:val="21"/>
                <w:highlight w:val="none"/>
                <w:lang w:val="en-US" w:eastAsia="zh-CN"/>
              </w:rPr>
              <w:t>监理方</w:t>
            </w:r>
            <w:r>
              <w:rPr>
                <w:rFonts w:hint="eastAsia" w:ascii="宋体" w:hAnsi="宋体" w:eastAsia="宋体" w:cs="宋体"/>
                <w:snapToGrid w:val="0"/>
                <w:kern w:val="0"/>
                <w:szCs w:val="21"/>
                <w:highlight w:val="none"/>
              </w:rPr>
              <w:t>由此引起的费用。</w:t>
            </w:r>
          </w:p>
          <w:p>
            <w:pPr>
              <w:keepNext w:val="0"/>
              <w:keepLines w:val="0"/>
              <w:suppressLineNumbers w:val="0"/>
              <w:adjustRightInd w:val="0"/>
              <w:snapToGrid w:val="0"/>
              <w:spacing w:before="0" w:beforeAutospacing="0" w:after="0" w:afterAutospacing="0" w:line="440" w:lineRule="exact"/>
              <w:ind w:left="0" w:right="0" w:firstLine="420" w:firstLineChars="200"/>
              <w:jc w:val="left"/>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4.2.3</w:t>
            </w:r>
            <w:r>
              <w:rPr>
                <w:rFonts w:hint="eastAsia"/>
                <w:color w:val="auto"/>
                <w:szCs w:val="21"/>
                <w:highlight w:val="none"/>
              </w:rPr>
              <w:t>如委托方未按照本合同约定的时间支付服务费，监理方书面催告委托方并给予不少于7个工作日的履行期限后委托方仍未支付的，监理方有权自该期限届满之日起要求委托方支付该阶段应付而未付合同价款每日3‰的逾期违约金。</w:t>
            </w:r>
          </w:p>
          <w:p>
            <w:pPr>
              <w:keepNext w:val="0"/>
              <w:keepLines w:val="0"/>
              <w:suppressLineNumbers w:val="0"/>
              <w:adjustRightInd w:val="0"/>
              <w:snapToGrid w:val="0"/>
              <w:spacing w:before="0" w:beforeAutospacing="0" w:after="0" w:afterAutospacing="0" w:line="440" w:lineRule="exact"/>
              <w:ind w:left="0" w:right="0" w:firstLine="422" w:firstLineChars="200"/>
              <w:jc w:val="left"/>
              <w:rPr>
                <w:rFonts w:hint="eastAsia" w:ascii="宋体" w:hAnsi="宋体" w:eastAsia="宋体" w:cs="宋体"/>
                <w:snapToGrid w:val="0"/>
                <w:kern w:val="0"/>
                <w:highlight w:val="none"/>
              </w:rPr>
            </w:pPr>
            <w:r>
              <w:rPr>
                <w:rFonts w:hint="eastAsia" w:ascii="宋体" w:hAnsi="宋体" w:eastAsia="宋体" w:cs="宋体"/>
                <w:b/>
                <w:snapToGrid w:val="0"/>
                <w:kern w:val="0"/>
                <w:highlight w:val="none"/>
              </w:rPr>
              <w:t>4.3除外责任</w:t>
            </w:r>
          </w:p>
          <w:p>
            <w:pPr>
              <w:keepNext w:val="0"/>
              <w:keepLines w:val="0"/>
              <w:suppressLineNumbers w:val="0"/>
              <w:adjustRightInd w:val="0"/>
              <w:snapToGrid w:val="0"/>
              <w:spacing w:before="0" w:beforeAutospacing="0" w:after="0" w:afterAutospacing="0" w:line="440" w:lineRule="exact"/>
              <w:ind w:left="0" w:right="0" w:firstLine="420" w:firstLineChars="200"/>
              <w:jc w:val="left"/>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因非</w:t>
            </w:r>
            <w:r>
              <w:rPr>
                <w:rFonts w:hint="eastAsia" w:ascii="宋体" w:hAnsi="宋体" w:cs="宋体"/>
                <w:snapToGrid w:val="0"/>
                <w:kern w:val="0"/>
                <w:szCs w:val="21"/>
                <w:highlight w:val="none"/>
                <w:lang w:val="en-US" w:eastAsia="zh-CN"/>
              </w:rPr>
              <w:t>监理方</w:t>
            </w:r>
            <w:r>
              <w:rPr>
                <w:rFonts w:hint="eastAsia" w:ascii="宋体" w:hAnsi="宋体" w:eastAsia="宋体" w:cs="宋体"/>
                <w:snapToGrid w:val="0"/>
                <w:kern w:val="0"/>
                <w:szCs w:val="21"/>
                <w:highlight w:val="none"/>
              </w:rPr>
              <w:t>的原因，且</w:t>
            </w:r>
            <w:r>
              <w:rPr>
                <w:rFonts w:hint="eastAsia" w:ascii="宋体" w:hAnsi="宋体" w:cs="宋体"/>
                <w:snapToGrid w:val="0"/>
                <w:kern w:val="0"/>
                <w:szCs w:val="21"/>
                <w:highlight w:val="none"/>
                <w:lang w:val="en-US" w:eastAsia="zh-CN"/>
              </w:rPr>
              <w:t>监理方</w:t>
            </w:r>
            <w:r>
              <w:rPr>
                <w:rFonts w:hint="eastAsia" w:ascii="宋体" w:hAnsi="宋体" w:eastAsia="宋体" w:cs="宋体"/>
                <w:snapToGrid w:val="0"/>
                <w:kern w:val="0"/>
                <w:szCs w:val="21"/>
                <w:highlight w:val="none"/>
              </w:rPr>
              <w:t>无过错，发生工程质量事故、安全事故、工期延误等造成的损失，</w:t>
            </w:r>
            <w:r>
              <w:rPr>
                <w:rFonts w:hint="eastAsia" w:ascii="宋体" w:hAnsi="宋体" w:cs="宋体"/>
                <w:snapToGrid w:val="0"/>
                <w:kern w:val="0"/>
                <w:szCs w:val="21"/>
                <w:highlight w:val="none"/>
                <w:lang w:val="en-US" w:eastAsia="zh-CN"/>
              </w:rPr>
              <w:t>监理方</w:t>
            </w:r>
            <w:r>
              <w:rPr>
                <w:rFonts w:hint="eastAsia" w:ascii="宋体" w:hAnsi="宋体" w:eastAsia="宋体" w:cs="宋体"/>
                <w:snapToGrid w:val="0"/>
                <w:kern w:val="0"/>
                <w:szCs w:val="21"/>
                <w:highlight w:val="none"/>
              </w:rPr>
              <w:t>不承担赔偿责任。</w:t>
            </w:r>
          </w:p>
          <w:p>
            <w:pPr>
              <w:keepNext w:val="0"/>
              <w:keepLines w:val="0"/>
              <w:suppressLineNumbers w:val="0"/>
              <w:adjustRightInd w:val="0"/>
              <w:snapToGrid w:val="0"/>
              <w:spacing w:before="0" w:beforeAutospacing="0" w:after="0" w:afterAutospacing="0" w:line="440" w:lineRule="exact"/>
              <w:ind w:left="0" w:right="0" w:firstLine="420" w:firstLineChars="200"/>
              <w:jc w:val="left"/>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因不可抗力导致本合同全部或部分不能履行时，双方各自承担其因此而造成的损失、损害。</w:t>
            </w:r>
          </w:p>
          <w:p>
            <w:pPr>
              <w:keepNext w:val="0"/>
              <w:keepLines w:val="0"/>
              <w:widowControl/>
              <w:suppressLineNumbers w:val="0"/>
              <w:spacing w:before="0" w:beforeLines="0" w:beforeAutospacing="0" w:after="0" w:afterLines="0" w:afterAutospacing="0" w:line="240" w:lineRule="auto"/>
              <w:ind w:left="0" w:right="0" w:firstLine="420" w:firstLineChars="200"/>
              <w:jc w:val="both"/>
              <w:rPr>
                <w:rFonts w:hint="default" w:ascii="宋体" w:hAnsi="宋体" w:cs="宋体"/>
                <w:color w:val="auto"/>
                <w:kern w:val="0"/>
                <w:szCs w:val="21"/>
                <w:highlight w:val="none"/>
              </w:rPr>
            </w:pPr>
          </w:p>
        </w:tc>
        <w:tc>
          <w:tcPr>
            <w:tcW w:w="1581" w:type="dxa"/>
            <w:vAlign w:val="center"/>
          </w:tcPr>
          <w:p>
            <w:pPr>
              <w:keepNext w:val="0"/>
              <w:keepLines w:val="0"/>
              <w:suppressLineNumbers w:val="0"/>
              <w:spacing w:before="0" w:beforeLines="0" w:beforeAutospacing="0" w:after="0" w:afterLines="0" w:afterAutospacing="0" w:line="240" w:lineRule="auto"/>
              <w:ind w:left="0" w:right="0" w:firstLine="420" w:firstLineChars="200"/>
              <w:jc w:val="both"/>
              <w:rPr>
                <w:rFonts w:hint="default" w:ascii="宋体" w:hAnsi="宋体" w:cs="宋体"/>
                <w:color w:val="auto"/>
                <w:highlight w:val="none"/>
              </w:rPr>
            </w:pPr>
          </w:p>
        </w:tc>
        <w:tc>
          <w:tcPr>
            <w:tcW w:w="1289" w:type="dxa"/>
            <w:vAlign w:val="center"/>
          </w:tcPr>
          <w:p>
            <w:pPr>
              <w:keepNext w:val="0"/>
              <w:keepLines w:val="0"/>
              <w:suppressLineNumbers w:val="0"/>
              <w:spacing w:before="0" w:beforeLines="0" w:beforeAutospacing="0" w:after="0" w:afterLines="0" w:afterAutospacing="0" w:line="240" w:lineRule="auto"/>
              <w:ind w:left="0" w:right="0" w:firstLine="420" w:firstLineChars="200"/>
              <w:jc w:val="both"/>
              <w:rPr>
                <w:rFonts w:hint="default" w:ascii="宋体" w:hAnsi="宋体" w:cs="宋体"/>
                <w:color w:val="auto"/>
                <w:highlight w:val="none"/>
              </w:rPr>
            </w:pPr>
          </w:p>
        </w:tc>
      </w:tr>
    </w:tbl>
    <w:p>
      <w:pPr>
        <w:ind w:left="840" w:hanging="840" w:hangingChars="400"/>
        <w:rPr>
          <w:rFonts w:ascii="宋体" w:hAnsi="宋体" w:cs="宋体"/>
          <w:color w:val="auto"/>
          <w:highlight w:val="none"/>
        </w:rPr>
      </w:pPr>
    </w:p>
    <w:p>
      <w:pPr>
        <w:rPr>
          <w:color w:val="auto"/>
          <w:highlight w:val="none"/>
        </w:rPr>
      </w:pPr>
    </w:p>
    <w:p>
      <w:pPr>
        <w:widowControl/>
        <w:jc w:val="left"/>
        <w:rPr>
          <w:color w:val="auto"/>
          <w:highlight w:val="none"/>
        </w:rPr>
      </w:pPr>
      <w:r>
        <w:rPr>
          <w:color w:val="auto"/>
          <w:highlight w:val="none"/>
        </w:rPr>
        <w:br w:type="page"/>
      </w:r>
    </w:p>
    <w:p>
      <w:pPr>
        <w:rPr>
          <w:color w:val="auto"/>
          <w:highlight w:val="none"/>
        </w:rPr>
      </w:pPr>
    </w:p>
    <w:p>
      <w:pPr>
        <w:rPr>
          <w:color w:val="auto"/>
          <w:highlight w:val="none"/>
        </w:rPr>
      </w:pPr>
      <w:r>
        <w:rPr>
          <w:color w:val="auto"/>
          <w:highlight w:val="none"/>
        </w:rPr>
        <w:fldChar w:fldCharType="begin"/>
      </w:r>
      <w:r>
        <w:rPr>
          <w:color w:val="auto"/>
          <w:highlight w:val="none"/>
        </w:rPr>
        <w:instrText xml:space="preserve">ADDIN CNKISM.UserStyle</w:instrText>
      </w:r>
      <w:r>
        <w:rPr>
          <w:color w:val="auto"/>
          <w:highlight w:val="none"/>
        </w:rPr>
        <w:fldChar w:fldCharType="end"/>
      </w:r>
    </w:p>
    <w:p>
      <w:pPr>
        <w:jc w:val="center"/>
        <w:outlineLvl w:val="1"/>
        <w:rPr>
          <w:rFonts w:ascii="宋体" w:hAnsi="宋体" w:cs="宋体"/>
          <w:b/>
          <w:bCs/>
          <w:color w:val="auto"/>
          <w:sz w:val="30"/>
          <w:szCs w:val="30"/>
          <w:highlight w:val="none"/>
        </w:rPr>
      </w:pPr>
      <w:bookmarkStart w:id="519" w:name="_Toc23085"/>
      <w:bookmarkStart w:id="520" w:name="_Toc30840"/>
      <w:bookmarkStart w:id="521" w:name="_Toc7775"/>
      <w:bookmarkStart w:id="522" w:name="_Toc27089"/>
      <w:bookmarkStart w:id="523" w:name="_Toc7399"/>
      <w:bookmarkStart w:id="524" w:name="_Toc51746114"/>
      <w:bookmarkStart w:id="525" w:name="_Toc31247"/>
      <w:bookmarkStart w:id="526" w:name="_Toc5506"/>
      <w:bookmarkStart w:id="527" w:name="_Toc77523193"/>
      <w:bookmarkStart w:id="528" w:name="_Toc31002"/>
      <w:r>
        <w:rPr>
          <w:rFonts w:hint="eastAsia" w:ascii="宋体" w:hAnsi="宋体" w:cs="宋体"/>
          <w:b/>
          <w:bCs/>
          <w:color w:val="auto"/>
          <w:sz w:val="30"/>
          <w:szCs w:val="30"/>
          <w:highlight w:val="none"/>
        </w:rPr>
        <w:t>（十）投标人认为需提供的其它文件及评分所需证明文件</w:t>
      </w:r>
      <w:bookmarkEnd w:id="519"/>
      <w:bookmarkEnd w:id="520"/>
      <w:bookmarkEnd w:id="521"/>
      <w:bookmarkEnd w:id="522"/>
      <w:bookmarkEnd w:id="523"/>
      <w:bookmarkEnd w:id="524"/>
      <w:bookmarkEnd w:id="525"/>
      <w:bookmarkEnd w:id="526"/>
      <w:bookmarkEnd w:id="527"/>
      <w:bookmarkEnd w:id="528"/>
    </w:p>
    <w:p>
      <w:pPr>
        <w:tabs>
          <w:tab w:val="left" w:pos="360"/>
        </w:tabs>
        <w:spacing w:line="300" w:lineRule="auto"/>
        <w:outlineLvl w:val="0"/>
        <w:rPr>
          <w:rFonts w:hint="eastAsia" w:ascii="宋体" w:hAnsi="宋体" w:eastAsia="宋体" w:cs="宋体"/>
          <w:b/>
          <w:bCs/>
          <w:color w:val="000000"/>
          <w:sz w:val="24"/>
          <w:szCs w:val="24"/>
        </w:rPr>
      </w:pPr>
      <w:bookmarkStart w:id="529" w:name="_Toc6251"/>
      <w:bookmarkStart w:id="530" w:name="_Toc31519"/>
      <w:r>
        <w:rPr>
          <w:rFonts w:hint="eastAsia" w:ascii="宋体" w:hAnsi="宋体" w:eastAsia="宋体" w:cs="宋体"/>
          <w:b/>
          <w:bCs/>
          <w:color w:val="000000"/>
          <w:sz w:val="24"/>
          <w:szCs w:val="24"/>
        </w:rPr>
        <w:t>附件：相关政策</w:t>
      </w:r>
      <w:bookmarkEnd w:id="529"/>
    </w:p>
    <w:p>
      <w:pPr>
        <w:tabs>
          <w:tab w:val="left" w:pos="360"/>
        </w:tabs>
        <w:spacing w:line="240" w:lineRule="auto"/>
        <w:outlineLvl w:val="1"/>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1、财政部、工业和信息化部《关于印发〈政府采购促进中小企业发展管理办法〉的通知》（财库〔2020〕46 号）</w:t>
      </w:r>
    </w:p>
    <w:p>
      <w:pPr>
        <w:pStyle w:val="2"/>
        <w:tabs>
          <w:tab w:val="left" w:pos="562"/>
          <w:tab w:val="left" w:pos="3372"/>
          <w:tab w:val="left" w:pos="3653"/>
        </w:tabs>
        <w:spacing w:line="240" w:lineRule="auto"/>
        <w:outlineLvl w:val="9"/>
        <w:rPr>
          <w:rFonts w:hint="eastAsia" w:ascii="宋体" w:hAnsi="宋体" w:eastAsia="宋体" w:cs="宋体"/>
          <w:color w:val="000000"/>
          <w:sz w:val="24"/>
          <w:szCs w:val="24"/>
        </w:rPr>
      </w:pPr>
    </w:p>
    <w:p>
      <w:pPr>
        <w:widowControl/>
        <w:shd w:val="clear" w:color="auto" w:fill="FFFFFF"/>
        <w:spacing w:line="240" w:lineRule="auto"/>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关于印发《政府采购促进中小企业发展管理办法》的通知</w:t>
      </w:r>
    </w:p>
    <w:p>
      <w:pPr>
        <w:widowControl/>
        <w:shd w:val="clear" w:color="auto" w:fill="FFFFFF"/>
        <w:spacing w:after="240" w:line="240" w:lineRule="auto"/>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财库〔2020〕46号</w:t>
      </w:r>
    </w:p>
    <w:p>
      <w:pPr>
        <w:widowControl/>
        <w:shd w:val="clear" w:color="auto" w:fill="FFFFFF"/>
        <w:spacing w:after="240" w:line="240" w:lineRule="auto"/>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各中央预算单位办公厅（室），各省、自治区、直辖市、计划单列市财政厅（局）、工业和信息化主管部门，新疆生产建设兵团财政局、工业和信息化主管部门：</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附件：政府采购促进中小企业发展管理办法</w:t>
      </w:r>
    </w:p>
    <w:p>
      <w:pPr>
        <w:widowControl/>
        <w:shd w:val="clear" w:color="auto" w:fill="FFFFFF"/>
        <w:spacing w:line="240" w:lineRule="auto"/>
        <w:jc w:val="righ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财  政  部</w:t>
      </w:r>
    </w:p>
    <w:p>
      <w:pPr>
        <w:widowControl/>
        <w:shd w:val="clear" w:color="auto" w:fill="FFFFFF"/>
        <w:spacing w:line="240" w:lineRule="auto"/>
        <w:jc w:val="righ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工业和信息化部</w:t>
      </w:r>
    </w:p>
    <w:p>
      <w:pPr>
        <w:widowControl/>
        <w:shd w:val="clear" w:color="auto" w:fill="FFFFFF"/>
        <w:spacing w:line="240" w:lineRule="auto"/>
        <w:jc w:val="righ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2020年12月18日</w:t>
      </w:r>
    </w:p>
    <w:p>
      <w:pPr>
        <w:autoSpaceDE w:val="0"/>
        <w:autoSpaceDN w:val="0"/>
        <w:adjustRightInd w:val="0"/>
        <w:spacing w:line="240" w:lineRule="auto"/>
        <w:jc w:val="left"/>
        <w:outlineLvl w:val="9"/>
        <w:rPr>
          <w:rFonts w:hint="eastAsia" w:ascii="宋体" w:hAnsi="宋体" w:eastAsia="宋体" w:cs="宋体"/>
          <w:color w:val="000000"/>
          <w:kern w:val="0"/>
          <w:sz w:val="24"/>
          <w:szCs w:val="24"/>
        </w:rPr>
      </w:pPr>
    </w:p>
    <w:p>
      <w:pPr>
        <w:spacing w:line="240" w:lineRule="auto"/>
        <w:jc w:val="center"/>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政府采购促进中小企业发展管理办法</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第四条 在政府采购活动中，供应商提供的货物、工程或者服务符合下列情形的，享受本办法规定的中小企业扶持政策：</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（一）在货物采购项目中，货物由中小企业制造，即货 物由中小企业生产且使用该中小企业商号或者注册商标；</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（二）在工程采购项目中，工程由中小企业承建，即工 程施工单位为中小企业；</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rPr>
        <w:t>符合下列情形之一的，可不专门面向中小企业预留采购</w:t>
      </w:r>
      <w:r>
        <w:rPr>
          <w:rFonts w:hint="eastAsia" w:ascii="宋体" w:hAnsi="宋体" w:eastAsia="宋体" w:cs="宋体"/>
          <w:color w:val="000000"/>
          <w:sz w:val="24"/>
          <w:szCs w:val="24"/>
        </w:rPr>
        <w:t>份额：</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（一）法律法规和国家有关政策明确规定优先或者应当面向事业单位、社会组织等非企业主体采购的；</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（三）按照本办法规定预留采购份额无法确保充分供应、充分竞争，或者存在可能影响政府采购目标实现的情形；</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（四）框架协议采购项目；</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（五）省级以上人民政府财政部门规定的其他情形。 除上述情形外，其他均为适宜由中小企业提供的情形。</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（一）将采购项目整体或者设置采购包专门面向中小企业采购；</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（二）要求供应商以联合体形式参加采购活动，且联合体中中小企业承担的部分达到一定比例；</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（三）要求获得采购合同的供应商将采购项目中的一定比例分包给一家或者多家中小企业。</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组成联合体或者接受分包合同的中小企业与联合体内 其他企业、分包企业之间不得存在直接控股、管理关系。</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第十二条 采购项目涉及中小企业采购的，采购文件应当明确以下内容：</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（一）预留份额的采购项目或者采购包，明确该项目或相关采购包专门面向中小企业采购，以及相关标的及预算金额；</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（三）非预留份额的采购项目或者采购包，明确有关价格扣除比例或者价格分加分比例；</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（五）采购人认为具备相关条件的，明确对中小企业在资金支付期限、预付款比例等方面的优惠措施；</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（六）明确采购标的对应的中小企业划分标准所属行业；</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（七）法律法规和省级以上人民政府财政部门规定的其他事项。</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适用招标投标法的政府采购工程建设项目，应当在公示中标候选人时公开中标候选人的《中小企业声明函》。</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第二十二条 对外援助项目、国家相关资格或者资质管理制度另有规定的项目，不适用本办法。</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第二十三条 关于视同中小企业的其他主体的政府采购扶持政策，由财政部会同有关部门另行规定。</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第二十四条 省级财政部门可以会同中小企业主管部门根据本办法的规定制定具体实施办法。</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line="240" w:lineRule="auto"/>
        <w:outlineLvl w:val="9"/>
        <w:rPr>
          <w:rFonts w:hint="eastAsia" w:ascii="宋体" w:hAnsi="宋体" w:eastAsia="宋体" w:cs="宋体"/>
          <w:color w:val="000000"/>
          <w:sz w:val="24"/>
          <w:szCs w:val="24"/>
        </w:rPr>
      </w:pP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附：1.中小企业声明函</w:t>
      </w:r>
    </w:p>
    <w:p>
      <w:pPr>
        <w:pStyle w:val="2"/>
        <w:tabs>
          <w:tab w:val="left" w:pos="562"/>
          <w:tab w:val="left" w:pos="3372"/>
          <w:tab w:val="left" w:pos="3653"/>
        </w:tabs>
        <w:spacing w:line="240" w:lineRule="auto"/>
        <w:ind w:firstLine="960" w:firstLineChars="4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2.面向中小企业预留项目执行情况公告</w:t>
      </w:r>
    </w:p>
    <w:p>
      <w:pPr>
        <w:pStyle w:val="2"/>
        <w:tabs>
          <w:tab w:val="left" w:pos="562"/>
          <w:tab w:val="left" w:pos="3372"/>
          <w:tab w:val="left" w:pos="3653"/>
        </w:tabs>
        <w:spacing w:before="30" w:line="240" w:lineRule="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附 1</w:t>
      </w:r>
    </w:p>
    <w:p>
      <w:pPr>
        <w:spacing w:before="0" w:after="312" w:afterLines="100" w:line="24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中小企业声明函（货物）</w:t>
      </w:r>
    </w:p>
    <w:p>
      <w:pPr>
        <w:pStyle w:val="2"/>
        <w:tabs>
          <w:tab w:val="left" w:pos="562"/>
          <w:tab w:val="left" w:pos="3372"/>
          <w:tab w:val="left" w:pos="3653"/>
        </w:tabs>
        <w:spacing w:line="240" w:lineRule="auto"/>
        <w:ind w:firstLine="472" w:firstLineChars="200"/>
        <w:outlineLvl w:val="9"/>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本公司（联合体）郑重声明，根据《政府采购促进中小企业发展管理办法》（财库﹝2020﹞46 号）的规定，本公司（联合体）参加（</w:t>
      </w:r>
      <w:r>
        <w:rPr>
          <w:rFonts w:hint="eastAsia" w:ascii="宋体" w:hAnsi="宋体" w:eastAsia="宋体" w:cs="宋体"/>
          <w:color w:val="000000"/>
          <w:spacing w:val="-2"/>
          <w:sz w:val="24"/>
          <w:szCs w:val="24"/>
          <w:u w:val="single"/>
        </w:rPr>
        <w:t>单位名称</w:t>
      </w:r>
      <w:r>
        <w:rPr>
          <w:rFonts w:hint="eastAsia" w:ascii="宋体" w:hAnsi="宋体" w:eastAsia="宋体" w:cs="宋体"/>
          <w:color w:val="000000"/>
          <w:spacing w:val="-2"/>
          <w:sz w:val="24"/>
          <w:szCs w:val="24"/>
        </w:rPr>
        <w:t>）的（</w:t>
      </w:r>
      <w:r>
        <w:rPr>
          <w:rFonts w:hint="eastAsia" w:ascii="宋体" w:hAnsi="宋体" w:eastAsia="宋体" w:cs="宋体"/>
          <w:color w:val="000000"/>
          <w:spacing w:val="-2"/>
          <w:sz w:val="24"/>
          <w:szCs w:val="24"/>
          <w:u w:val="single"/>
        </w:rPr>
        <w:t>项目名称</w:t>
      </w:r>
      <w:r>
        <w:rPr>
          <w:rFonts w:hint="eastAsia" w:ascii="宋体" w:hAnsi="宋体" w:eastAsia="宋体" w:cs="宋体"/>
          <w:color w:val="000000"/>
          <w:spacing w:val="-2"/>
          <w:sz w:val="24"/>
          <w:szCs w:val="24"/>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u w:val="single"/>
        </w:rPr>
        <w:t>标的名称</w:t>
      </w:r>
      <w:r>
        <w:rPr>
          <w:rFonts w:hint="eastAsia" w:ascii="宋体" w:hAnsi="宋体" w:eastAsia="宋体" w:cs="宋体"/>
          <w:color w:val="000000"/>
          <w:kern w:val="0"/>
          <w:sz w:val="24"/>
          <w:szCs w:val="24"/>
        </w:rPr>
        <w:t>），属于（</w:t>
      </w:r>
      <w:r>
        <w:rPr>
          <w:rFonts w:hint="eastAsia" w:ascii="宋体" w:hAnsi="宋体" w:eastAsia="宋体" w:cs="宋体"/>
          <w:color w:val="000000"/>
          <w:kern w:val="0"/>
          <w:sz w:val="24"/>
          <w:szCs w:val="24"/>
          <w:u w:val="single"/>
        </w:rPr>
        <w:t>采购文件中明确的所属行业</w:t>
      </w:r>
      <w:r>
        <w:rPr>
          <w:rFonts w:hint="eastAsia" w:ascii="宋体" w:hAnsi="宋体" w:eastAsia="宋体" w:cs="宋体"/>
          <w:color w:val="000000"/>
          <w:kern w:val="0"/>
          <w:sz w:val="24"/>
          <w:szCs w:val="24"/>
        </w:rPr>
        <w:t>）；制造商为（</w:t>
      </w:r>
      <w:r>
        <w:rPr>
          <w:rFonts w:hint="eastAsia" w:ascii="宋体" w:hAnsi="宋体" w:eastAsia="宋体" w:cs="宋体"/>
          <w:color w:val="000000"/>
          <w:kern w:val="0"/>
          <w:sz w:val="24"/>
          <w:szCs w:val="24"/>
          <w:u w:val="single"/>
        </w:rPr>
        <w:t>企业名称</w:t>
      </w:r>
      <w:r>
        <w:rPr>
          <w:rFonts w:hint="eastAsia" w:ascii="宋体" w:hAnsi="宋体" w:eastAsia="宋体" w:cs="宋体"/>
          <w:color w:val="000000"/>
          <w:kern w:val="0"/>
          <w:sz w:val="24"/>
          <w:szCs w:val="24"/>
        </w:rPr>
        <w:t>），从业人员</w:t>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rPr>
        <w:t xml:space="preserve">人，营业收入为 </w:t>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rPr>
        <w:t>万元，资产总额为</w:t>
      </w:r>
      <w:r>
        <w:rPr>
          <w:rFonts w:hint="eastAsia" w:ascii="宋体" w:hAnsi="宋体" w:eastAsia="宋体" w:cs="宋体"/>
          <w:color w:val="000000"/>
          <w:kern w:val="0"/>
          <w:sz w:val="24"/>
          <w:szCs w:val="24"/>
          <w:u w:val="single"/>
        </w:rPr>
        <w:tab/>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万元，属于（</w:t>
      </w:r>
      <w:r>
        <w:rPr>
          <w:rFonts w:hint="eastAsia" w:ascii="宋体" w:hAnsi="宋体" w:eastAsia="宋体" w:cs="宋体"/>
          <w:color w:val="000000"/>
          <w:kern w:val="0"/>
          <w:sz w:val="24"/>
          <w:szCs w:val="24"/>
          <w:u w:val="single"/>
        </w:rPr>
        <w:t>中型企业、小型企业、微型企业</w:t>
      </w:r>
      <w:r>
        <w:rPr>
          <w:rFonts w:hint="eastAsia" w:ascii="宋体" w:hAnsi="宋体" w:eastAsia="宋体" w:cs="宋体"/>
          <w:color w:val="000000"/>
          <w:kern w:val="0"/>
          <w:sz w:val="24"/>
          <w:szCs w:val="24"/>
        </w:rPr>
        <w:t>）；</w:t>
      </w:r>
    </w:p>
    <w:p>
      <w:pPr>
        <w:pStyle w:val="2"/>
        <w:tabs>
          <w:tab w:val="left" w:pos="562"/>
          <w:tab w:val="left" w:pos="3372"/>
          <w:tab w:val="left" w:pos="3653"/>
        </w:tabs>
        <w:spacing w:line="240" w:lineRule="auto"/>
        <w:ind w:firstLine="472" w:firstLineChars="200"/>
        <w:outlineLvl w:val="9"/>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2、（</w:t>
      </w:r>
      <w:r>
        <w:rPr>
          <w:rFonts w:hint="eastAsia" w:ascii="宋体" w:hAnsi="宋体" w:eastAsia="宋体" w:cs="宋体"/>
          <w:color w:val="000000"/>
          <w:spacing w:val="-2"/>
          <w:sz w:val="24"/>
          <w:szCs w:val="24"/>
          <w:u w:val="single"/>
        </w:rPr>
        <w:t>标的名称</w:t>
      </w:r>
      <w:r>
        <w:rPr>
          <w:rFonts w:hint="eastAsia" w:ascii="宋体" w:hAnsi="宋体" w:eastAsia="宋体" w:cs="宋体"/>
          <w:color w:val="000000"/>
          <w:spacing w:val="-2"/>
          <w:sz w:val="24"/>
          <w:szCs w:val="24"/>
        </w:rPr>
        <w:t>），属于（</w:t>
      </w:r>
      <w:r>
        <w:rPr>
          <w:rFonts w:hint="eastAsia" w:ascii="宋体" w:hAnsi="宋体" w:eastAsia="宋体" w:cs="宋体"/>
          <w:color w:val="000000"/>
          <w:spacing w:val="-2"/>
          <w:sz w:val="24"/>
          <w:szCs w:val="24"/>
          <w:u w:val="single"/>
        </w:rPr>
        <w:t>采购文件中明确的所属行业</w:t>
      </w:r>
      <w:r>
        <w:rPr>
          <w:rFonts w:hint="eastAsia" w:ascii="宋体" w:hAnsi="宋体" w:eastAsia="宋体" w:cs="宋体"/>
          <w:color w:val="000000"/>
          <w:spacing w:val="-2"/>
          <w:sz w:val="24"/>
          <w:szCs w:val="24"/>
        </w:rPr>
        <w:t>）；制造商为（</w:t>
      </w:r>
      <w:r>
        <w:rPr>
          <w:rFonts w:hint="eastAsia" w:ascii="宋体" w:hAnsi="宋体" w:eastAsia="宋体" w:cs="宋体"/>
          <w:color w:val="000000"/>
          <w:spacing w:val="-2"/>
          <w:sz w:val="24"/>
          <w:szCs w:val="24"/>
          <w:u w:val="single"/>
        </w:rPr>
        <w:t>企业名称</w:t>
      </w:r>
      <w:r>
        <w:rPr>
          <w:rFonts w:hint="eastAsia" w:ascii="宋体" w:hAnsi="宋体" w:eastAsia="宋体" w:cs="宋体"/>
          <w:color w:val="000000"/>
          <w:spacing w:val="-2"/>
          <w:sz w:val="24"/>
          <w:szCs w:val="24"/>
        </w:rPr>
        <w:t>），从业人员</w:t>
      </w:r>
      <w:r>
        <w:rPr>
          <w:rFonts w:hint="eastAsia" w:ascii="宋体" w:hAnsi="宋体" w:eastAsia="宋体" w:cs="宋体"/>
          <w:color w:val="000000"/>
          <w:spacing w:val="-2"/>
          <w:sz w:val="24"/>
          <w:szCs w:val="24"/>
          <w:u w:val="single"/>
        </w:rPr>
        <w:t xml:space="preserve">    </w:t>
      </w:r>
      <w:r>
        <w:rPr>
          <w:rFonts w:hint="eastAsia" w:ascii="宋体" w:hAnsi="宋体" w:eastAsia="宋体" w:cs="宋体"/>
          <w:color w:val="000000"/>
          <w:spacing w:val="-2"/>
          <w:sz w:val="24"/>
          <w:szCs w:val="24"/>
        </w:rPr>
        <w:t>人，营业收入为</w:t>
      </w:r>
      <w:r>
        <w:rPr>
          <w:rFonts w:hint="eastAsia" w:ascii="宋体" w:hAnsi="宋体" w:eastAsia="宋体" w:cs="宋体"/>
          <w:color w:val="000000"/>
          <w:spacing w:val="-2"/>
          <w:sz w:val="24"/>
          <w:szCs w:val="24"/>
          <w:u w:val="single"/>
        </w:rPr>
        <w:tab/>
      </w:r>
      <w:r>
        <w:rPr>
          <w:rFonts w:hint="eastAsia" w:ascii="宋体" w:hAnsi="宋体" w:eastAsia="宋体" w:cs="宋体"/>
          <w:color w:val="000000"/>
          <w:spacing w:val="-2"/>
          <w:sz w:val="24"/>
          <w:szCs w:val="24"/>
        </w:rPr>
        <w:t>万元，资产总额为</w:t>
      </w:r>
      <w:r>
        <w:rPr>
          <w:rFonts w:hint="eastAsia" w:ascii="宋体" w:hAnsi="宋体" w:eastAsia="宋体" w:cs="宋体"/>
          <w:color w:val="000000"/>
          <w:spacing w:val="-2"/>
          <w:sz w:val="24"/>
          <w:szCs w:val="24"/>
          <w:u w:val="single"/>
        </w:rPr>
        <w:t xml:space="preserve">   </w:t>
      </w:r>
      <w:r>
        <w:rPr>
          <w:rFonts w:hint="eastAsia" w:ascii="宋体" w:hAnsi="宋体" w:eastAsia="宋体" w:cs="宋体"/>
          <w:color w:val="000000"/>
          <w:spacing w:val="-2"/>
          <w:sz w:val="24"/>
          <w:szCs w:val="24"/>
        </w:rPr>
        <w:t>万元，属于（</w:t>
      </w:r>
      <w:r>
        <w:rPr>
          <w:rFonts w:hint="eastAsia" w:ascii="宋体" w:hAnsi="宋体" w:eastAsia="宋体" w:cs="宋体"/>
          <w:color w:val="000000"/>
          <w:spacing w:val="-2"/>
          <w:sz w:val="24"/>
          <w:szCs w:val="24"/>
          <w:u w:val="single"/>
        </w:rPr>
        <w:t>中型企业、小型企业、微型企业</w:t>
      </w:r>
      <w:r>
        <w:rPr>
          <w:rFonts w:hint="eastAsia" w:ascii="宋体" w:hAnsi="宋体" w:eastAsia="宋体" w:cs="宋体"/>
          <w:color w:val="000000"/>
          <w:spacing w:val="-2"/>
          <w:sz w:val="24"/>
          <w:szCs w:val="24"/>
        </w:rPr>
        <w:t>）；</w:t>
      </w:r>
    </w:p>
    <w:p>
      <w:pPr>
        <w:pStyle w:val="2"/>
        <w:tabs>
          <w:tab w:val="left" w:pos="562"/>
          <w:tab w:val="left" w:pos="3372"/>
          <w:tab w:val="left" w:pos="3653"/>
        </w:tabs>
        <w:spacing w:line="240" w:lineRule="auto"/>
        <w:ind w:firstLine="472" w:firstLineChars="200"/>
        <w:outlineLvl w:val="9"/>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w:t>
      </w:r>
    </w:p>
    <w:p>
      <w:pPr>
        <w:pStyle w:val="2"/>
        <w:tabs>
          <w:tab w:val="left" w:pos="562"/>
          <w:tab w:val="left" w:pos="3372"/>
          <w:tab w:val="left" w:pos="3653"/>
        </w:tabs>
        <w:spacing w:line="240" w:lineRule="auto"/>
        <w:ind w:firstLine="472" w:firstLineChars="200"/>
        <w:outlineLvl w:val="9"/>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240" w:lineRule="auto"/>
        <w:ind w:firstLine="472" w:firstLineChars="200"/>
        <w:outlineLvl w:val="9"/>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本企业对上述声明内容的真实性负责。如有虚假，将依法承担相应责任。</w:t>
      </w:r>
    </w:p>
    <w:p>
      <w:pPr>
        <w:pStyle w:val="2"/>
        <w:tabs>
          <w:tab w:val="left" w:pos="562"/>
          <w:tab w:val="left" w:pos="3372"/>
          <w:tab w:val="left" w:pos="3653"/>
        </w:tabs>
        <w:spacing w:line="240" w:lineRule="auto"/>
        <w:ind w:firstLine="472" w:firstLineChars="200"/>
        <w:outlineLvl w:val="9"/>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240" w:lineRule="auto"/>
        <w:ind w:left="4200" w:leftChars="2000"/>
        <w:outlineLvl w:val="9"/>
        <w:rPr>
          <w:rFonts w:hint="eastAsia" w:ascii="宋体" w:hAnsi="宋体" w:eastAsia="宋体" w:cs="宋体"/>
          <w:color w:val="000000"/>
          <w:sz w:val="24"/>
          <w:szCs w:val="24"/>
        </w:rPr>
      </w:pPr>
      <w:r>
        <w:rPr>
          <w:rFonts w:hint="eastAsia" w:ascii="宋体" w:hAnsi="宋体" w:eastAsia="宋体" w:cs="宋体"/>
          <w:color w:val="000000"/>
          <w:spacing w:val="-2"/>
          <w:sz w:val="24"/>
          <w:szCs w:val="24"/>
        </w:rPr>
        <w:t>企业名称（盖章）日期：</w:t>
      </w:r>
    </w:p>
    <w:p>
      <w:pPr>
        <w:pStyle w:val="2"/>
        <w:tabs>
          <w:tab w:val="left" w:pos="562"/>
          <w:tab w:val="left" w:pos="3372"/>
          <w:tab w:val="left" w:pos="3653"/>
        </w:tabs>
        <w:spacing w:line="240" w:lineRule="auto"/>
        <w:jc w:val="center"/>
        <w:outlineLvl w:val="9"/>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从业人员、营业收入、资产总额填报上一年度数据，无上一年度数据的新成立企业可不填报。</w:t>
      </w:r>
    </w:p>
    <w:p>
      <w:pPr>
        <w:spacing w:before="0" w:after="312" w:afterLines="100" w:line="24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br w:type="page"/>
      </w:r>
      <w:r>
        <w:rPr>
          <w:rFonts w:hint="eastAsia" w:ascii="宋体" w:hAnsi="宋体" w:eastAsia="宋体" w:cs="宋体"/>
          <w:color w:val="000000"/>
          <w:sz w:val="24"/>
          <w:szCs w:val="24"/>
        </w:rPr>
        <w:t>中小企业声明函（工程、服务）</w:t>
      </w:r>
    </w:p>
    <w:p>
      <w:pPr>
        <w:pStyle w:val="2"/>
        <w:tabs>
          <w:tab w:val="left" w:pos="562"/>
          <w:tab w:val="left" w:pos="3372"/>
          <w:tab w:val="left" w:pos="3653"/>
        </w:tabs>
        <w:spacing w:line="240" w:lineRule="auto"/>
        <w:ind w:firstLine="472" w:firstLineChars="200"/>
        <w:outlineLvl w:val="9"/>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本公司（联合体）郑重声明，根据《政府采购促进中小企业发展管理办法》（财库﹝2020﹞46 号）的规定，本公司（联合体）参加（</w:t>
      </w:r>
      <w:r>
        <w:rPr>
          <w:rFonts w:hint="eastAsia" w:ascii="宋体" w:hAnsi="宋体" w:eastAsia="宋体" w:cs="宋体"/>
          <w:color w:val="000000"/>
          <w:spacing w:val="-2"/>
          <w:sz w:val="24"/>
          <w:szCs w:val="24"/>
          <w:u w:val="single"/>
        </w:rPr>
        <w:t>单位名称</w:t>
      </w:r>
      <w:r>
        <w:rPr>
          <w:rFonts w:hint="eastAsia" w:ascii="宋体" w:hAnsi="宋体" w:eastAsia="宋体" w:cs="宋体"/>
          <w:color w:val="000000"/>
          <w:spacing w:val="-2"/>
          <w:sz w:val="24"/>
          <w:szCs w:val="24"/>
        </w:rPr>
        <w:t>）的（</w:t>
      </w:r>
      <w:r>
        <w:rPr>
          <w:rFonts w:hint="eastAsia" w:ascii="宋体" w:hAnsi="宋体" w:eastAsia="宋体" w:cs="宋体"/>
          <w:color w:val="000000"/>
          <w:spacing w:val="-2"/>
          <w:sz w:val="24"/>
          <w:szCs w:val="24"/>
          <w:u w:val="single"/>
        </w:rPr>
        <w:t>项目名称</w:t>
      </w:r>
      <w:r>
        <w:rPr>
          <w:rFonts w:hint="eastAsia" w:ascii="宋体" w:hAnsi="宋体" w:eastAsia="宋体" w:cs="宋体"/>
          <w:color w:val="000000"/>
          <w:spacing w:val="-2"/>
          <w:sz w:val="24"/>
          <w:szCs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240" w:lineRule="auto"/>
        <w:ind w:firstLine="472" w:firstLineChars="200"/>
        <w:outlineLvl w:val="9"/>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1、（</w:t>
      </w:r>
      <w:r>
        <w:rPr>
          <w:rFonts w:hint="eastAsia" w:ascii="宋体" w:hAnsi="宋体" w:eastAsia="宋体" w:cs="宋体"/>
          <w:color w:val="000000"/>
          <w:spacing w:val="-2"/>
          <w:sz w:val="24"/>
          <w:szCs w:val="24"/>
          <w:u w:val="single"/>
        </w:rPr>
        <w:t>标的名称</w:t>
      </w:r>
      <w:r>
        <w:rPr>
          <w:rFonts w:hint="eastAsia" w:ascii="宋体" w:hAnsi="宋体" w:eastAsia="宋体" w:cs="宋体"/>
          <w:color w:val="000000"/>
          <w:spacing w:val="-2"/>
          <w:sz w:val="24"/>
          <w:szCs w:val="24"/>
        </w:rPr>
        <w:t>），属于（</w:t>
      </w:r>
      <w:r>
        <w:rPr>
          <w:rFonts w:hint="eastAsia" w:ascii="宋体" w:hAnsi="宋体" w:eastAsia="宋体" w:cs="宋体"/>
          <w:color w:val="000000"/>
          <w:spacing w:val="-2"/>
          <w:sz w:val="24"/>
          <w:szCs w:val="24"/>
          <w:u w:val="single"/>
        </w:rPr>
        <w:t>采购文件中明确的所属行业</w:t>
      </w:r>
      <w:r>
        <w:rPr>
          <w:rFonts w:hint="eastAsia" w:ascii="宋体" w:hAnsi="宋体" w:eastAsia="宋体" w:cs="宋体"/>
          <w:color w:val="000000"/>
          <w:spacing w:val="-2"/>
          <w:sz w:val="24"/>
          <w:szCs w:val="24"/>
        </w:rPr>
        <w:t>）；承建（承接）企业为（</w:t>
      </w:r>
      <w:r>
        <w:rPr>
          <w:rFonts w:hint="eastAsia" w:ascii="宋体" w:hAnsi="宋体" w:eastAsia="宋体" w:cs="宋体"/>
          <w:color w:val="000000"/>
          <w:spacing w:val="-2"/>
          <w:sz w:val="24"/>
          <w:szCs w:val="24"/>
          <w:u w:val="single"/>
        </w:rPr>
        <w:t>企业名称</w:t>
      </w:r>
      <w:r>
        <w:rPr>
          <w:rFonts w:hint="eastAsia" w:ascii="宋体" w:hAnsi="宋体" w:eastAsia="宋体" w:cs="宋体"/>
          <w:color w:val="000000"/>
          <w:spacing w:val="-2"/>
          <w:sz w:val="24"/>
          <w:szCs w:val="24"/>
        </w:rPr>
        <w:t>），从业人员</w:t>
      </w:r>
      <w:r>
        <w:rPr>
          <w:rFonts w:hint="eastAsia" w:ascii="宋体" w:hAnsi="宋体" w:eastAsia="宋体" w:cs="宋体"/>
          <w:color w:val="000000"/>
          <w:spacing w:val="-2"/>
          <w:sz w:val="24"/>
          <w:szCs w:val="24"/>
          <w:u w:val="single"/>
        </w:rPr>
        <w:tab/>
      </w:r>
      <w:r>
        <w:rPr>
          <w:rFonts w:hint="eastAsia" w:ascii="宋体" w:hAnsi="宋体" w:eastAsia="宋体" w:cs="宋体"/>
          <w:color w:val="000000"/>
          <w:spacing w:val="-2"/>
          <w:sz w:val="24"/>
          <w:szCs w:val="24"/>
        </w:rPr>
        <w:t>人，营业收入为</w:t>
      </w:r>
      <w:r>
        <w:rPr>
          <w:rFonts w:hint="eastAsia" w:ascii="宋体" w:hAnsi="宋体" w:eastAsia="宋体" w:cs="宋体"/>
          <w:color w:val="000000"/>
          <w:spacing w:val="-2"/>
          <w:sz w:val="24"/>
          <w:szCs w:val="24"/>
          <w:u w:val="single"/>
        </w:rPr>
        <w:tab/>
      </w:r>
      <w:r>
        <w:rPr>
          <w:rFonts w:hint="eastAsia" w:ascii="宋体" w:hAnsi="宋体" w:eastAsia="宋体" w:cs="宋体"/>
          <w:color w:val="000000"/>
          <w:spacing w:val="-2"/>
          <w:sz w:val="24"/>
          <w:szCs w:val="24"/>
        </w:rPr>
        <w:t>万元，资产总额为</w:t>
      </w:r>
      <w:r>
        <w:rPr>
          <w:rFonts w:hint="eastAsia" w:ascii="宋体" w:hAnsi="宋体" w:eastAsia="宋体" w:cs="宋体"/>
          <w:color w:val="000000"/>
          <w:spacing w:val="-2"/>
          <w:sz w:val="24"/>
          <w:szCs w:val="24"/>
          <w:u w:val="single"/>
        </w:rPr>
        <w:tab/>
      </w:r>
      <w:r>
        <w:rPr>
          <w:rFonts w:hint="eastAsia" w:ascii="宋体" w:hAnsi="宋体" w:eastAsia="宋体" w:cs="宋体"/>
          <w:color w:val="000000"/>
          <w:spacing w:val="-2"/>
          <w:sz w:val="24"/>
          <w:szCs w:val="24"/>
        </w:rPr>
        <w:t>万元，属于（</w:t>
      </w:r>
      <w:r>
        <w:rPr>
          <w:rFonts w:hint="eastAsia" w:ascii="宋体" w:hAnsi="宋体" w:eastAsia="宋体" w:cs="宋体"/>
          <w:color w:val="000000"/>
          <w:spacing w:val="-2"/>
          <w:sz w:val="24"/>
          <w:szCs w:val="24"/>
          <w:u w:val="single"/>
        </w:rPr>
        <w:t>中型企业、小型企业、微型企业</w:t>
      </w:r>
      <w:r>
        <w:rPr>
          <w:rFonts w:hint="eastAsia" w:ascii="宋体" w:hAnsi="宋体" w:eastAsia="宋体" w:cs="宋体"/>
          <w:color w:val="000000"/>
          <w:spacing w:val="-2"/>
          <w:sz w:val="24"/>
          <w:szCs w:val="24"/>
        </w:rPr>
        <w:t>）。</w:t>
      </w:r>
    </w:p>
    <w:p>
      <w:pPr>
        <w:pStyle w:val="2"/>
        <w:tabs>
          <w:tab w:val="left" w:pos="562"/>
          <w:tab w:val="left" w:pos="3372"/>
          <w:tab w:val="left" w:pos="3653"/>
        </w:tabs>
        <w:spacing w:line="240" w:lineRule="auto"/>
        <w:ind w:firstLine="472" w:firstLineChars="200"/>
        <w:outlineLvl w:val="9"/>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2、（</w:t>
      </w:r>
      <w:r>
        <w:rPr>
          <w:rFonts w:hint="eastAsia" w:ascii="宋体" w:hAnsi="宋体" w:eastAsia="宋体" w:cs="宋体"/>
          <w:color w:val="000000"/>
          <w:spacing w:val="-2"/>
          <w:sz w:val="24"/>
          <w:szCs w:val="24"/>
          <w:u w:val="single"/>
        </w:rPr>
        <w:t>标的名称</w:t>
      </w:r>
      <w:r>
        <w:rPr>
          <w:rFonts w:hint="eastAsia" w:ascii="宋体" w:hAnsi="宋体" w:eastAsia="宋体" w:cs="宋体"/>
          <w:color w:val="000000"/>
          <w:spacing w:val="-2"/>
          <w:sz w:val="24"/>
          <w:szCs w:val="24"/>
        </w:rPr>
        <w:t>），属于（</w:t>
      </w:r>
      <w:r>
        <w:rPr>
          <w:rFonts w:hint="eastAsia" w:ascii="宋体" w:hAnsi="宋体" w:eastAsia="宋体" w:cs="宋体"/>
          <w:color w:val="000000"/>
          <w:spacing w:val="-2"/>
          <w:sz w:val="24"/>
          <w:szCs w:val="24"/>
          <w:u w:val="single"/>
        </w:rPr>
        <w:t>采购文件中明确的所属行业</w:t>
      </w:r>
      <w:r>
        <w:rPr>
          <w:rFonts w:hint="eastAsia" w:ascii="宋体" w:hAnsi="宋体" w:eastAsia="宋体" w:cs="宋体"/>
          <w:color w:val="000000"/>
          <w:spacing w:val="-2"/>
          <w:sz w:val="24"/>
          <w:szCs w:val="24"/>
        </w:rPr>
        <w:t>） ；承建（承接）企业为（</w:t>
      </w:r>
      <w:r>
        <w:rPr>
          <w:rFonts w:hint="eastAsia" w:ascii="宋体" w:hAnsi="宋体" w:eastAsia="宋体" w:cs="宋体"/>
          <w:color w:val="000000"/>
          <w:spacing w:val="-2"/>
          <w:sz w:val="24"/>
          <w:szCs w:val="24"/>
          <w:u w:val="single"/>
        </w:rPr>
        <w:t>企业名称</w:t>
      </w:r>
      <w:r>
        <w:rPr>
          <w:rFonts w:hint="eastAsia" w:ascii="宋体" w:hAnsi="宋体" w:eastAsia="宋体" w:cs="宋体"/>
          <w:color w:val="000000"/>
          <w:spacing w:val="-2"/>
          <w:sz w:val="24"/>
          <w:szCs w:val="24"/>
        </w:rPr>
        <w:t>），从业人员</w:t>
      </w:r>
      <w:r>
        <w:rPr>
          <w:rFonts w:hint="eastAsia" w:ascii="宋体" w:hAnsi="宋体" w:eastAsia="宋体" w:cs="宋体"/>
          <w:color w:val="000000"/>
          <w:spacing w:val="-2"/>
          <w:sz w:val="24"/>
          <w:szCs w:val="24"/>
          <w:u w:val="single"/>
        </w:rPr>
        <w:tab/>
      </w:r>
      <w:r>
        <w:rPr>
          <w:rFonts w:hint="eastAsia" w:ascii="宋体" w:hAnsi="宋体" w:eastAsia="宋体" w:cs="宋体"/>
          <w:color w:val="000000"/>
          <w:spacing w:val="-2"/>
          <w:sz w:val="24"/>
          <w:szCs w:val="24"/>
        </w:rPr>
        <w:t>人，营业收入为</w:t>
      </w:r>
      <w:r>
        <w:rPr>
          <w:rFonts w:hint="eastAsia" w:ascii="宋体" w:hAnsi="宋体" w:eastAsia="宋体" w:cs="宋体"/>
          <w:color w:val="000000"/>
          <w:spacing w:val="-2"/>
          <w:sz w:val="24"/>
          <w:szCs w:val="24"/>
          <w:u w:val="single"/>
        </w:rPr>
        <w:tab/>
      </w:r>
      <w:r>
        <w:rPr>
          <w:rFonts w:hint="eastAsia" w:ascii="宋体" w:hAnsi="宋体" w:eastAsia="宋体" w:cs="宋体"/>
          <w:color w:val="000000"/>
          <w:spacing w:val="-2"/>
          <w:sz w:val="24"/>
          <w:szCs w:val="24"/>
        </w:rPr>
        <w:t>万元，资产总额为</w:t>
      </w:r>
      <w:r>
        <w:rPr>
          <w:rFonts w:hint="eastAsia" w:ascii="宋体" w:hAnsi="宋体" w:eastAsia="宋体" w:cs="宋体"/>
          <w:color w:val="000000"/>
          <w:spacing w:val="-2"/>
          <w:sz w:val="24"/>
          <w:szCs w:val="24"/>
          <w:u w:val="single"/>
        </w:rPr>
        <w:tab/>
      </w:r>
      <w:r>
        <w:rPr>
          <w:rFonts w:hint="eastAsia" w:ascii="宋体" w:hAnsi="宋体" w:eastAsia="宋体" w:cs="宋体"/>
          <w:color w:val="000000"/>
          <w:spacing w:val="-2"/>
          <w:sz w:val="24"/>
          <w:szCs w:val="24"/>
        </w:rPr>
        <w:t>万元，属于（</w:t>
      </w:r>
      <w:r>
        <w:rPr>
          <w:rFonts w:hint="eastAsia" w:ascii="宋体" w:hAnsi="宋体" w:eastAsia="宋体" w:cs="宋体"/>
          <w:color w:val="000000"/>
          <w:spacing w:val="-2"/>
          <w:sz w:val="24"/>
          <w:szCs w:val="24"/>
          <w:u w:val="single"/>
        </w:rPr>
        <w:t>中型企业、小型企业、微型企业</w:t>
      </w:r>
      <w:r>
        <w:rPr>
          <w:rFonts w:hint="eastAsia" w:ascii="宋体" w:hAnsi="宋体" w:eastAsia="宋体" w:cs="宋体"/>
          <w:color w:val="000000"/>
          <w:spacing w:val="-2"/>
          <w:sz w:val="24"/>
          <w:szCs w:val="24"/>
        </w:rPr>
        <w:t>）；</w:t>
      </w:r>
    </w:p>
    <w:p>
      <w:pPr>
        <w:pStyle w:val="2"/>
        <w:tabs>
          <w:tab w:val="left" w:pos="562"/>
          <w:tab w:val="left" w:pos="3372"/>
          <w:tab w:val="left" w:pos="3653"/>
        </w:tabs>
        <w:spacing w:line="240" w:lineRule="auto"/>
        <w:ind w:firstLine="472" w:firstLineChars="200"/>
        <w:outlineLvl w:val="9"/>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w:t>
      </w:r>
    </w:p>
    <w:p>
      <w:pPr>
        <w:pStyle w:val="2"/>
        <w:tabs>
          <w:tab w:val="left" w:pos="562"/>
          <w:tab w:val="left" w:pos="3372"/>
          <w:tab w:val="left" w:pos="3653"/>
        </w:tabs>
        <w:spacing w:line="240" w:lineRule="auto"/>
        <w:ind w:firstLine="472" w:firstLineChars="200"/>
        <w:outlineLvl w:val="9"/>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240" w:lineRule="auto"/>
        <w:ind w:firstLine="472" w:firstLineChars="200"/>
        <w:outlineLvl w:val="9"/>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本企业对上述声明内容的真实性负责。如有虚假，将依法承担相应责任。</w:t>
      </w:r>
    </w:p>
    <w:p>
      <w:pPr>
        <w:pStyle w:val="2"/>
        <w:tabs>
          <w:tab w:val="left" w:pos="562"/>
          <w:tab w:val="left" w:pos="3372"/>
          <w:tab w:val="left" w:pos="3653"/>
        </w:tabs>
        <w:spacing w:line="240" w:lineRule="auto"/>
        <w:ind w:firstLine="472" w:firstLineChars="200"/>
        <w:outlineLvl w:val="9"/>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240" w:lineRule="auto"/>
        <w:ind w:left="4200" w:leftChars="2000"/>
        <w:outlineLvl w:val="9"/>
        <w:rPr>
          <w:rFonts w:hint="eastAsia" w:ascii="宋体" w:hAnsi="宋体" w:eastAsia="宋体" w:cs="宋体"/>
          <w:color w:val="000000"/>
          <w:spacing w:val="-2"/>
          <w:sz w:val="24"/>
          <w:szCs w:val="24"/>
        </w:rPr>
      </w:pPr>
    </w:p>
    <w:p>
      <w:pPr>
        <w:pStyle w:val="2"/>
        <w:tabs>
          <w:tab w:val="left" w:pos="562"/>
          <w:tab w:val="left" w:pos="3372"/>
          <w:tab w:val="left" w:pos="3653"/>
        </w:tabs>
        <w:spacing w:line="240" w:lineRule="auto"/>
        <w:ind w:left="4200" w:leftChars="2000"/>
        <w:outlineLvl w:val="9"/>
        <w:rPr>
          <w:rFonts w:hint="eastAsia" w:ascii="宋体" w:hAnsi="宋体" w:eastAsia="宋体" w:cs="宋体"/>
          <w:color w:val="000000"/>
          <w:spacing w:val="-2"/>
          <w:sz w:val="24"/>
          <w:szCs w:val="24"/>
        </w:rPr>
      </w:pPr>
      <w:r>
        <w:rPr>
          <w:rFonts w:hint="eastAsia" w:ascii="宋体" w:hAnsi="宋体" w:eastAsia="宋体" w:cs="宋体"/>
          <w:color w:val="000000"/>
          <w:spacing w:val="-2"/>
          <w:sz w:val="24"/>
          <w:szCs w:val="24"/>
        </w:rPr>
        <w:t>企业名称（盖章）日期：</w:t>
      </w:r>
    </w:p>
    <w:p>
      <w:pPr>
        <w:pStyle w:val="2"/>
        <w:tabs>
          <w:tab w:val="left" w:pos="562"/>
          <w:tab w:val="left" w:pos="3372"/>
          <w:tab w:val="left" w:pos="3653"/>
        </w:tabs>
        <w:spacing w:line="240" w:lineRule="auto"/>
        <w:outlineLvl w:val="9"/>
        <w:rPr>
          <w:rFonts w:hint="eastAsia" w:ascii="宋体" w:hAnsi="宋体" w:eastAsia="宋体" w:cs="宋体"/>
          <w:color w:val="000000"/>
          <w:spacing w:val="-2"/>
          <w:sz w:val="24"/>
          <w:szCs w:val="24"/>
        </w:rPr>
      </w:pPr>
    </w:p>
    <w:p>
      <w:pPr>
        <w:pStyle w:val="2"/>
        <w:tabs>
          <w:tab w:val="left" w:pos="562"/>
          <w:tab w:val="left" w:pos="3372"/>
          <w:tab w:val="left" w:pos="3653"/>
        </w:tabs>
        <w:spacing w:before="30" w:line="240" w:lineRule="auto"/>
        <w:outlineLvl w:val="9"/>
        <w:rPr>
          <w:rFonts w:hint="eastAsia" w:ascii="宋体" w:hAnsi="宋体" w:eastAsia="宋体" w:cs="宋体"/>
          <w:color w:val="000000"/>
          <w:sz w:val="24"/>
          <w:szCs w:val="24"/>
        </w:rPr>
      </w:pPr>
      <w:r>
        <w:rPr>
          <w:rFonts w:hint="eastAsia" w:ascii="宋体" w:hAnsi="宋体" w:eastAsia="宋体" w:cs="宋体"/>
          <w:color w:val="000000"/>
          <w:spacing w:val="-2"/>
          <w:sz w:val="24"/>
          <w:szCs w:val="24"/>
        </w:rPr>
        <w:t>从业人员、营业收入、资产总额填报上一年度数据，无上一年度数据的新成立企业可不填报。</w:t>
      </w:r>
      <w:r>
        <w:rPr>
          <w:rFonts w:hint="eastAsia" w:ascii="宋体" w:hAnsi="宋体" w:eastAsia="宋体" w:cs="宋体"/>
          <w:color w:val="000000"/>
          <w:sz w:val="24"/>
          <w:szCs w:val="24"/>
        </w:rPr>
        <w:br w:type="page"/>
      </w:r>
      <w:r>
        <w:rPr>
          <w:rFonts w:hint="eastAsia" w:ascii="宋体" w:hAnsi="宋体" w:eastAsia="宋体" w:cs="宋体"/>
          <w:b/>
          <w:bCs/>
          <w:color w:val="000000"/>
          <w:sz w:val="24"/>
          <w:szCs w:val="24"/>
        </w:rPr>
        <w:t>附 2</w:t>
      </w:r>
    </w:p>
    <w:p>
      <w:pPr>
        <w:spacing w:line="240" w:lineRule="auto"/>
        <w:jc w:val="center"/>
        <w:outlineLvl w:val="9"/>
        <w:rPr>
          <w:rFonts w:hint="eastAsia" w:ascii="宋体" w:hAnsi="宋体" w:eastAsia="宋体" w:cs="宋体"/>
          <w:b/>
          <w:color w:val="000000"/>
          <w:sz w:val="24"/>
          <w:szCs w:val="24"/>
        </w:rPr>
      </w:pPr>
      <w:r>
        <w:rPr>
          <w:rFonts w:hint="eastAsia" w:ascii="宋体" w:hAnsi="宋体" w:eastAsia="宋体" w:cs="宋体"/>
          <w:color w:val="000000"/>
          <w:spacing w:val="-3"/>
          <w:sz w:val="24"/>
          <w:szCs w:val="24"/>
          <w:u w:val="single" w:color="000000"/>
        </w:rPr>
        <w:t>（单位名称）</w:t>
      </w:r>
      <w:r>
        <w:rPr>
          <w:rFonts w:hint="eastAsia" w:ascii="宋体" w:hAnsi="宋体" w:eastAsia="宋体" w:cs="宋体"/>
          <w:color w:val="000000"/>
          <w:spacing w:val="-29"/>
          <w:sz w:val="24"/>
          <w:szCs w:val="24"/>
        </w:rPr>
        <w:t>××</w:t>
      </w:r>
      <w:r>
        <w:rPr>
          <w:rFonts w:hint="eastAsia" w:ascii="宋体" w:hAnsi="宋体" w:eastAsia="宋体" w:cs="宋体"/>
          <w:b/>
          <w:color w:val="000000"/>
          <w:sz w:val="24"/>
          <w:szCs w:val="24"/>
        </w:rPr>
        <w:t>年面向中小企业预留项目执行情况公告</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根据《政府采购促进中小企业发展管理办法》（财库﹝2020﹞46</w:t>
      </w:r>
      <w:r>
        <w:rPr>
          <w:rFonts w:hint="eastAsia" w:ascii="宋体" w:hAnsi="宋体" w:eastAsia="宋体" w:cs="宋体"/>
          <w:color w:val="000000"/>
          <w:spacing w:val="-47"/>
          <w:sz w:val="24"/>
          <w:szCs w:val="24"/>
        </w:rPr>
        <w:t xml:space="preserve"> 号</w:t>
      </w:r>
      <w:r>
        <w:rPr>
          <w:rFonts w:hint="eastAsia" w:ascii="宋体" w:hAnsi="宋体" w:eastAsia="宋体" w:cs="宋体"/>
          <w:color w:val="000000"/>
          <w:spacing w:val="-22"/>
          <w:sz w:val="24"/>
          <w:szCs w:val="24"/>
        </w:rPr>
        <w:t>）</w:t>
      </w:r>
      <w:r>
        <w:rPr>
          <w:rFonts w:hint="eastAsia" w:ascii="宋体" w:hAnsi="宋体" w:eastAsia="宋体" w:cs="宋体"/>
          <w:color w:val="000000"/>
          <w:spacing w:val="-7"/>
          <w:sz w:val="24"/>
          <w:szCs w:val="24"/>
        </w:rPr>
        <w:t>要求，现对本部门</w:t>
      </w:r>
      <w:r>
        <w:rPr>
          <w:rFonts w:hint="eastAsia" w:ascii="宋体" w:hAnsi="宋体" w:eastAsia="宋体" w:cs="宋体"/>
          <w:color w:val="000000"/>
          <w:spacing w:val="-3"/>
          <w:sz w:val="24"/>
          <w:szCs w:val="24"/>
        </w:rPr>
        <w:t>（</w:t>
      </w:r>
      <w:r>
        <w:rPr>
          <w:rFonts w:hint="eastAsia" w:ascii="宋体" w:hAnsi="宋体" w:eastAsia="宋体" w:cs="宋体"/>
          <w:color w:val="000000"/>
          <w:sz w:val="24"/>
          <w:szCs w:val="24"/>
        </w:rPr>
        <w:t>单位</w:t>
      </w:r>
      <w:r>
        <w:rPr>
          <w:rFonts w:hint="eastAsia" w:ascii="宋体" w:hAnsi="宋体" w:eastAsia="宋体" w:cs="宋体"/>
          <w:color w:val="000000"/>
          <w:spacing w:val="-7"/>
          <w:sz w:val="24"/>
          <w:szCs w:val="24"/>
        </w:rPr>
        <w:t>）</w:t>
      </w:r>
      <w:r>
        <w:rPr>
          <w:rFonts w:hint="eastAsia" w:ascii="宋体" w:hAnsi="宋体" w:eastAsia="宋体" w:cs="宋体"/>
          <w:color w:val="000000"/>
          <w:spacing w:val="-4"/>
          <w:sz w:val="24"/>
          <w:szCs w:val="24"/>
        </w:rPr>
        <w:t>××年面向中小企业预留项目执行情况公告如下：</w:t>
      </w:r>
    </w:p>
    <w:p>
      <w:pPr>
        <w:pStyle w:val="2"/>
        <w:tabs>
          <w:tab w:val="left" w:pos="562"/>
          <w:tab w:val="left" w:pos="3372"/>
          <w:tab w:val="left" w:pos="3653"/>
        </w:tabs>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本部门（单位）××年预留项目面向中小企业采购共计××万元，其中，面向小微企业采购××万元，占××%。</w:t>
      </w:r>
    </w:p>
    <w:p>
      <w:pPr>
        <w:pStyle w:val="2"/>
        <w:tabs>
          <w:tab w:val="left" w:pos="562"/>
          <w:tab w:val="left" w:pos="3372"/>
          <w:tab w:val="left" w:pos="3653"/>
        </w:tabs>
        <w:spacing w:line="240" w:lineRule="auto"/>
        <w:jc w:val="center"/>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面向中小企业预留项目明细</w:t>
      </w:r>
    </w:p>
    <w:tbl>
      <w:tblPr>
        <w:tblStyle w:val="19"/>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70" w:type="dxa"/>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866" w:type="dxa"/>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项目名称</w:t>
            </w:r>
          </w:p>
        </w:tc>
        <w:tc>
          <w:tcPr>
            <w:tcW w:w="2010" w:type="dxa"/>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预留选项</w:t>
            </w:r>
          </w:p>
        </w:tc>
        <w:tc>
          <w:tcPr>
            <w:tcW w:w="2296" w:type="dxa"/>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面向中小企业采购金额</w:t>
            </w:r>
          </w:p>
        </w:tc>
        <w:tc>
          <w:tcPr>
            <w:tcW w:w="1784" w:type="dxa"/>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70" w:type="dxa"/>
            <w:vMerge w:val="restart"/>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c>
          <w:tcPr>
            <w:tcW w:w="1866" w:type="dxa"/>
            <w:tcBorders>
              <w:bottom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c>
          <w:tcPr>
            <w:tcW w:w="2010" w:type="dxa"/>
            <w:tcBorders>
              <w:bottom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（填写“采购项</w:t>
            </w:r>
          </w:p>
        </w:tc>
        <w:tc>
          <w:tcPr>
            <w:tcW w:w="2296" w:type="dxa"/>
            <w:tcBorders>
              <w:bottom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c>
          <w:tcPr>
            <w:tcW w:w="1784" w:type="dxa"/>
            <w:vMerge w:val="restart"/>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70" w:type="dxa"/>
            <w:vMerge w:val="continue"/>
            <w:tcBorders>
              <w:top w:val="nil"/>
            </w:tcBorders>
            <w:noWrap w:val="0"/>
            <w:vAlign w:val="center"/>
          </w:tcPr>
          <w:p>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c>
          <w:tcPr>
            <w:tcW w:w="1866" w:type="dxa"/>
            <w:tcBorders>
              <w:top w:val="nil"/>
              <w:bottom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c>
          <w:tcPr>
            <w:tcW w:w="2010" w:type="dxa"/>
            <w:tcBorders>
              <w:top w:val="nil"/>
              <w:bottom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目整体预留”、</w:t>
            </w:r>
          </w:p>
        </w:tc>
        <w:tc>
          <w:tcPr>
            <w:tcW w:w="2296" w:type="dxa"/>
            <w:tcBorders>
              <w:top w:val="nil"/>
              <w:bottom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c>
          <w:tcPr>
            <w:tcW w:w="1784" w:type="dxa"/>
            <w:vMerge w:val="continue"/>
            <w:tcBorders>
              <w:top w:val="nil"/>
            </w:tcBorders>
            <w:noWrap w:val="0"/>
            <w:vAlign w:val="center"/>
          </w:tcPr>
          <w:p>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70" w:type="dxa"/>
            <w:vMerge w:val="continue"/>
            <w:tcBorders>
              <w:top w:val="nil"/>
            </w:tcBorders>
            <w:noWrap w:val="0"/>
            <w:vAlign w:val="center"/>
          </w:tcPr>
          <w:p>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c>
          <w:tcPr>
            <w:tcW w:w="1866" w:type="dxa"/>
            <w:tcBorders>
              <w:top w:val="nil"/>
              <w:bottom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c>
          <w:tcPr>
            <w:tcW w:w="2010" w:type="dxa"/>
            <w:tcBorders>
              <w:top w:val="nil"/>
              <w:bottom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“设置专门采购</w:t>
            </w:r>
          </w:p>
        </w:tc>
        <w:tc>
          <w:tcPr>
            <w:tcW w:w="2296" w:type="dxa"/>
            <w:tcBorders>
              <w:top w:val="nil"/>
              <w:bottom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c>
          <w:tcPr>
            <w:tcW w:w="1784" w:type="dxa"/>
            <w:vMerge w:val="continue"/>
            <w:tcBorders>
              <w:top w:val="nil"/>
            </w:tcBorders>
            <w:noWrap w:val="0"/>
            <w:vAlign w:val="center"/>
          </w:tcPr>
          <w:p>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70" w:type="dxa"/>
            <w:vMerge w:val="continue"/>
            <w:tcBorders>
              <w:top w:val="nil"/>
            </w:tcBorders>
            <w:noWrap w:val="0"/>
            <w:vAlign w:val="center"/>
          </w:tcPr>
          <w:p>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c>
          <w:tcPr>
            <w:tcW w:w="1866" w:type="dxa"/>
            <w:tcBorders>
              <w:top w:val="nil"/>
              <w:bottom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（填写集中采</w:t>
            </w:r>
          </w:p>
        </w:tc>
        <w:tc>
          <w:tcPr>
            <w:tcW w:w="2010" w:type="dxa"/>
            <w:tcBorders>
              <w:top w:val="nil"/>
              <w:bottom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包”、“要求以</w:t>
            </w:r>
          </w:p>
        </w:tc>
        <w:tc>
          <w:tcPr>
            <w:tcW w:w="2296" w:type="dxa"/>
            <w:tcBorders>
              <w:top w:val="nil"/>
              <w:bottom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c>
          <w:tcPr>
            <w:tcW w:w="1784" w:type="dxa"/>
            <w:vMerge w:val="continue"/>
            <w:tcBorders>
              <w:top w:val="nil"/>
            </w:tcBorders>
            <w:noWrap w:val="0"/>
            <w:vAlign w:val="center"/>
          </w:tcPr>
          <w:p>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70" w:type="dxa"/>
            <w:vMerge w:val="continue"/>
            <w:tcBorders>
              <w:top w:val="nil"/>
            </w:tcBorders>
            <w:noWrap w:val="0"/>
            <w:vAlign w:val="center"/>
          </w:tcPr>
          <w:p>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c>
          <w:tcPr>
            <w:tcW w:w="1866" w:type="dxa"/>
            <w:tcBorders>
              <w:top w:val="nil"/>
              <w:bottom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购目录以内或</w:t>
            </w:r>
          </w:p>
        </w:tc>
        <w:tc>
          <w:tcPr>
            <w:tcW w:w="2010" w:type="dxa"/>
            <w:tcBorders>
              <w:top w:val="nil"/>
              <w:bottom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联合体形式参</w:t>
            </w:r>
          </w:p>
        </w:tc>
        <w:tc>
          <w:tcPr>
            <w:tcW w:w="2296" w:type="dxa"/>
            <w:tcBorders>
              <w:top w:val="nil"/>
              <w:bottom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（精确到万元）</w:t>
            </w:r>
          </w:p>
        </w:tc>
        <w:tc>
          <w:tcPr>
            <w:tcW w:w="1784" w:type="dxa"/>
            <w:vMerge w:val="continue"/>
            <w:tcBorders>
              <w:top w:val="nil"/>
            </w:tcBorders>
            <w:noWrap w:val="0"/>
            <w:vAlign w:val="center"/>
          </w:tcPr>
          <w:p>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70" w:type="dxa"/>
            <w:vMerge w:val="continue"/>
            <w:tcBorders>
              <w:top w:val="nil"/>
            </w:tcBorders>
            <w:noWrap w:val="0"/>
            <w:vAlign w:val="center"/>
          </w:tcPr>
          <w:p>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c>
          <w:tcPr>
            <w:tcW w:w="1866" w:type="dxa"/>
            <w:tcBorders>
              <w:top w:val="nil"/>
              <w:bottom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者采购限额标</w:t>
            </w:r>
          </w:p>
        </w:tc>
        <w:tc>
          <w:tcPr>
            <w:tcW w:w="2010" w:type="dxa"/>
            <w:tcBorders>
              <w:top w:val="nil"/>
              <w:bottom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加”或者“要求</w:t>
            </w:r>
          </w:p>
        </w:tc>
        <w:tc>
          <w:tcPr>
            <w:tcW w:w="2296" w:type="dxa"/>
            <w:tcBorders>
              <w:top w:val="nil"/>
              <w:bottom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c>
          <w:tcPr>
            <w:tcW w:w="1784" w:type="dxa"/>
            <w:vMerge w:val="continue"/>
            <w:tcBorders>
              <w:top w:val="nil"/>
            </w:tcBorders>
            <w:noWrap w:val="0"/>
            <w:vAlign w:val="center"/>
          </w:tcPr>
          <w:p>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70" w:type="dxa"/>
            <w:vMerge w:val="continue"/>
            <w:tcBorders>
              <w:top w:val="nil"/>
            </w:tcBorders>
            <w:noWrap w:val="0"/>
            <w:vAlign w:val="center"/>
          </w:tcPr>
          <w:p>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c>
          <w:tcPr>
            <w:tcW w:w="1866" w:type="dxa"/>
            <w:tcBorders>
              <w:top w:val="nil"/>
              <w:bottom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准以上的采购项目</w:t>
            </w:r>
          </w:p>
        </w:tc>
        <w:tc>
          <w:tcPr>
            <w:tcW w:w="2010" w:type="dxa"/>
            <w:tcBorders>
              <w:top w:val="nil"/>
              <w:bottom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合同分包”，除</w:t>
            </w:r>
          </w:p>
        </w:tc>
        <w:tc>
          <w:tcPr>
            <w:tcW w:w="2296" w:type="dxa"/>
            <w:tcBorders>
              <w:top w:val="nil"/>
              <w:bottom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c>
          <w:tcPr>
            <w:tcW w:w="1784" w:type="dxa"/>
            <w:vMerge w:val="continue"/>
            <w:tcBorders>
              <w:top w:val="nil"/>
            </w:tcBorders>
            <w:noWrap w:val="0"/>
            <w:vAlign w:val="center"/>
          </w:tcPr>
          <w:p>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70" w:type="dxa"/>
            <w:vMerge w:val="continue"/>
            <w:tcBorders>
              <w:top w:val="nil"/>
            </w:tcBorders>
            <w:noWrap w:val="0"/>
            <w:vAlign w:val="center"/>
          </w:tcPr>
          <w:p>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c>
          <w:tcPr>
            <w:tcW w:w="1866" w:type="dxa"/>
            <w:tcBorders>
              <w:top w:val="nil"/>
              <w:bottom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c>
          <w:tcPr>
            <w:tcW w:w="2010" w:type="dxa"/>
            <w:tcBorders>
              <w:top w:val="nil"/>
              <w:bottom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“采购项目全部</w:t>
            </w:r>
          </w:p>
        </w:tc>
        <w:tc>
          <w:tcPr>
            <w:tcW w:w="2296" w:type="dxa"/>
            <w:tcBorders>
              <w:top w:val="nil"/>
              <w:bottom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c>
          <w:tcPr>
            <w:tcW w:w="1784" w:type="dxa"/>
            <w:vMerge w:val="continue"/>
            <w:tcBorders>
              <w:top w:val="nil"/>
            </w:tcBorders>
            <w:noWrap w:val="0"/>
            <w:vAlign w:val="center"/>
          </w:tcPr>
          <w:p>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70" w:type="dxa"/>
            <w:vMerge w:val="continue"/>
            <w:tcBorders>
              <w:top w:val="nil"/>
            </w:tcBorders>
            <w:noWrap w:val="0"/>
            <w:vAlign w:val="center"/>
          </w:tcPr>
          <w:p>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c>
          <w:tcPr>
            <w:tcW w:w="1866" w:type="dxa"/>
            <w:tcBorders>
              <w:top w:val="nil"/>
              <w:bottom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c>
          <w:tcPr>
            <w:tcW w:w="2010" w:type="dxa"/>
            <w:tcBorders>
              <w:top w:val="nil"/>
              <w:bottom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预留”外，还应</w:t>
            </w:r>
          </w:p>
        </w:tc>
        <w:tc>
          <w:tcPr>
            <w:tcW w:w="2296" w:type="dxa"/>
            <w:tcBorders>
              <w:top w:val="nil"/>
              <w:bottom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c>
          <w:tcPr>
            <w:tcW w:w="1784" w:type="dxa"/>
            <w:vMerge w:val="continue"/>
            <w:tcBorders>
              <w:top w:val="nil"/>
            </w:tcBorders>
            <w:noWrap w:val="0"/>
            <w:vAlign w:val="center"/>
          </w:tcPr>
          <w:p>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70" w:type="dxa"/>
            <w:vMerge w:val="continue"/>
            <w:tcBorders>
              <w:top w:val="nil"/>
            </w:tcBorders>
            <w:noWrap w:val="0"/>
            <w:vAlign w:val="center"/>
          </w:tcPr>
          <w:p>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c>
          <w:tcPr>
            <w:tcW w:w="1866" w:type="dxa"/>
            <w:tcBorders>
              <w:top w:val="nil"/>
              <w:bottom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c>
          <w:tcPr>
            <w:tcW w:w="2010" w:type="dxa"/>
            <w:tcBorders>
              <w:top w:val="nil"/>
              <w:bottom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当填写预留给中</w:t>
            </w:r>
          </w:p>
        </w:tc>
        <w:tc>
          <w:tcPr>
            <w:tcW w:w="2296" w:type="dxa"/>
            <w:tcBorders>
              <w:top w:val="nil"/>
              <w:bottom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c>
          <w:tcPr>
            <w:tcW w:w="1784" w:type="dxa"/>
            <w:vMerge w:val="continue"/>
            <w:tcBorders>
              <w:top w:val="nil"/>
            </w:tcBorders>
            <w:noWrap w:val="0"/>
            <w:vAlign w:val="center"/>
          </w:tcPr>
          <w:p>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70" w:type="dxa"/>
            <w:vMerge w:val="continue"/>
            <w:tcBorders>
              <w:top w:val="nil"/>
            </w:tcBorders>
            <w:noWrap w:val="0"/>
            <w:vAlign w:val="center"/>
          </w:tcPr>
          <w:p>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c>
          <w:tcPr>
            <w:tcW w:w="1866" w:type="dxa"/>
            <w:tcBorders>
              <w:top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c>
          <w:tcPr>
            <w:tcW w:w="2010" w:type="dxa"/>
            <w:tcBorders>
              <w:top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小企业的比例）</w:t>
            </w:r>
          </w:p>
        </w:tc>
        <w:tc>
          <w:tcPr>
            <w:tcW w:w="2296" w:type="dxa"/>
            <w:tcBorders>
              <w:top w:val="nil"/>
            </w:tcBorders>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c>
          <w:tcPr>
            <w:tcW w:w="1784" w:type="dxa"/>
            <w:vMerge w:val="continue"/>
            <w:tcBorders>
              <w:top w:val="nil"/>
            </w:tcBorders>
            <w:noWrap w:val="0"/>
            <w:vAlign w:val="center"/>
          </w:tcPr>
          <w:p>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70" w:type="dxa"/>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866" w:type="dxa"/>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010" w:type="dxa"/>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2296" w:type="dxa"/>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784" w:type="dxa"/>
            <w:noWrap w:val="0"/>
            <w:vAlign w:val="center"/>
          </w:tcPr>
          <w:p>
            <w:pPr>
              <w:pStyle w:val="30"/>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bl>
    <w:p>
      <w:pPr>
        <w:pStyle w:val="2"/>
        <w:tabs>
          <w:tab w:val="left" w:pos="562"/>
          <w:tab w:val="left" w:pos="3372"/>
          <w:tab w:val="left" w:pos="3653"/>
        </w:tabs>
        <w:spacing w:before="128" w:line="240" w:lineRule="auto"/>
        <w:ind w:left="4220" w:right="1843"/>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部门（单位）名称： 日期：</w:t>
      </w:r>
    </w:p>
    <w:p>
      <w:pPr>
        <w:pStyle w:val="2"/>
        <w:tabs>
          <w:tab w:val="left" w:pos="562"/>
          <w:tab w:val="left" w:pos="3372"/>
          <w:tab w:val="left" w:pos="3653"/>
        </w:tabs>
        <w:spacing w:line="240" w:lineRule="auto"/>
        <w:outlineLvl w:val="9"/>
        <w:rPr>
          <w:rFonts w:hint="eastAsia" w:ascii="宋体" w:hAnsi="宋体" w:eastAsia="宋体" w:cs="宋体"/>
          <w:color w:val="000000"/>
          <w:sz w:val="24"/>
          <w:szCs w:val="24"/>
        </w:rPr>
      </w:pPr>
    </w:p>
    <w:p>
      <w:pPr>
        <w:pStyle w:val="18"/>
        <w:spacing w:line="240" w:lineRule="auto"/>
        <w:jc w:val="both"/>
        <w:outlineLvl w:val="9"/>
        <w:rPr>
          <w:rFonts w:hint="eastAsia" w:ascii="宋体" w:hAnsi="宋体" w:eastAsia="宋体" w:cs="宋体"/>
          <w:color w:val="000000"/>
          <w:sz w:val="24"/>
          <w:szCs w:val="24"/>
        </w:rPr>
      </w:pPr>
    </w:p>
    <w:p>
      <w:pPr>
        <w:tabs>
          <w:tab w:val="left" w:pos="360"/>
        </w:tabs>
        <w:spacing w:line="240" w:lineRule="auto"/>
        <w:outlineLvl w:val="1"/>
        <w:rPr>
          <w:rFonts w:hint="eastAsia" w:ascii="宋体" w:hAnsi="宋体" w:eastAsia="宋体" w:cs="宋体"/>
          <w:b/>
          <w:bCs/>
          <w:color w:val="000000"/>
          <w:sz w:val="24"/>
          <w:szCs w:val="24"/>
        </w:rPr>
      </w:pPr>
      <w:r>
        <w:rPr>
          <w:rFonts w:hint="eastAsia" w:ascii="宋体" w:hAnsi="宋体" w:eastAsia="宋体" w:cs="宋体"/>
          <w:color w:val="000000"/>
          <w:sz w:val="24"/>
          <w:szCs w:val="24"/>
        </w:rPr>
        <w:br w:type="page"/>
      </w:r>
      <w:r>
        <w:rPr>
          <w:rFonts w:hint="eastAsia" w:ascii="宋体" w:hAnsi="宋体" w:eastAsia="宋体" w:cs="宋体"/>
          <w:b/>
          <w:bCs/>
          <w:color w:val="000000"/>
          <w:sz w:val="24"/>
          <w:szCs w:val="24"/>
        </w:rPr>
        <w:t>2、工业</w:t>
      </w:r>
      <w:r>
        <w:rPr>
          <w:rFonts w:hint="eastAsia" w:ascii="宋体" w:hAnsi="宋体" w:cs="宋体"/>
          <w:b/>
          <w:bCs/>
          <w:color w:val="000000"/>
          <w:sz w:val="24"/>
          <w:szCs w:val="24"/>
          <w:lang w:val="en-US" w:eastAsia="zh-CN"/>
        </w:rPr>
        <w:t>和</w:t>
      </w:r>
      <w:r>
        <w:rPr>
          <w:rFonts w:hint="eastAsia" w:ascii="宋体" w:hAnsi="宋体" w:eastAsia="宋体" w:cs="宋体"/>
          <w:b/>
          <w:bCs/>
          <w:color w:val="000000"/>
          <w:sz w:val="24"/>
          <w:szCs w:val="24"/>
        </w:rPr>
        <w:t>信息化部、国家统计局、国家发展和改革委员会、财政部《关于印发〈中小企业划型标准规定〉的通知》（工信部联企〔2011〕300 号）</w:t>
      </w:r>
    </w:p>
    <w:p>
      <w:pPr>
        <w:pStyle w:val="2"/>
        <w:tabs>
          <w:tab w:val="left" w:pos="562"/>
          <w:tab w:val="left" w:pos="3372"/>
          <w:tab w:val="left" w:pos="3653"/>
        </w:tabs>
        <w:spacing w:line="240" w:lineRule="auto"/>
        <w:outlineLvl w:val="9"/>
        <w:rPr>
          <w:rFonts w:hint="eastAsia" w:ascii="宋体" w:hAnsi="宋体" w:eastAsia="宋体" w:cs="宋体"/>
          <w:color w:val="000000"/>
          <w:sz w:val="24"/>
          <w:szCs w:val="24"/>
        </w:rPr>
      </w:pPr>
    </w:p>
    <w:p>
      <w:pPr>
        <w:spacing w:line="240" w:lineRule="auto"/>
        <w:jc w:val="center"/>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关于印发中小企业划型标准规定的通知</w:t>
      </w:r>
    </w:p>
    <w:p>
      <w:pPr>
        <w:spacing w:line="24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工信部联企业〔2011〕300号</w:t>
      </w:r>
    </w:p>
    <w:p>
      <w:pPr>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各省、自治区、直辖市人民政府，国务院各部委、各直属机构及有关单位： </w:t>
      </w:r>
    </w:p>
    <w:p>
      <w:pPr>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240" w:lineRule="auto"/>
        <w:ind w:firstLine="480" w:firstLineChars="200"/>
        <w:jc w:val="righ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工业和信息化部 国家统计局</w:t>
      </w:r>
    </w:p>
    <w:p>
      <w:pPr>
        <w:spacing w:line="240" w:lineRule="auto"/>
        <w:ind w:firstLine="480" w:firstLineChars="200"/>
        <w:jc w:val="righ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国家发展和改革委员会 财政部</w:t>
      </w:r>
    </w:p>
    <w:p>
      <w:pPr>
        <w:spacing w:line="240" w:lineRule="auto"/>
        <w:ind w:firstLine="480" w:firstLineChars="200"/>
        <w:jc w:val="righ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二○一一年六月十八日</w:t>
      </w:r>
    </w:p>
    <w:p>
      <w:pPr>
        <w:spacing w:line="240" w:lineRule="auto"/>
        <w:ind w:firstLine="480" w:firstLineChars="200"/>
        <w:outlineLvl w:val="9"/>
        <w:rPr>
          <w:rFonts w:hint="eastAsia" w:ascii="宋体" w:hAnsi="宋体" w:eastAsia="宋体" w:cs="宋体"/>
          <w:color w:val="000000"/>
          <w:sz w:val="24"/>
          <w:szCs w:val="24"/>
        </w:rPr>
      </w:pPr>
    </w:p>
    <w:p>
      <w:pPr>
        <w:spacing w:line="240" w:lineRule="auto"/>
        <w:ind w:firstLine="480" w:firstLineChars="200"/>
        <w:outlineLvl w:val="9"/>
        <w:rPr>
          <w:rFonts w:hint="eastAsia" w:ascii="宋体" w:hAnsi="宋体" w:eastAsia="宋体" w:cs="宋体"/>
          <w:color w:val="000000"/>
          <w:sz w:val="24"/>
          <w:szCs w:val="24"/>
        </w:rPr>
      </w:pPr>
    </w:p>
    <w:p>
      <w:pPr>
        <w:spacing w:line="240" w:lineRule="auto"/>
        <w:ind w:firstLine="480" w:firstLineChars="200"/>
        <w:outlineLvl w:val="9"/>
        <w:rPr>
          <w:rFonts w:hint="eastAsia" w:ascii="宋体" w:hAnsi="宋体" w:eastAsia="宋体" w:cs="宋体"/>
          <w:color w:val="000000"/>
          <w:sz w:val="24"/>
          <w:szCs w:val="24"/>
        </w:rPr>
      </w:pPr>
    </w:p>
    <w:p>
      <w:pPr>
        <w:spacing w:line="240" w:lineRule="auto"/>
        <w:jc w:val="center"/>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中小企业划型标准规定 </w:t>
      </w:r>
    </w:p>
    <w:p>
      <w:pPr>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一、根据《中华人民共和国中小企业促进法》和《国务院关于进一步促进中小企业发展的若干意见》(国发〔2009〕36号)，制定本规定。</w:t>
      </w:r>
    </w:p>
    <w:p>
      <w:pPr>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二、中小企业划分为中型、小型、微型三种类型，具体标准根据企业从业人员、营业收入、资产总额等指标，结合行业特点制定。</w:t>
      </w:r>
    </w:p>
    <w:p>
      <w:pPr>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四、各行业划型标准为： </w:t>
      </w:r>
    </w:p>
    <w:p>
      <w:pPr>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（一）农、林、牧、渔业。营业收入20000万元以下的为中小微型企业。其中，营业收入500万元及以上的为中型企业，营业收入50万元及以上的为小型企业，营业收入50万元以下的为微型企业。</w:t>
      </w:r>
    </w:p>
    <w:p>
      <w:pPr>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（十六）其他未列明行业。从业人员300人以下的为中小微型企业。其中，从业人员100人及以上的为中型企业；从业人员10人及以上的为小型企业；从业人员10人以下的为微型企业。</w:t>
      </w:r>
    </w:p>
    <w:p>
      <w:pPr>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五、企业类型的划分以统计部门的统计数据为依据。 </w:t>
      </w:r>
    </w:p>
    <w:p>
      <w:pPr>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六、本规定适用于在中华人民共和国境内依法设立的各类所有制和各种组织形式的企业。个体工商户和本规定以外的行业，参照本规定进行划型。 </w:t>
      </w:r>
    </w:p>
    <w:p>
      <w:pPr>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八、本规定由工业和信息化部、国家统计局会同有关部门根据《国民经济行业分类》修订情况和企业发展变化情况适时修订。 </w:t>
      </w:r>
    </w:p>
    <w:p>
      <w:pPr>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九、本规定由工业和信息化部、国家统计局会同有关部门负责解释。 </w:t>
      </w:r>
    </w:p>
    <w:p>
      <w:pPr>
        <w:spacing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十、本规定自发布之日起执行，原国家经贸委、原国家计委、财政部和国家统计局2003年颁布的《中小企业标准暂行规定》同时废止。</w:t>
      </w:r>
    </w:p>
    <w:p>
      <w:pPr>
        <w:spacing w:line="240" w:lineRule="auto"/>
        <w:ind w:firstLine="480" w:firstLineChars="200"/>
        <w:outlineLvl w:val="9"/>
        <w:rPr>
          <w:rFonts w:hint="eastAsia" w:ascii="宋体" w:hAnsi="宋体" w:eastAsia="宋体" w:cs="宋体"/>
          <w:color w:val="000000"/>
          <w:sz w:val="24"/>
          <w:szCs w:val="24"/>
        </w:rPr>
      </w:pPr>
    </w:p>
    <w:p>
      <w:pPr>
        <w:pStyle w:val="18"/>
        <w:spacing w:line="240" w:lineRule="auto"/>
        <w:jc w:val="both"/>
        <w:outlineLvl w:val="9"/>
        <w:rPr>
          <w:rFonts w:hint="eastAsia" w:ascii="宋体" w:hAnsi="宋体" w:eastAsia="宋体" w:cs="宋体"/>
          <w:color w:val="000000"/>
          <w:sz w:val="24"/>
          <w:szCs w:val="24"/>
        </w:rPr>
      </w:pPr>
    </w:p>
    <w:p>
      <w:pPr>
        <w:pStyle w:val="18"/>
        <w:spacing w:line="240" w:lineRule="auto"/>
        <w:jc w:val="both"/>
        <w:outlineLvl w:val="9"/>
        <w:rPr>
          <w:rFonts w:hint="eastAsia" w:ascii="宋体" w:hAnsi="宋体" w:eastAsia="宋体" w:cs="宋体"/>
          <w:color w:val="000000"/>
          <w:sz w:val="24"/>
          <w:szCs w:val="24"/>
        </w:rPr>
      </w:pPr>
    </w:p>
    <w:p>
      <w:pPr>
        <w:tabs>
          <w:tab w:val="left" w:pos="360"/>
        </w:tabs>
        <w:spacing w:line="240" w:lineRule="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rPr>
        <w:br w:type="page"/>
      </w:r>
      <w:r>
        <w:rPr>
          <w:rFonts w:hint="eastAsia" w:ascii="宋体" w:hAnsi="宋体" w:eastAsia="宋体" w:cs="宋体"/>
          <w:b/>
          <w:bCs/>
          <w:color w:val="000000"/>
          <w:sz w:val="24"/>
          <w:szCs w:val="24"/>
        </w:rPr>
        <w:t>3、国家统计局《关于印发〈统计上大中小微型企业划分办法（2017）〉的通知》</w:t>
      </w:r>
    </w:p>
    <w:p>
      <w:pPr>
        <w:widowControl/>
        <w:shd w:val="clear" w:color="auto" w:fill="FFFFFF"/>
        <w:spacing w:line="240" w:lineRule="auto"/>
        <w:jc w:val="center"/>
        <w:outlineLvl w:val="9"/>
        <w:rPr>
          <w:rFonts w:hint="eastAsia" w:ascii="宋体" w:hAnsi="宋体" w:eastAsia="宋体" w:cs="宋体"/>
          <w:b/>
          <w:bCs/>
          <w:color w:val="000000"/>
          <w:kern w:val="0"/>
          <w:sz w:val="24"/>
          <w:szCs w:val="24"/>
        </w:rPr>
      </w:pPr>
    </w:p>
    <w:p>
      <w:pPr>
        <w:widowControl/>
        <w:shd w:val="clear" w:color="auto" w:fill="FFFFFF"/>
        <w:spacing w:line="240" w:lineRule="auto"/>
        <w:jc w:val="center"/>
        <w:outlineLvl w:val="9"/>
        <w:rPr>
          <w:rFonts w:hint="eastAsia" w:ascii="宋体" w:hAnsi="宋体" w:eastAsia="宋体" w:cs="宋体"/>
          <w:b/>
          <w:color w:val="000000"/>
          <w:kern w:val="0"/>
          <w:sz w:val="24"/>
          <w:szCs w:val="24"/>
        </w:rPr>
      </w:pPr>
      <w:r>
        <w:rPr>
          <w:rFonts w:hint="eastAsia" w:ascii="宋体" w:hAnsi="宋体" w:eastAsia="宋体" w:cs="宋体"/>
          <w:b/>
          <w:bCs/>
          <w:color w:val="000000"/>
          <w:kern w:val="0"/>
          <w:sz w:val="24"/>
          <w:szCs w:val="24"/>
        </w:rPr>
        <w:t>国家统计局关于印发《统计上大中小微型企业划分办法（2017）》的通知</w:t>
      </w:r>
    </w:p>
    <w:p>
      <w:pPr>
        <w:widowControl/>
        <w:shd w:val="clear" w:color="auto" w:fill="FFFFFF"/>
        <w:spacing w:line="240" w:lineRule="auto"/>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各省、自治区、直辖市统计局，新疆生产建设兵团统计局，国务院各有关部门，国家统计局各调查总队：</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附件：《统计上大中小微型企业划分办法（2017）》修订说明</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hd w:val="clear" w:color="auto" w:fill="FFFFFF"/>
        <w:spacing w:line="240" w:lineRule="auto"/>
        <w:ind w:firstLine="480" w:firstLineChars="200"/>
        <w:jc w:val="righ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国家统计局</w:t>
      </w:r>
    </w:p>
    <w:p>
      <w:pPr>
        <w:widowControl/>
        <w:shd w:val="clear" w:color="auto" w:fill="FFFFFF"/>
        <w:spacing w:line="240" w:lineRule="auto"/>
        <w:ind w:firstLine="480" w:firstLineChars="200"/>
        <w:jc w:val="righ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2017年12月28日</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hd w:val="clear" w:color="auto" w:fill="FFFFFF"/>
        <w:spacing w:line="240" w:lineRule="auto"/>
        <w:jc w:val="center"/>
        <w:outlineLvl w:val="9"/>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统计上大中小微型企业划分办法（2017）</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二、本办法适用对象为在中华人民共和国境内依法设立的各种组织形式的法人企业或单位。个体工商户参照本办法进行划分。</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五、企业划分由政府综合统计部门根据统计年报每年确定一次，定报统计原则上不进行调整。</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六、本办法自印发之日起执行，国家统计局2011年印发的《统计上大中小微型企业划分办法》（国统字〔2011〕75号）同时废止。</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附表：统计上大中小微型企业划分标准</w:t>
      </w:r>
    </w:p>
    <w:p>
      <w:pPr>
        <w:widowControl/>
        <w:spacing w:line="240" w:lineRule="auto"/>
        <w:jc w:val="left"/>
        <w:outlineLvl w:val="9"/>
        <w:rPr>
          <w:rFonts w:hint="eastAsia" w:ascii="宋体" w:hAnsi="宋体" w:eastAsia="宋体" w:cs="宋体"/>
          <w:color w:val="000000"/>
          <w:kern w:val="0"/>
          <w:sz w:val="24"/>
          <w:szCs w:val="24"/>
        </w:rPr>
      </w:pPr>
    </w:p>
    <w:p>
      <w:pPr>
        <w:widowControl/>
        <w:spacing w:line="240" w:lineRule="auto"/>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附表：</w:t>
      </w:r>
    </w:p>
    <w:p>
      <w:pPr>
        <w:widowControl/>
        <w:spacing w:line="240" w:lineRule="auto"/>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统计上大中小微型企业划分标准</w:t>
      </w:r>
    </w:p>
    <w:tbl>
      <w:tblPr>
        <w:tblStyle w:val="1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行业名称</w:t>
            </w: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指标名称</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计量</w:t>
            </w:r>
          </w:p>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单位</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大型</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中型</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小型</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农、林、牧、渔业</w:t>
            </w: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Y≥20000</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500≤Y＜20000</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50≤Y＜500</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restart"/>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工业 *</w:t>
            </w: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X≥1000</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300≤X＜1000</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20≤X＜300</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continue"/>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Y≥40000</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2000≤Y＜40000</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300≤Y＜2000</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restart"/>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建筑业</w:t>
            </w: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Y≥80000</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6000≤Y＜80000</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300≤Y＜6000</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continue"/>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资产总额(Z)</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Z≥80000</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5000≤Z＜80000</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300≤Z＜5000</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restart"/>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批发业</w:t>
            </w: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X≥200</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20≤X＜200</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5≤X＜20</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continue"/>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Y≥40000</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5000≤Y＜40000</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1000≤Y＜5000</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restart"/>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零售业</w:t>
            </w: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X≥300</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50≤X＜300</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10≤X＜50</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continue"/>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Y≥20000</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500≤Y＜20000</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100≤Y＜500</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restart"/>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交通运输业 *</w:t>
            </w: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X≥1000</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300≤X＜1000</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20≤X＜300</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continue"/>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Y≥30000</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3000≤Y＜30000</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200≤Y＜3000</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restart"/>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仓储业*</w:t>
            </w: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X≥200</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100≤X＜200</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20≤X＜100</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continue"/>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Y≥30000</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1000≤Y＜30000</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100≤Y＜1000</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restart"/>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邮政业</w:t>
            </w: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X≥1000</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300≤X＜1000</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20≤X＜300</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continue"/>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Y≥30000</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2000≤Y＜30000</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100≤Y＜2000</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restart"/>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住宿业</w:t>
            </w: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X≥300</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100≤X＜300</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10≤X＜100</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continue"/>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Y≥10000</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2000≤Y＜10000</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100≤Y＜2000</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restart"/>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餐饮业</w:t>
            </w: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X≥300</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100≤X＜300</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10≤X＜100</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continue"/>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Y≥10000</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2000≤Y＜10000</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100≤Y＜2000</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restart"/>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信息传输业 *</w:t>
            </w: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X≥2000</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100≤X＜2000</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10≤X＜100</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continue"/>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Y≥100000</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1000≤Y＜100000</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100≤Y＜1000</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restart"/>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软件和信息技术服务业</w:t>
            </w: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X≥300</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100≤X＜300</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10≤X＜100</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continue"/>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Y≥10000</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1000≤Y＜10000</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50≤Y＜1000</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restart"/>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房地产开发经营</w:t>
            </w: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Y≥200000</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1000≤Y＜200000</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100≤Y＜1000</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continue"/>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资产总额(Z)</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Z≥10000</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5000≤Z＜10000</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2000≤Z＜5000</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restart"/>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物业管理</w:t>
            </w: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X≥1000</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300≤X＜1000</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100≤X＜300</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continue"/>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营业收入(Y)</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Y≥5000</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1000≤Y＜5000</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500≤Y＜1000</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restart"/>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租赁和商务服务业</w:t>
            </w: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X≥300</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100≤X＜300</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10≤X＜100</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vMerge w:val="continue"/>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资产总额(Z)</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万元</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Z≥120000</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8000≤Z＜120000</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100≤Z＜8000</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74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其他未列明行业 *</w:t>
            </w:r>
          </w:p>
        </w:tc>
        <w:tc>
          <w:tcPr>
            <w:tcW w:w="1462"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从业人员(X)</w:t>
            </w:r>
          </w:p>
        </w:tc>
        <w:tc>
          <w:tcPr>
            <w:tcW w:w="727"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011"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X≥300</w:t>
            </w:r>
          </w:p>
        </w:tc>
        <w:tc>
          <w:tcPr>
            <w:tcW w:w="1664"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100≤X＜300</w:t>
            </w:r>
          </w:p>
        </w:tc>
        <w:tc>
          <w:tcPr>
            <w:tcW w:w="1446"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10≤X＜100</w:t>
            </w:r>
          </w:p>
        </w:tc>
        <w:tc>
          <w:tcPr>
            <w:tcW w:w="793" w:type="dxa"/>
            <w:noWrap w:val="0"/>
            <w:vAlign w:val="center"/>
          </w:tcPr>
          <w:p>
            <w:pPr>
              <w:keepNext w:val="0"/>
              <w:keepLines w:val="0"/>
              <w:widowControl/>
              <w:suppressLineNumbers w:val="0"/>
              <w:spacing w:before="0" w:beforeAutospacing="0" w:after="0" w:afterAutospacing="0" w:line="240" w:lineRule="auto"/>
              <w:ind w:left="0" w:right="0"/>
              <w:jc w:val="center"/>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X＜10</w:t>
            </w:r>
          </w:p>
        </w:tc>
      </w:tr>
    </w:tbl>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说明：</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1.大型、中型和小型企业须同时满足所列指标的下限，否则下划一档；微型企业只须满足所列指标中的一项即可。</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240" w:lineRule="auto"/>
        <w:ind w:firstLine="480" w:firstLineChars="200"/>
        <w:jc w:val="left"/>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line="240" w:lineRule="auto"/>
        <w:outlineLvl w:val="9"/>
        <w:rPr>
          <w:rFonts w:hint="eastAsia" w:ascii="宋体" w:hAnsi="宋体" w:eastAsia="宋体" w:cs="宋体"/>
          <w:color w:val="000000"/>
          <w:sz w:val="24"/>
          <w:szCs w:val="24"/>
        </w:rPr>
      </w:pPr>
    </w:p>
    <w:p>
      <w:pPr>
        <w:pStyle w:val="18"/>
        <w:spacing w:line="240" w:lineRule="auto"/>
        <w:outlineLvl w:val="9"/>
        <w:rPr>
          <w:rFonts w:hint="eastAsia" w:ascii="宋体" w:hAnsi="宋体" w:eastAsia="宋体" w:cs="宋体"/>
          <w:color w:val="000000"/>
          <w:sz w:val="24"/>
          <w:szCs w:val="24"/>
        </w:rPr>
      </w:pPr>
    </w:p>
    <w:p>
      <w:pPr>
        <w:tabs>
          <w:tab w:val="left" w:pos="360"/>
        </w:tabs>
        <w:spacing w:line="240" w:lineRule="auto"/>
        <w:outlineLvl w:val="1"/>
        <w:rPr>
          <w:rFonts w:hint="eastAsia" w:ascii="宋体" w:hAnsi="宋体" w:eastAsia="宋体" w:cs="宋体"/>
          <w:color w:val="000000"/>
          <w:sz w:val="24"/>
          <w:szCs w:val="24"/>
        </w:rPr>
      </w:pPr>
      <w:r>
        <w:rPr>
          <w:rFonts w:hint="eastAsia" w:ascii="宋体" w:hAnsi="宋体" w:eastAsia="宋体" w:cs="宋体"/>
          <w:color w:val="000000"/>
          <w:sz w:val="24"/>
          <w:szCs w:val="24"/>
        </w:rPr>
        <w:br w:type="page"/>
      </w:r>
      <w:r>
        <w:rPr>
          <w:rFonts w:hint="eastAsia" w:ascii="宋体" w:hAnsi="宋体" w:eastAsia="宋体" w:cs="宋体"/>
          <w:b/>
          <w:bCs/>
          <w:color w:val="000000"/>
          <w:sz w:val="24"/>
          <w:szCs w:val="24"/>
        </w:rPr>
        <w:t>4、财政部、民政部、中国残联《关于促进残疾人就业政府采购政策的通知》（财库〔2017〕141 号）</w:t>
      </w:r>
    </w:p>
    <w:p>
      <w:pPr>
        <w:shd w:val="clear" w:color="auto" w:fill="FFFFFF"/>
        <w:spacing w:line="240" w:lineRule="auto"/>
        <w:outlineLvl w:val="9"/>
        <w:rPr>
          <w:rFonts w:hint="eastAsia" w:ascii="宋体" w:hAnsi="宋体" w:eastAsia="宋体" w:cs="宋体"/>
          <w:bCs/>
          <w:color w:val="000000"/>
          <w:sz w:val="24"/>
          <w:szCs w:val="24"/>
        </w:rPr>
      </w:pPr>
    </w:p>
    <w:p>
      <w:pPr>
        <w:shd w:val="clear" w:color="auto" w:fill="FFFFFF"/>
        <w:spacing w:line="240" w:lineRule="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关于促进残疾人就业政府采购政策的通知</w:t>
      </w:r>
    </w:p>
    <w:p>
      <w:pPr>
        <w:pStyle w:val="17"/>
        <w:shd w:val="clear" w:color="auto" w:fill="FFFFFF"/>
        <w:spacing w:before="0" w:beforeAutospacing="0" w:after="0" w:afterAutospacing="0" w:line="240" w:lineRule="auto"/>
        <w:jc w:val="center"/>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w:t>
      </w:r>
      <w:bookmarkStart w:id="531" w:name="sendNo"/>
      <w:r>
        <w:rPr>
          <w:rFonts w:hint="eastAsia" w:ascii="宋体" w:hAnsi="宋体" w:eastAsia="宋体" w:cs="宋体"/>
          <w:color w:val="000000"/>
          <w:sz w:val="24"/>
          <w:szCs w:val="24"/>
        </w:rPr>
        <w:t>财库〔</w:t>
      </w:r>
      <w:bookmarkEnd w:id="531"/>
      <w:r>
        <w:rPr>
          <w:rFonts w:hint="eastAsia" w:ascii="宋体" w:hAnsi="宋体" w:eastAsia="宋体" w:cs="宋体"/>
          <w:color w:val="000000"/>
          <w:sz w:val="24"/>
          <w:szCs w:val="24"/>
        </w:rPr>
        <w:t>2017〕141号</w:t>
      </w:r>
    </w:p>
    <w:p>
      <w:pPr>
        <w:pStyle w:val="17"/>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rPr>
      </w:pPr>
      <w:bookmarkStart w:id="532" w:name="toDeptId"/>
      <w:r>
        <w:rPr>
          <w:rFonts w:hint="eastAsia" w:ascii="宋体" w:hAnsi="宋体" w:eastAsia="宋体" w:cs="宋体"/>
          <w:color w:val="000000"/>
          <w:sz w:val="24"/>
          <w:szCs w:val="24"/>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532"/>
      <w:r>
        <w:rPr>
          <w:rFonts w:hint="eastAsia" w:ascii="宋体" w:hAnsi="宋体" w:eastAsia="宋体" w:cs="宋体"/>
          <w:color w:val="000000"/>
          <w:sz w:val="24"/>
          <w:szCs w:val="24"/>
        </w:rPr>
        <w:t>：</w:t>
      </w:r>
    </w:p>
    <w:p>
      <w:pPr>
        <w:pStyle w:val="17"/>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为了发挥政府采购促进残疾人就业的作用，进一步保障残疾人权益，依照《政府采购法》、《残疾人保障法》等法律法规及相关规定，现就促进残疾人就业政府采购政策通知如下：</w:t>
      </w:r>
    </w:p>
    <w:p>
      <w:pPr>
        <w:pStyle w:val="17"/>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一、享受政府采购支持政策的残疾人福利性单位应当同时满足以下条件：</w:t>
      </w:r>
    </w:p>
    <w:p>
      <w:pPr>
        <w:pStyle w:val="17"/>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（一）安置的残疾人占本单位在职职工人数的比例不低于25%（含25%），并且安置的残疾人人数不少于10人（含10人）；</w:t>
      </w:r>
    </w:p>
    <w:p>
      <w:pPr>
        <w:pStyle w:val="17"/>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（二）依法与安置的每位残疾人签订了一年以上（含一年）的劳动合同或服务协议；</w:t>
      </w:r>
    </w:p>
    <w:p>
      <w:pPr>
        <w:pStyle w:val="17"/>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（三）为安置的每位残疾人按月足额缴纳了基本养老保险、基本医疗保险、失业保险、工伤保险和生育保险等社会保险费；</w:t>
      </w:r>
    </w:p>
    <w:p>
      <w:pPr>
        <w:pStyle w:val="17"/>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（四）通过银行等金融机构向安置的每位残疾人，按月支付了不低于单位所在区县适用的经省级人民政府批准的月最低工资标准的工资；</w:t>
      </w:r>
    </w:p>
    <w:p>
      <w:pPr>
        <w:pStyle w:val="17"/>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（五）提供本单位制造的货物、承担的工程或者服务（以下简称产品），或者提供其他残疾人福利性单位制造的货物（不包括使用非残疾人福利性单位注册商标的货物）。</w:t>
      </w:r>
    </w:p>
    <w:p>
      <w:pPr>
        <w:pStyle w:val="17"/>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7"/>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7"/>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中标、成交供应商为残疾人福利性单位的，采购人或者其委托的采购代理机构应当随中标、成交结果同时公告其《残疾人福利性单位声明函》，接受社会监督。</w:t>
      </w:r>
    </w:p>
    <w:p>
      <w:pPr>
        <w:pStyle w:val="17"/>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供应商提供的《残疾人福利性单位声明函》与事实不符的，依照《政府采购法》第七十七条第一款的规定追究法律责任。</w:t>
      </w:r>
    </w:p>
    <w:p>
      <w:pPr>
        <w:pStyle w:val="17"/>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7"/>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四、采购人采购公开招标数额标准以上的货物或者服务，因落实促进残疾人就业政策的需要，依法履行有关报批程序后，可采用公开招标以外的采购方式。</w:t>
      </w:r>
    </w:p>
    <w:p>
      <w:pPr>
        <w:pStyle w:val="17"/>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7"/>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7"/>
        <w:shd w:val="clear" w:color="auto" w:fill="FFFFFF"/>
        <w:spacing w:before="0" w:beforeAutospacing="0" w:after="0" w:afterAutospacing="0" w:line="240" w:lineRule="auto"/>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七、本通知自2017年10月1日起执行。</w:t>
      </w:r>
    </w:p>
    <w:p>
      <w:pPr>
        <w:pStyle w:val="17"/>
        <w:shd w:val="clear" w:color="auto" w:fill="FFFFFF"/>
        <w:spacing w:before="0" w:beforeAutospacing="0" w:after="0" w:afterAutospacing="0" w:line="240" w:lineRule="auto"/>
        <w:ind w:firstLine="480" w:firstLineChars="200"/>
        <w:jc w:val="righ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财政部 民政部 中国残疾人联合会</w:t>
      </w:r>
    </w:p>
    <w:p>
      <w:pPr>
        <w:pStyle w:val="17"/>
        <w:shd w:val="clear" w:color="auto" w:fill="FFFFFF"/>
        <w:spacing w:before="0" w:beforeAutospacing="0" w:after="0" w:afterAutospacing="0" w:line="240" w:lineRule="auto"/>
        <w:ind w:firstLine="480" w:firstLineChars="200"/>
        <w:jc w:val="righ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2017年8月22日</w:t>
      </w:r>
    </w:p>
    <w:p>
      <w:pPr>
        <w:pStyle w:val="31"/>
        <w:shd w:val="clear" w:color="auto" w:fill="FFFFFF"/>
        <w:spacing w:before="0" w:beforeAutospacing="0" w:after="0" w:afterAutospacing="0" w:line="240" w:lineRule="auto"/>
        <w:jc w:val="both"/>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附件：</w:t>
      </w:r>
    </w:p>
    <w:p>
      <w:pPr>
        <w:pStyle w:val="31"/>
        <w:shd w:val="clear" w:color="auto" w:fill="FFFFFF"/>
        <w:spacing w:before="0" w:beforeAutospacing="0" w:after="0" w:afterAutospacing="0" w:line="240" w:lineRule="auto"/>
        <w:ind w:firstLine="482" w:firstLineChars="200"/>
        <w:jc w:val="center"/>
        <w:outlineLvl w:val="9"/>
        <w:rPr>
          <w:rFonts w:hint="eastAsia" w:ascii="宋体" w:hAnsi="宋体" w:eastAsia="宋体" w:cs="宋体"/>
          <w:color w:val="000000"/>
          <w:sz w:val="24"/>
          <w:szCs w:val="24"/>
        </w:rPr>
      </w:pPr>
      <w:r>
        <w:rPr>
          <w:rStyle w:val="32"/>
          <w:rFonts w:hint="eastAsia" w:ascii="宋体" w:hAnsi="宋体" w:eastAsia="宋体" w:cs="宋体"/>
          <w:b/>
          <w:bCs/>
          <w:color w:val="000000"/>
          <w:sz w:val="24"/>
          <w:szCs w:val="24"/>
        </w:rPr>
        <w:t>残疾人福利性单位声明函</w:t>
      </w:r>
    </w:p>
    <w:p>
      <w:pPr>
        <w:pStyle w:val="31"/>
        <w:shd w:val="clear" w:color="auto" w:fill="FFFFFF"/>
        <w:spacing w:before="0" w:beforeAutospacing="0" w:after="0" w:afterAutospacing="0" w:line="240" w:lineRule="auto"/>
        <w:ind w:firstLine="480" w:firstLineChars="200"/>
        <w:jc w:val="both"/>
        <w:outlineLvl w:val="9"/>
        <w:rPr>
          <w:rFonts w:hint="eastAsia" w:ascii="宋体" w:hAnsi="宋体" w:eastAsia="宋体" w:cs="宋体"/>
          <w:color w:val="000000"/>
          <w:sz w:val="24"/>
          <w:szCs w:val="24"/>
        </w:rPr>
      </w:pPr>
    </w:p>
    <w:p>
      <w:pPr>
        <w:pStyle w:val="31"/>
        <w:shd w:val="clear" w:color="auto" w:fill="FFFFFF"/>
        <w:spacing w:before="0" w:beforeAutospacing="0" w:after="0" w:afterAutospacing="0" w:line="240" w:lineRule="auto"/>
        <w:ind w:firstLine="480" w:firstLineChars="200"/>
        <w:jc w:val="both"/>
        <w:outlineLvl w:val="9"/>
        <w:rPr>
          <w:rFonts w:hint="eastAsia" w:ascii="宋体" w:hAnsi="宋体" w:eastAsia="宋体" w:cs="宋体"/>
          <w:color w:val="000000"/>
          <w:sz w:val="24"/>
          <w:szCs w:val="24"/>
        </w:rPr>
      </w:pPr>
      <w:r>
        <w:rPr>
          <w:rStyle w:val="32"/>
          <w:rFonts w:hint="eastAsia" w:ascii="宋体" w:hAnsi="宋体" w:eastAsia="宋体" w:cs="宋体"/>
          <w:color w:val="00000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1"/>
        <w:shd w:val="clear" w:color="auto" w:fill="FFFFFF"/>
        <w:spacing w:before="0" w:beforeAutospacing="0" w:after="0" w:afterAutospacing="0" w:line="240" w:lineRule="auto"/>
        <w:ind w:firstLine="480" w:firstLineChars="200"/>
        <w:jc w:val="both"/>
        <w:outlineLvl w:val="9"/>
        <w:rPr>
          <w:rFonts w:hint="eastAsia" w:ascii="宋体" w:hAnsi="宋体" w:eastAsia="宋体" w:cs="宋体"/>
          <w:color w:val="000000"/>
          <w:sz w:val="24"/>
          <w:szCs w:val="24"/>
        </w:rPr>
      </w:pPr>
      <w:r>
        <w:rPr>
          <w:rStyle w:val="32"/>
          <w:rFonts w:hint="eastAsia" w:ascii="宋体" w:hAnsi="宋体" w:eastAsia="宋体" w:cs="宋体"/>
          <w:color w:val="000000"/>
          <w:sz w:val="24"/>
          <w:szCs w:val="24"/>
        </w:rPr>
        <w:t>本单位对上述声明的真实性负责。如有虚假，将依法承担相应责任。</w:t>
      </w:r>
    </w:p>
    <w:p>
      <w:pPr>
        <w:pStyle w:val="31"/>
        <w:shd w:val="clear" w:color="auto" w:fill="FFFFFF"/>
        <w:spacing w:before="0" w:beforeAutospacing="0" w:after="0" w:afterAutospacing="0" w:line="240" w:lineRule="auto"/>
        <w:ind w:firstLine="480" w:firstLineChars="200"/>
        <w:jc w:val="both"/>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投标人已知悉《关于促进残疾人就业政府采购政策的通知》（财库〔2017〕141 号）的规定，承诺提供的声明函内容是真实的，如提供声明函内容不实，则依法追究相关法律责任。</w:t>
      </w:r>
    </w:p>
    <w:p>
      <w:pPr>
        <w:pStyle w:val="31"/>
        <w:shd w:val="clear" w:color="auto" w:fill="FFFFFF"/>
        <w:spacing w:before="0" w:beforeAutospacing="0" w:after="0" w:afterAutospacing="0" w:line="240" w:lineRule="auto"/>
        <w:ind w:firstLine="480" w:firstLineChars="200"/>
        <w:jc w:val="both"/>
        <w:outlineLvl w:val="9"/>
        <w:rPr>
          <w:rFonts w:hint="eastAsia" w:ascii="宋体" w:hAnsi="宋体" w:eastAsia="宋体" w:cs="宋体"/>
          <w:color w:val="000000"/>
          <w:sz w:val="24"/>
          <w:szCs w:val="24"/>
        </w:rPr>
      </w:pPr>
    </w:p>
    <w:p>
      <w:pPr>
        <w:pStyle w:val="31"/>
        <w:shd w:val="clear" w:color="auto" w:fill="FFFFFF"/>
        <w:spacing w:before="0" w:beforeAutospacing="0" w:after="0" w:afterAutospacing="0" w:line="240" w:lineRule="auto"/>
        <w:ind w:right="2100" w:rightChars="1000"/>
        <w:jc w:val="right"/>
        <w:outlineLvl w:val="9"/>
        <w:rPr>
          <w:rFonts w:hint="eastAsia" w:ascii="宋体" w:hAnsi="宋体" w:eastAsia="宋体" w:cs="宋体"/>
          <w:color w:val="000000"/>
          <w:sz w:val="24"/>
          <w:szCs w:val="24"/>
        </w:rPr>
      </w:pPr>
      <w:r>
        <w:rPr>
          <w:rStyle w:val="32"/>
          <w:rFonts w:hint="eastAsia" w:ascii="宋体" w:hAnsi="宋体" w:eastAsia="宋体" w:cs="宋体"/>
          <w:color w:val="000000"/>
          <w:sz w:val="24"/>
          <w:szCs w:val="24"/>
        </w:rPr>
        <w:t>单位名称（盖章）：</w:t>
      </w:r>
    </w:p>
    <w:p>
      <w:pPr>
        <w:pStyle w:val="31"/>
        <w:shd w:val="clear" w:color="auto" w:fill="FFFFFF"/>
        <w:spacing w:before="0" w:beforeAutospacing="0" w:after="0" w:afterAutospacing="0" w:line="240" w:lineRule="auto"/>
        <w:ind w:right="2100" w:rightChars="1000"/>
        <w:jc w:val="right"/>
        <w:outlineLvl w:val="9"/>
        <w:rPr>
          <w:rFonts w:hint="eastAsia" w:ascii="宋体" w:hAnsi="宋体" w:eastAsia="宋体" w:cs="宋体"/>
          <w:color w:val="000000"/>
          <w:sz w:val="24"/>
          <w:szCs w:val="24"/>
          <w:lang w:val="fr-CH"/>
        </w:rPr>
      </w:pPr>
      <w:r>
        <w:rPr>
          <w:rStyle w:val="32"/>
          <w:rFonts w:hint="eastAsia" w:ascii="宋体" w:hAnsi="宋体" w:eastAsia="宋体" w:cs="宋体"/>
          <w:color w:val="000000"/>
          <w:sz w:val="24"/>
          <w:szCs w:val="24"/>
        </w:rPr>
        <w:t>日 期：</w:t>
      </w:r>
    </w:p>
    <w:p>
      <w:pPr>
        <w:numPr>
          <w:ilvl w:val="0"/>
          <w:numId w:val="0"/>
        </w:numPr>
        <w:tabs>
          <w:tab w:val="left" w:pos="640"/>
          <w:tab w:val="left" w:pos="1260"/>
          <w:tab w:val="left" w:pos="1418"/>
        </w:tabs>
        <w:spacing w:line="360" w:lineRule="auto"/>
        <w:ind w:leftChars="0" w:right="-420" w:rightChars="-200"/>
        <w:rPr>
          <w:rFonts w:hint="eastAsia" w:ascii="宋体" w:hAnsi="宋体" w:cs="宋体"/>
          <w:color w:val="auto"/>
          <w:sz w:val="24"/>
          <w:szCs w:val="24"/>
          <w:lang w:val="fr-CH"/>
        </w:rPr>
      </w:pPr>
    </w:p>
    <w:bookmarkEnd w:id="530"/>
    <w:p>
      <w:pPr>
        <w:ind w:firstLine="420" w:firstLineChars="200"/>
        <w:rPr>
          <w:rFonts w:ascii="宋体" w:hAnsi="宋体"/>
          <w:color w:val="auto"/>
          <w:szCs w:val="21"/>
          <w:highlight w:val="none"/>
        </w:rPr>
      </w:pPr>
    </w:p>
    <w:p>
      <w:pPr>
        <w:rPr>
          <w:rFonts w:ascii="黑体" w:hAnsi="黑体" w:eastAsia="黑体"/>
          <w:color w:val="auto"/>
          <w:sz w:val="24"/>
          <w:highlight w:val="none"/>
        </w:rPr>
      </w:pPr>
    </w:p>
    <w:p>
      <w:pPr>
        <w:jc w:val="left"/>
        <w:rPr>
          <w:color w:val="auto"/>
          <w:sz w:val="24"/>
          <w:highlight w:val="none"/>
        </w:rPr>
      </w:pPr>
    </w:p>
    <w:p>
      <w:pPr>
        <w:jc w:val="left"/>
        <w:rPr>
          <w:color w:val="auto"/>
          <w:sz w:val="24"/>
          <w:highlight w:val="none"/>
        </w:rPr>
      </w:pPr>
    </w:p>
    <w:p>
      <w:pPr>
        <w:jc w:val="left"/>
        <w:rPr>
          <w:color w:val="auto"/>
          <w:sz w:val="24"/>
          <w:highlight w:val="none"/>
        </w:rPr>
      </w:pPr>
    </w:p>
    <w:p>
      <w:pPr>
        <w:jc w:val="left"/>
        <w:rPr>
          <w:color w:val="auto"/>
          <w:sz w:val="24"/>
          <w:highlight w:val="none"/>
        </w:rPr>
      </w:pPr>
    </w:p>
    <w:p>
      <w:pPr>
        <w:pStyle w:val="5"/>
        <w:jc w:val="center"/>
        <w:outlineLvl w:val="2"/>
        <w:rPr>
          <w:b w:val="0"/>
          <w:bCs w:val="0"/>
          <w:color w:val="auto"/>
          <w:sz w:val="24"/>
          <w:szCs w:val="24"/>
          <w:highlight w:val="none"/>
        </w:rPr>
      </w:pPr>
      <w:r>
        <w:rPr>
          <w:b w:val="0"/>
          <w:bCs w:val="0"/>
          <w:color w:val="auto"/>
          <w:sz w:val="30"/>
          <w:highlight w:val="none"/>
        </w:rPr>
        <w:br w:type="page"/>
      </w:r>
      <w:bookmarkStart w:id="533" w:name="_Toc1391"/>
      <w:r>
        <w:rPr>
          <w:rFonts w:hint="eastAsia"/>
          <w:b w:val="0"/>
          <w:bCs w:val="0"/>
          <w:color w:val="auto"/>
          <w:sz w:val="24"/>
          <w:szCs w:val="24"/>
          <w:highlight w:val="none"/>
        </w:rPr>
        <w:t>4.</w:t>
      </w:r>
      <w:bookmarkStart w:id="534" w:name="OLE_LINK39"/>
      <w:r>
        <w:rPr>
          <w:rFonts w:hint="eastAsia"/>
          <w:b w:val="0"/>
          <w:bCs w:val="0"/>
          <w:color w:val="auto"/>
          <w:sz w:val="24"/>
          <w:szCs w:val="24"/>
          <w:highlight w:val="none"/>
        </w:rPr>
        <w:t>政府采购投标及履约承诺函</w:t>
      </w:r>
      <w:bookmarkEnd w:id="533"/>
      <w:bookmarkEnd w:id="534"/>
    </w:p>
    <w:p>
      <w:pPr>
        <w:spacing w:after="60"/>
        <w:rPr>
          <w:rFonts w:ascii="宋体" w:hAnsi="宋体"/>
          <w:color w:val="auto"/>
          <w:kern w:val="0"/>
          <w:szCs w:val="21"/>
          <w:highlight w:val="none"/>
        </w:rPr>
      </w:pPr>
      <w:r>
        <w:rPr>
          <w:rFonts w:hint="eastAsia" w:ascii="宋体" w:hAnsi="宋体"/>
          <w:color w:val="auto"/>
          <w:szCs w:val="21"/>
          <w:highlight w:val="none"/>
        </w:rPr>
        <w:t>致：</w:t>
      </w:r>
      <w:r>
        <w:rPr>
          <w:rFonts w:hint="eastAsia" w:ascii="宋体" w:hAnsi="宋体"/>
          <w:color w:val="auto"/>
          <w:kern w:val="0"/>
          <w:szCs w:val="21"/>
          <w:highlight w:val="none"/>
        </w:rPr>
        <w:t>深圳市前海深港现代服务业合作区管理局</w:t>
      </w:r>
    </w:p>
    <w:p>
      <w:pPr>
        <w:spacing w:line="360" w:lineRule="auto"/>
        <w:ind w:firstLine="540"/>
        <w:rPr>
          <w:color w:val="auto"/>
          <w:highlight w:val="none"/>
        </w:rPr>
      </w:pPr>
      <w:r>
        <w:rPr>
          <w:color w:val="auto"/>
          <w:highlight w:val="none"/>
        </w:rPr>
        <w:t>我单位承诺：</w:t>
      </w:r>
    </w:p>
    <w:p>
      <w:pPr>
        <w:numPr>
          <w:ilvl w:val="0"/>
          <w:numId w:val="9"/>
        </w:numPr>
        <w:spacing w:line="360" w:lineRule="auto"/>
        <w:ind w:firstLine="420" w:firstLineChars="200"/>
        <w:rPr>
          <w:color w:val="auto"/>
          <w:szCs w:val="21"/>
          <w:highlight w:val="none"/>
        </w:rPr>
      </w:pPr>
      <w:r>
        <w:rPr>
          <w:color w:val="auto"/>
          <w:szCs w:val="21"/>
          <w:highlight w:val="none"/>
        </w:rPr>
        <w:t>我单位参与本项目投标前三年内，在经</w:t>
      </w:r>
      <w:r>
        <w:rPr>
          <w:color w:val="auto"/>
          <w:highlight w:val="none"/>
        </w:rPr>
        <w:t>营活动中没有重大违法记录。</w:t>
      </w:r>
    </w:p>
    <w:p>
      <w:pPr>
        <w:numPr>
          <w:ilvl w:val="0"/>
          <w:numId w:val="9"/>
        </w:numPr>
        <w:spacing w:line="360" w:lineRule="auto"/>
        <w:ind w:firstLine="420" w:firstLineChars="200"/>
        <w:rPr>
          <w:color w:val="auto"/>
          <w:highlight w:val="none"/>
        </w:rPr>
      </w:pPr>
      <w:r>
        <w:rPr>
          <w:color w:val="auto"/>
          <w:highlight w:val="none"/>
        </w:rPr>
        <w:t>我单位参与本项目政府采购活动时不存在被有关部门禁止参与政府采购活动且在有效期内的情况。</w:t>
      </w:r>
    </w:p>
    <w:p>
      <w:pPr>
        <w:numPr>
          <w:ilvl w:val="0"/>
          <w:numId w:val="9"/>
        </w:numPr>
        <w:spacing w:line="360" w:lineRule="auto"/>
        <w:ind w:firstLine="420" w:firstLineChars="200"/>
        <w:rPr>
          <w:color w:val="auto"/>
          <w:highlight w:val="none"/>
        </w:rPr>
      </w:pPr>
      <w:r>
        <w:rPr>
          <w:color w:val="auto"/>
          <w:highlight w:val="none"/>
        </w:rPr>
        <w:t>我单位参与本项目近三年内（投标人成立不足三年的可从成立之日起算），我单位、单位法定代表人均无行贿犯罪记录。</w:t>
      </w:r>
    </w:p>
    <w:p>
      <w:pPr>
        <w:numPr>
          <w:ilvl w:val="0"/>
          <w:numId w:val="9"/>
        </w:numPr>
        <w:spacing w:line="360" w:lineRule="auto"/>
        <w:ind w:firstLine="420" w:firstLineChars="200"/>
        <w:rPr>
          <w:color w:val="auto"/>
          <w:highlight w:val="none"/>
        </w:rPr>
      </w:pPr>
      <w:r>
        <w:rPr>
          <w:rFonts w:hint="eastAsia"/>
          <w:color w:val="auto"/>
          <w:highlight w:val="none"/>
        </w:rPr>
        <w:t>我单位未被列入失信被执行人、重大税收违法案件当事人名单、政府采购严重违法失信行为记录名单。</w:t>
      </w:r>
    </w:p>
    <w:p>
      <w:pPr>
        <w:numPr>
          <w:ilvl w:val="0"/>
          <w:numId w:val="9"/>
        </w:numPr>
        <w:spacing w:line="360" w:lineRule="auto"/>
        <w:ind w:firstLine="420" w:firstLineChars="200"/>
        <w:rPr>
          <w:color w:val="auto"/>
          <w:highlight w:val="none"/>
        </w:rPr>
      </w:pPr>
      <w:r>
        <w:rPr>
          <w:color w:val="auto"/>
          <w:highlight w:val="none"/>
        </w:rPr>
        <w:t>我单位不存在“单位负责人为同一人或者存在直接控股、管理关系的不同供应商，参加同一合同项下的政府采购活动”的情形。</w:t>
      </w:r>
    </w:p>
    <w:p>
      <w:pPr>
        <w:numPr>
          <w:ilvl w:val="0"/>
          <w:numId w:val="9"/>
        </w:numPr>
        <w:spacing w:line="360" w:lineRule="auto"/>
        <w:ind w:firstLine="420" w:firstLineChars="200"/>
        <w:rPr>
          <w:color w:val="auto"/>
          <w:highlight w:val="none"/>
        </w:rPr>
      </w:pPr>
      <w:r>
        <w:rPr>
          <w:color w:val="auto"/>
          <w:highlight w:val="none"/>
        </w:rPr>
        <w:t>我单位未为本项目提供整体设计、规范编制或者项目管理、监理、检测等服务。</w:t>
      </w:r>
    </w:p>
    <w:p>
      <w:pPr>
        <w:numPr>
          <w:ilvl w:val="0"/>
          <w:numId w:val="9"/>
        </w:numPr>
        <w:spacing w:line="360" w:lineRule="auto"/>
        <w:ind w:firstLine="420" w:firstLineChars="200"/>
        <w:rPr>
          <w:color w:val="auto"/>
          <w:highlight w:val="none"/>
        </w:rPr>
      </w:pPr>
      <w:r>
        <w:rPr>
          <w:color w:val="auto"/>
          <w:highlight w:val="none"/>
        </w:rPr>
        <w:t>我单位具备《中华人民共和国政府采购法》第二十二条规定的供应商参加政府采购活动应当具备的条件：（一）具有独立承担民事责任的能力；（二）具有良好的商业信誉和健全的财务会计制度；（三）具有履行合同所必需的设备和专业技术能力；（四）有依法缴纳税收和社会保障资金的良好记录。</w:t>
      </w:r>
    </w:p>
    <w:p>
      <w:pPr>
        <w:numPr>
          <w:ilvl w:val="0"/>
          <w:numId w:val="9"/>
        </w:numPr>
        <w:spacing w:line="360" w:lineRule="auto"/>
        <w:ind w:firstLine="420" w:firstLineChars="200"/>
        <w:rPr>
          <w:color w:val="auto"/>
          <w:szCs w:val="21"/>
          <w:highlight w:val="none"/>
        </w:rPr>
      </w:pPr>
      <w:r>
        <w:rPr>
          <w:color w:val="auto"/>
          <w:szCs w:val="21"/>
          <w:highlight w:val="none"/>
        </w:rPr>
        <w:t>对本招标项目所提供的货物或服务未侵犯知识产权。</w:t>
      </w:r>
    </w:p>
    <w:p>
      <w:pPr>
        <w:numPr>
          <w:ilvl w:val="0"/>
          <w:numId w:val="9"/>
        </w:numPr>
        <w:spacing w:line="360" w:lineRule="auto"/>
        <w:ind w:firstLine="420" w:firstLineChars="200"/>
        <w:rPr>
          <w:color w:val="auto"/>
          <w:szCs w:val="21"/>
          <w:highlight w:val="none"/>
        </w:rPr>
      </w:pPr>
      <w:r>
        <w:rPr>
          <w:color w:val="auto"/>
          <w:szCs w:val="21"/>
          <w:highlight w:val="none"/>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9"/>
        </w:numPr>
        <w:spacing w:line="360" w:lineRule="auto"/>
        <w:ind w:firstLine="420" w:firstLineChars="200"/>
        <w:rPr>
          <w:color w:val="auto"/>
          <w:szCs w:val="21"/>
          <w:highlight w:val="none"/>
        </w:rPr>
      </w:pPr>
      <w:r>
        <w:rPr>
          <w:color w:val="auto"/>
          <w:szCs w:val="21"/>
          <w:highlight w:val="none"/>
        </w:rPr>
        <w:t>我单位参与该项目投标，严格遵守政府采购相关法律，投标做到诚实，不造假，不围标、串标、陪标。我单位已清楚，如违反上述要求，其投标将作废，被没收投标保证金，被列入不良记录名单并在网上曝光，同时将被提请政府采购监督管理部门给予一定年限内禁止参与政府采购活动或其他处罚。</w:t>
      </w:r>
    </w:p>
    <w:p>
      <w:pPr>
        <w:numPr>
          <w:ilvl w:val="0"/>
          <w:numId w:val="9"/>
        </w:numPr>
        <w:spacing w:line="360" w:lineRule="auto"/>
        <w:ind w:firstLine="420" w:firstLineChars="200"/>
        <w:rPr>
          <w:color w:val="auto"/>
          <w:highlight w:val="none"/>
        </w:rPr>
      </w:pPr>
      <w:r>
        <w:rPr>
          <w:color w:val="auto"/>
          <w:szCs w:val="21"/>
          <w:highlight w:val="none"/>
        </w:rPr>
        <w:t>如果中标，做到守信，不偷工减料，不非法转包、分包，依照本项目招标文件需求内容、签署的采购合同及本单位在投标中所作的一切承诺履约。项目验收达到全部指标优良。</w:t>
      </w:r>
    </w:p>
    <w:p>
      <w:pPr>
        <w:numPr>
          <w:ilvl w:val="0"/>
          <w:numId w:val="9"/>
        </w:numPr>
        <w:spacing w:line="360" w:lineRule="auto"/>
        <w:ind w:firstLine="420" w:firstLineChars="200"/>
        <w:rPr>
          <w:color w:val="auto"/>
          <w:szCs w:val="21"/>
          <w:highlight w:val="none"/>
        </w:rPr>
      </w:pPr>
      <w:r>
        <w:rPr>
          <w:color w:val="auto"/>
          <w:szCs w:val="21"/>
          <w:highlight w:val="none"/>
        </w:rPr>
        <w:t>我单位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360" w:lineRule="auto"/>
        <w:ind w:firstLine="540"/>
        <w:rPr>
          <w:color w:val="auto"/>
          <w:szCs w:val="21"/>
          <w:highlight w:val="none"/>
        </w:rPr>
      </w:pPr>
      <w:r>
        <w:rPr>
          <w:color w:val="auto"/>
          <w:szCs w:val="21"/>
          <w:highlight w:val="none"/>
        </w:rPr>
        <w:t>以上承诺，如有违反，愿依照国家相关法律处理，并承担由此给招标人带来的损失。</w:t>
      </w:r>
    </w:p>
    <w:p>
      <w:pPr>
        <w:spacing w:line="360" w:lineRule="auto"/>
        <w:ind w:firstLine="645"/>
        <w:rPr>
          <w:color w:val="auto"/>
          <w:szCs w:val="21"/>
          <w:highlight w:val="none"/>
        </w:rPr>
      </w:pPr>
    </w:p>
    <w:p>
      <w:pPr>
        <w:pStyle w:val="2"/>
        <w:ind w:firstLine="420" w:firstLineChars="200"/>
        <w:jc w:val="center"/>
        <w:rPr>
          <w:b/>
          <w:color w:val="auto"/>
          <w:szCs w:val="21"/>
          <w:highlight w:val="none"/>
        </w:rPr>
      </w:pPr>
      <w:r>
        <w:rPr>
          <w:color w:val="auto"/>
          <w:szCs w:val="21"/>
          <w:highlight w:val="none"/>
        </w:rPr>
        <w:t>投标单位：</w:t>
      </w:r>
    </w:p>
    <w:p>
      <w:pPr>
        <w:spacing w:line="360" w:lineRule="auto"/>
        <w:ind w:firstLine="3780" w:firstLineChars="1800"/>
        <w:rPr>
          <w:color w:val="auto"/>
          <w:szCs w:val="21"/>
          <w:highlight w:val="none"/>
        </w:rPr>
      </w:pPr>
      <w:r>
        <w:rPr>
          <w:color w:val="auto"/>
          <w:szCs w:val="21"/>
          <w:highlight w:val="none"/>
        </w:rPr>
        <w:t>日期：年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日</w:t>
      </w:r>
    </w:p>
    <w:p>
      <w:pPr>
        <w:rPr>
          <w:b/>
          <w:bCs/>
          <w:color w:val="auto"/>
          <w:sz w:val="30"/>
          <w:highlight w:val="none"/>
        </w:rPr>
      </w:pPr>
      <w:r>
        <w:rPr>
          <w:rFonts w:hint="eastAsia"/>
          <w:b/>
          <w:bCs/>
          <w:color w:val="auto"/>
          <w:sz w:val="30"/>
          <w:highlight w:val="none"/>
        </w:rPr>
        <w:br w:type="page"/>
      </w:r>
    </w:p>
    <w:p>
      <w:pPr>
        <w:jc w:val="center"/>
        <w:outlineLvl w:val="0"/>
        <w:rPr>
          <w:b/>
          <w:bCs/>
          <w:color w:val="auto"/>
          <w:sz w:val="30"/>
          <w:highlight w:val="none"/>
        </w:rPr>
      </w:pPr>
      <w:bookmarkStart w:id="535" w:name="_Toc6941"/>
      <w:bookmarkStart w:id="536" w:name="_Toc30072"/>
      <w:bookmarkStart w:id="537" w:name="_Toc29333"/>
      <w:bookmarkStart w:id="538" w:name="_Toc15206"/>
      <w:bookmarkStart w:id="539" w:name="_Toc13875"/>
      <w:bookmarkStart w:id="540" w:name="_Toc51746115"/>
      <w:bookmarkStart w:id="541" w:name="_Toc77523194"/>
      <w:bookmarkStart w:id="542" w:name="_Toc29237"/>
      <w:bookmarkStart w:id="543" w:name="_Toc29159"/>
      <w:bookmarkStart w:id="544" w:name="_Toc15756"/>
      <w:r>
        <w:rPr>
          <w:rFonts w:hint="eastAsia"/>
          <w:b/>
          <w:bCs/>
          <w:color w:val="auto"/>
          <w:sz w:val="30"/>
          <w:highlight w:val="none"/>
        </w:rPr>
        <w:t>第七章 招标项目评分表</w:t>
      </w:r>
      <w:bookmarkEnd w:id="535"/>
      <w:bookmarkEnd w:id="536"/>
      <w:bookmarkEnd w:id="537"/>
      <w:bookmarkEnd w:id="538"/>
      <w:bookmarkEnd w:id="539"/>
      <w:bookmarkEnd w:id="540"/>
      <w:bookmarkEnd w:id="541"/>
      <w:bookmarkEnd w:id="542"/>
      <w:bookmarkEnd w:id="543"/>
      <w:bookmarkEnd w:id="544"/>
    </w:p>
    <w:p>
      <w:pPr>
        <w:jc w:val="center"/>
        <w:rPr>
          <w:color w:val="auto"/>
          <w:highlight w:val="none"/>
        </w:rPr>
      </w:pPr>
    </w:p>
    <w:tbl>
      <w:tblPr>
        <w:tblStyle w:val="19"/>
        <w:tblW w:w="52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728"/>
        <w:gridCol w:w="1601"/>
        <w:gridCol w:w="485"/>
        <w:gridCol w:w="5291"/>
        <w:gridCol w:w="806"/>
      </w:tblGrid>
      <w:tr>
        <w:trPr>
          <w:trHeight w:val="70" w:hRule="atLeast"/>
          <w:jc w:val="center"/>
        </w:trPr>
        <w:tc>
          <w:tcPr>
            <w:tcW w:w="4547" w:type="pct"/>
            <w:gridSpan w:val="4"/>
            <w:shd w:val="clear" w:color="auto" w:fill="FFFFFF"/>
            <w:vAlign w:val="center"/>
          </w:tcPr>
          <w:p>
            <w:pPr>
              <w:keepNext w:val="0"/>
              <w:keepLines w:val="0"/>
              <w:suppressLineNumbers w:val="0"/>
              <w:tabs>
                <w:tab w:val="left" w:pos="426"/>
              </w:tabs>
              <w:spacing w:before="72" w:beforeLines="30" w:beforeAutospacing="0" w:after="72" w:afterLines="30" w:afterAutospacing="0" w:line="240" w:lineRule="auto"/>
              <w:ind w:left="0" w:right="0"/>
              <w:jc w:val="center"/>
              <w:rPr>
                <w:rFonts w:hint="default"/>
                <w:color w:val="auto"/>
                <w:szCs w:val="21"/>
                <w:highlight w:val="none"/>
              </w:rPr>
            </w:pPr>
            <w:r>
              <w:rPr>
                <w:rFonts w:hint="eastAsia"/>
                <w:b/>
                <w:bCs/>
                <w:color w:val="auto"/>
                <w:szCs w:val="21"/>
                <w:highlight w:val="none"/>
                <w:lang w:val="zh-CN"/>
              </w:rPr>
              <w:t>评分项及评分规则</w:t>
            </w:r>
          </w:p>
        </w:tc>
        <w:tc>
          <w:tcPr>
            <w:tcW w:w="452"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b/>
                <w:bCs/>
                <w:color w:val="auto"/>
                <w:szCs w:val="21"/>
                <w:highlight w:val="none"/>
                <w:lang w:val="zh-CN"/>
              </w:rPr>
            </w:pPr>
          </w:p>
        </w:tc>
      </w:tr>
      <w:tr>
        <w:tblPrEx>
          <w:shd w:val="clear" w:color="auto" w:fill="FFFFFF"/>
        </w:tblPrEx>
        <w:trPr>
          <w:trHeight w:val="133" w:hRule="atLeast"/>
          <w:jc w:val="center"/>
        </w:trPr>
        <w:tc>
          <w:tcPr>
            <w:tcW w:w="4547" w:type="pct"/>
            <w:gridSpan w:val="4"/>
            <w:shd w:val="clear" w:color="auto" w:fill="FFFFFF"/>
            <w:vAlign w:val="center"/>
          </w:tcPr>
          <w:p>
            <w:pPr>
              <w:keepNext w:val="0"/>
              <w:keepLines w:val="0"/>
              <w:suppressLineNumbers w:val="0"/>
              <w:tabs>
                <w:tab w:val="left" w:pos="426"/>
              </w:tabs>
              <w:spacing w:before="72" w:beforeLines="30" w:beforeAutospacing="0" w:after="72" w:afterLines="30" w:afterAutospacing="0" w:line="240" w:lineRule="auto"/>
              <w:ind w:left="0" w:right="0"/>
              <w:jc w:val="center"/>
              <w:rPr>
                <w:rFonts w:hint="default"/>
                <w:color w:val="auto"/>
                <w:szCs w:val="21"/>
                <w:highlight w:val="none"/>
              </w:rPr>
            </w:pPr>
            <w:r>
              <w:rPr>
                <w:rFonts w:hint="eastAsia"/>
                <w:b/>
                <w:bCs/>
                <w:color w:val="auto"/>
                <w:szCs w:val="21"/>
                <w:highlight w:val="none"/>
                <w:lang w:val="zh-CN"/>
              </w:rPr>
              <w:t>一、价格部分</w:t>
            </w:r>
          </w:p>
        </w:tc>
        <w:tc>
          <w:tcPr>
            <w:tcW w:w="452"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b/>
                <w:color w:val="auto"/>
                <w:szCs w:val="21"/>
                <w:highlight w:val="none"/>
                <w:lang w:val="en-US"/>
              </w:rPr>
            </w:pPr>
            <w:r>
              <w:rPr>
                <w:rFonts w:hint="eastAsia"/>
                <w:b/>
                <w:color w:val="auto"/>
                <w:szCs w:val="21"/>
                <w:highlight w:val="none"/>
                <w:lang w:val="en-US" w:eastAsia="zh-CN"/>
              </w:rPr>
              <w:t>15</w:t>
            </w:r>
          </w:p>
        </w:tc>
      </w:tr>
      <w:tr>
        <w:tblPrEx>
          <w:shd w:val="clear" w:color="auto" w:fill="FFFFFF"/>
        </w:tblPrEx>
        <w:trPr>
          <w:trHeight w:val="108" w:hRule="atLeast"/>
          <w:jc w:val="center"/>
        </w:trPr>
        <w:tc>
          <w:tcPr>
            <w:tcW w:w="409"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b/>
                <w:color w:val="auto"/>
                <w:szCs w:val="21"/>
                <w:highlight w:val="none"/>
              </w:rPr>
            </w:pPr>
            <w:r>
              <w:rPr>
                <w:rFonts w:hint="eastAsia"/>
                <w:b/>
                <w:color w:val="auto"/>
                <w:szCs w:val="21"/>
                <w:highlight w:val="none"/>
                <w:lang w:val="zh-CN"/>
              </w:rPr>
              <w:t>序号</w:t>
            </w:r>
          </w:p>
        </w:tc>
        <w:tc>
          <w:tcPr>
            <w:tcW w:w="898"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b/>
                <w:color w:val="auto"/>
                <w:szCs w:val="21"/>
                <w:highlight w:val="none"/>
              </w:rPr>
            </w:pPr>
            <w:r>
              <w:rPr>
                <w:rFonts w:hint="eastAsia"/>
                <w:b/>
                <w:color w:val="auto"/>
                <w:szCs w:val="21"/>
                <w:highlight w:val="none"/>
                <w:lang w:val="zh-CN"/>
              </w:rPr>
              <w:t>内容</w:t>
            </w:r>
          </w:p>
        </w:tc>
        <w:tc>
          <w:tcPr>
            <w:tcW w:w="272"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b/>
                <w:color w:val="auto"/>
                <w:szCs w:val="21"/>
                <w:highlight w:val="none"/>
              </w:rPr>
            </w:pPr>
            <w:r>
              <w:rPr>
                <w:rFonts w:hint="eastAsia"/>
                <w:b/>
                <w:color w:val="auto"/>
                <w:szCs w:val="21"/>
                <w:highlight w:val="none"/>
                <w:lang w:val="zh-CN"/>
              </w:rPr>
              <w:t>分数</w:t>
            </w:r>
          </w:p>
        </w:tc>
        <w:tc>
          <w:tcPr>
            <w:tcW w:w="2967"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b/>
                <w:color w:val="auto"/>
                <w:szCs w:val="21"/>
                <w:highlight w:val="none"/>
              </w:rPr>
            </w:pPr>
            <w:r>
              <w:rPr>
                <w:rFonts w:hint="eastAsia"/>
                <w:b/>
                <w:color w:val="auto"/>
                <w:szCs w:val="21"/>
                <w:highlight w:val="none"/>
                <w:lang w:val="zh-CN"/>
              </w:rPr>
              <w:t>评分规则</w:t>
            </w:r>
          </w:p>
        </w:tc>
        <w:tc>
          <w:tcPr>
            <w:tcW w:w="452"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b/>
                <w:color w:val="auto"/>
                <w:szCs w:val="21"/>
                <w:highlight w:val="none"/>
              </w:rPr>
            </w:pPr>
            <w:r>
              <w:rPr>
                <w:rFonts w:hint="eastAsia"/>
                <w:b/>
                <w:color w:val="auto"/>
                <w:sz w:val="20"/>
                <w:szCs w:val="21"/>
                <w:highlight w:val="none"/>
              </w:rPr>
              <w:t>评分方式</w:t>
            </w:r>
          </w:p>
        </w:tc>
      </w:tr>
      <w:tr>
        <w:tblPrEx>
          <w:shd w:val="clear" w:color="auto" w:fill="FFFFFF"/>
        </w:tblPrEx>
        <w:trPr>
          <w:trHeight w:val="1971" w:hRule="atLeast"/>
          <w:jc w:val="center"/>
        </w:trPr>
        <w:tc>
          <w:tcPr>
            <w:tcW w:w="409" w:type="pct"/>
            <w:shd w:val="clear" w:color="auto" w:fill="FFFFFF"/>
            <w:vAlign w:val="center"/>
          </w:tcPr>
          <w:p>
            <w:pPr>
              <w:keepNext w:val="0"/>
              <w:keepLines w:val="0"/>
              <w:suppressLineNumbers w:val="0"/>
              <w:tabs>
                <w:tab w:val="left" w:pos="426"/>
              </w:tabs>
              <w:spacing w:before="72" w:beforeLines="30" w:beforeAutospacing="0" w:after="72" w:afterLines="30" w:afterAutospacing="0" w:line="240" w:lineRule="auto"/>
              <w:ind w:left="0" w:right="0"/>
              <w:jc w:val="center"/>
              <w:rPr>
                <w:rFonts w:hint="default"/>
                <w:color w:val="auto"/>
                <w:szCs w:val="21"/>
                <w:highlight w:val="none"/>
              </w:rPr>
            </w:pPr>
            <w:r>
              <w:rPr>
                <w:rFonts w:hint="default"/>
                <w:color w:val="auto"/>
                <w:szCs w:val="21"/>
                <w:highlight w:val="none"/>
              </w:rPr>
              <w:t>1</w:t>
            </w:r>
          </w:p>
        </w:tc>
        <w:tc>
          <w:tcPr>
            <w:tcW w:w="898" w:type="pct"/>
            <w:shd w:val="clear" w:color="auto" w:fill="FFFFFF"/>
            <w:vAlign w:val="center"/>
          </w:tcPr>
          <w:p>
            <w:pPr>
              <w:keepNext w:val="0"/>
              <w:keepLines w:val="0"/>
              <w:suppressLineNumbers w:val="0"/>
              <w:tabs>
                <w:tab w:val="left" w:pos="426"/>
              </w:tabs>
              <w:spacing w:before="72" w:beforeLines="30" w:beforeAutospacing="0" w:after="72" w:afterLines="30" w:afterAutospacing="0" w:line="240" w:lineRule="auto"/>
              <w:ind w:left="0" w:right="0"/>
              <w:jc w:val="center"/>
              <w:rPr>
                <w:rFonts w:hint="default"/>
                <w:color w:val="auto"/>
                <w:szCs w:val="21"/>
                <w:highlight w:val="none"/>
              </w:rPr>
            </w:pPr>
            <w:r>
              <w:rPr>
                <w:rFonts w:hint="eastAsia"/>
                <w:color w:val="auto"/>
                <w:szCs w:val="21"/>
                <w:highlight w:val="none"/>
              </w:rPr>
              <w:t>价格部分</w:t>
            </w:r>
          </w:p>
        </w:tc>
        <w:tc>
          <w:tcPr>
            <w:tcW w:w="272" w:type="pct"/>
            <w:shd w:val="clear" w:color="auto" w:fill="FFFFFF"/>
            <w:vAlign w:val="center"/>
          </w:tcPr>
          <w:p>
            <w:pPr>
              <w:keepNext w:val="0"/>
              <w:keepLines w:val="0"/>
              <w:suppressLineNumbers w:val="0"/>
              <w:tabs>
                <w:tab w:val="left" w:pos="426"/>
              </w:tabs>
              <w:spacing w:before="72" w:beforeLines="30" w:beforeAutospacing="0" w:after="72" w:afterLines="30" w:afterAutospacing="0" w:line="240" w:lineRule="auto"/>
              <w:ind w:left="0" w:right="0"/>
              <w:jc w:val="center"/>
              <w:rPr>
                <w:rFonts w:hint="default" w:eastAsia="宋体"/>
                <w:color w:val="auto"/>
                <w:szCs w:val="21"/>
                <w:highlight w:val="none"/>
                <w:lang w:val="en-US" w:eastAsia="zh-CN"/>
              </w:rPr>
            </w:pPr>
            <w:r>
              <w:rPr>
                <w:rFonts w:hint="eastAsia"/>
                <w:color w:val="auto"/>
                <w:szCs w:val="21"/>
                <w:highlight w:val="none"/>
                <w:lang w:val="en-US" w:eastAsia="zh-CN"/>
              </w:rPr>
              <w:t>15</w:t>
            </w:r>
          </w:p>
        </w:tc>
        <w:tc>
          <w:tcPr>
            <w:tcW w:w="2967" w:type="pct"/>
            <w:shd w:val="clear" w:color="auto" w:fill="FFFFFF"/>
            <w:vAlign w:val="center"/>
          </w:tcPr>
          <w:p>
            <w:pPr>
              <w:keepNext w:val="0"/>
              <w:keepLines w:val="0"/>
              <w:widowControl/>
              <w:suppressLineNumbers w:val="0"/>
              <w:shd w:val="clear"/>
              <w:tabs>
                <w:tab w:val="left" w:pos="426"/>
              </w:tabs>
              <w:adjustRightInd/>
              <w:snapToGrid/>
              <w:spacing w:before="0" w:beforeAutospacing="0" w:after="0" w:afterAutospacing="0" w:line="240" w:lineRule="auto"/>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综合评分法中的价格分统一采用低价优先法计算,即满足招标文件要求且投标价格最低的投标报价为评标基准价,其价格分为满分。其他投标人的价格分统一按照下列公式计算：</w:t>
            </w:r>
          </w:p>
          <w:p>
            <w:pPr>
              <w:keepNext w:val="0"/>
              <w:keepLines w:val="0"/>
              <w:widowControl/>
              <w:suppressLineNumbers w:val="0"/>
              <w:shd w:val="clear"/>
              <w:tabs>
                <w:tab w:val="left" w:pos="426"/>
              </w:tabs>
              <w:adjustRightInd/>
              <w:snapToGrid/>
              <w:spacing w:before="0" w:beforeAutospacing="0" w:after="0" w:afterAutospacing="0" w:line="240" w:lineRule="auto"/>
              <w:ind w:left="0" w:right="0"/>
              <w:jc w:val="left"/>
              <w:textAlignment w:val="center"/>
              <w:rPr>
                <w:rFonts w:hint="eastAsia" w:ascii="宋体" w:hAnsi="宋体" w:eastAsia="宋体" w:cs="宋体"/>
                <w:b/>
                <w:color w:val="auto"/>
                <w:kern w:val="0"/>
                <w:sz w:val="21"/>
                <w:szCs w:val="21"/>
                <w:highlight w:val="none"/>
                <w:lang w:bidi="ar"/>
              </w:rPr>
            </w:pPr>
            <w:r>
              <w:rPr>
                <w:rFonts w:hint="eastAsia" w:ascii="宋体" w:hAnsi="宋体" w:eastAsia="宋体" w:cs="宋体"/>
                <w:color w:val="auto"/>
                <w:kern w:val="0"/>
                <w:sz w:val="21"/>
                <w:szCs w:val="21"/>
                <w:highlight w:val="none"/>
                <w:lang w:bidi="ar"/>
              </w:rPr>
              <w:t>投标报价得分=(评标基准价/投标报价)×权重</w:t>
            </w:r>
          </w:p>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rPr>
                <w:rFonts w:hint="default"/>
                <w:color w:val="auto"/>
                <w:szCs w:val="21"/>
                <w:highlight w:val="none"/>
              </w:rPr>
            </w:pPr>
            <w:r>
              <w:rPr>
                <w:rFonts w:hint="eastAsia" w:ascii="宋体" w:hAnsi="宋体" w:eastAsia="宋体" w:cs="宋体"/>
                <w:b/>
                <w:color w:val="auto"/>
                <w:kern w:val="0"/>
                <w:sz w:val="21"/>
                <w:szCs w:val="21"/>
                <w:highlight w:val="none"/>
                <w:lang w:bidi="ar"/>
              </w:rPr>
              <w:t>根</w:t>
            </w:r>
            <w:r>
              <w:rPr>
                <w:rFonts w:hint="eastAsia" w:ascii="宋体" w:hAnsi="宋体" w:eastAsia="宋体" w:cs="宋体"/>
                <w:b/>
                <w:color w:val="auto"/>
                <w:kern w:val="0"/>
                <w:sz w:val="21"/>
                <w:szCs w:val="21"/>
                <w:highlight w:val="none"/>
                <w:lang w:eastAsia="zh-CN" w:bidi="ar"/>
              </w:rPr>
              <w:t>据</w:t>
            </w:r>
            <w:r>
              <w:rPr>
                <w:rFonts w:hint="eastAsia" w:ascii="宋体" w:hAnsi="宋体" w:eastAsia="宋体" w:cs="宋体"/>
                <w:b/>
                <w:color w:val="auto"/>
                <w:kern w:val="0"/>
                <w:sz w:val="21"/>
                <w:szCs w:val="21"/>
                <w:highlight w:val="none"/>
                <w:lang w:bidi="ar"/>
              </w:rPr>
              <w:t>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tc>
        <w:tc>
          <w:tcPr>
            <w:tcW w:w="452"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color w:val="auto"/>
                <w:szCs w:val="21"/>
                <w:highlight w:val="none"/>
              </w:rPr>
            </w:pPr>
            <w:r>
              <w:rPr>
                <w:rFonts w:hint="eastAsia"/>
                <w:color w:val="auto"/>
                <w:szCs w:val="21"/>
                <w:highlight w:val="none"/>
              </w:rPr>
              <w:t>按</w:t>
            </w:r>
            <w:r>
              <w:rPr>
                <w:rFonts w:hint="default"/>
                <w:color w:val="auto"/>
                <w:szCs w:val="21"/>
                <w:highlight w:val="none"/>
              </w:rPr>
              <w:t>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70" w:hRule="atLeast"/>
          <w:jc w:val="center"/>
        </w:trPr>
        <w:tc>
          <w:tcPr>
            <w:tcW w:w="4547" w:type="pct"/>
            <w:gridSpan w:val="4"/>
            <w:shd w:val="clear" w:color="auto" w:fill="FFFFFF"/>
            <w:vAlign w:val="center"/>
          </w:tcPr>
          <w:p>
            <w:pPr>
              <w:keepNext w:val="0"/>
              <w:keepLines w:val="0"/>
              <w:suppressLineNumbers w:val="0"/>
              <w:tabs>
                <w:tab w:val="left" w:pos="426"/>
              </w:tabs>
              <w:spacing w:before="72" w:beforeLines="30" w:beforeAutospacing="0" w:after="72" w:afterLines="30" w:afterAutospacing="0" w:line="240" w:lineRule="auto"/>
              <w:ind w:left="11" w:right="0" w:hanging="11" w:hangingChars="5"/>
              <w:jc w:val="center"/>
              <w:rPr>
                <w:rFonts w:hint="default"/>
                <w:color w:val="auto"/>
                <w:szCs w:val="21"/>
                <w:highlight w:val="none"/>
              </w:rPr>
            </w:pPr>
            <w:r>
              <w:rPr>
                <w:rFonts w:hint="eastAsia"/>
                <w:b/>
                <w:bCs/>
                <w:color w:val="auto"/>
                <w:szCs w:val="21"/>
                <w:highlight w:val="none"/>
                <w:lang w:val="zh-CN"/>
              </w:rPr>
              <w:t>二、商务部分</w:t>
            </w:r>
          </w:p>
        </w:tc>
        <w:tc>
          <w:tcPr>
            <w:tcW w:w="452"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eastAsia="宋体"/>
                <w:b/>
                <w:color w:val="auto"/>
                <w:szCs w:val="21"/>
                <w:highlight w:val="none"/>
                <w:lang w:val="en-US" w:eastAsia="zh-CN"/>
              </w:rPr>
            </w:pPr>
            <w:r>
              <w:rPr>
                <w:rFonts w:hint="eastAsia"/>
                <w:b/>
                <w:color w:val="auto"/>
                <w:szCs w:val="21"/>
                <w:highlight w:val="none"/>
                <w:lang w:val="en-US" w:eastAsia="zh-CN"/>
              </w:rPr>
              <w:t>50</w:t>
            </w:r>
          </w:p>
        </w:tc>
      </w:tr>
      <w:tr>
        <w:tblPrEx>
          <w:shd w:val="clear" w:color="auto" w:fill="FFFFFF"/>
        </w:tblPrEx>
        <w:trPr>
          <w:trHeight w:val="554" w:hRule="atLeast"/>
          <w:jc w:val="center"/>
        </w:trPr>
        <w:tc>
          <w:tcPr>
            <w:tcW w:w="409"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b/>
                <w:color w:val="auto"/>
                <w:szCs w:val="21"/>
                <w:highlight w:val="none"/>
              </w:rPr>
            </w:pPr>
            <w:r>
              <w:rPr>
                <w:rFonts w:hint="eastAsia"/>
                <w:b/>
                <w:color w:val="auto"/>
                <w:szCs w:val="21"/>
                <w:highlight w:val="none"/>
                <w:lang w:val="zh-CN"/>
              </w:rPr>
              <w:t>序号</w:t>
            </w:r>
          </w:p>
        </w:tc>
        <w:tc>
          <w:tcPr>
            <w:tcW w:w="898"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b/>
                <w:color w:val="auto"/>
                <w:szCs w:val="21"/>
                <w:highlight w:val="none"/>
              </w:rPr>
            </w:pPr>
            <w:r>
              <w:rPr>
                <w:rFonts w:hint="eastAsia"/>
                <w:b/>
                <w:color w:val="auto"/>
                <w:szCs w:val="21"/>
                <w:highlight w:val="none"/>
                <w:lang w:val="zh-CN"/>
              </w:rPr>
              <w:t>内容</w:t>
            </w:r>
          </w:p>
        </w:tc>
        <w:tc>
          <w:tcPr>
            <w:tcW w:w="272"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b/>
                <w:color w:val="auto"/>
                <w:szCs w:val="21"/>
                <w:highlight w:val="none"/>
              </w:rPr>
            </w:pPr>
            <w:r>
              <w:rPr>
                <w:rFonts w:hint="eastAsia"/>
                <w:b/>
                <w:color w:val="auto"/>
                <w:szCs w:val="21"/>
                <w:highlight w:val="none"/>
                <w:lang w:val="zh-CN"/>
              </w:rPr>
              <w:t>分数</w:t>
            </w:r>
          </w:p>
        </w:tc>
        <w:tc>
          <w:tcPr>
            <w:tcW w:w="2967"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b/>
                <w:color w:val="auto"/>
                <w:szCs w:val="21"/>
                <w:highlight w:val="none"/>
              </w:rPr>
            </w:pPr>
            <w:r>
              <w:rPr>
                <w:rFonts w:hint="eastAsia"/>
                <w:b/>
                <w:color w:val="auto"/>
                <w:szCs w:val="21"/>
                <w:highlight w:val="none"/>
                <w:lang w:val="zh-CN"/>
              </w:rPr>
              <w:t>评分规则</w:t>
            </w:r>
          </w:p>
        </w:tc>
        <w:tc>
          <w:tcPr>
            <w:tcW w:w="452"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b/>
                <w:color w:val="auto"/>
                <w:szCs w:val="21"/>
                <w:highlight w:val="none"/>
              </w:rPr>
            </w:pPr>
            <w:r>
              <w:rPr>
                <w:rFonts w:hint="eastAsia"/>
                <w:b/>
                <w:color w:val="auto"/>
                <w:szCs w:val="21"/>
                <w:highlight w:val="none"/>
              </w:rPr>
              <w:t>评分方式</w:t>
            </w:r>
          </w:p>
        </w:tc>
      </w:tr>
      <w:tr>
        <w:tblPrEx>
          <w:shd w:val="clear" w:color="auto" w:fill="FFFFFF"/>
        </w:tblPrEx>
        <w:trPr>
          <w:trHeight w:val="803" w:hRule="atLeast"/>
          <w:jc w:val="center"/>
        </w:trPr>
        <w:tc>
          <w:tcPr>
            <w:tcW w:w="409" w:type="pct"/>
            <w:shd w:val="clear" w:color="auto" w:fill="FFFFFF"/>
            <w:vAlign w:val="center"/>
          </w:tcPr>
          <w:p>
            <w:pPr>
              <w:keepNext w:val="0"/>
              <w:keepLines w:val="0"/>
              <w:suppressLineNumbers w:val="0"/>
              <w:tabs>
                <w:tab w:val="left" w:pos="426"/>
              </w:tabs>
              <w:spacing w:before="72" w:beforeLines="30" w:beforeAutospacing="0" w:after="72" w:afterLines="30" w:afterAutospacing="0" w:line="240" w:lineRule="auto"/>
              <w:ind w:left="0" w:right="0"/>
              <w:jc w:val="center"/>
              <w:rPr>
                <w:rFonts w:hint="default" w:eastAsia="宋体"/>
                <w:color w:val="auto"/>
                <w:szCs w:val="21"/>
                <w:highlight w:val="none"/>
                <w:lang w:val="en-US" w:eastAsia="zh-CN"/>
              </w:rPr>
            </w:pPr>
            <w:r>
              <w:rPr>
                <w:rFonts w:hint="eastAsia"/>
                <w:color w:val="auto"/>
                <w:szCs w:val="21"/>
                <w:highlight w:val="none"/>
                <w:lang w:val="en-US" w:eastAsia="zh-CN"/>
              </w:rPr>
              <w:t>1</w:t>
            </w:r>
          </w:p>
        </w:tc>
        <w:tc>
          <w:tcPr>
            <w:tcW w:w="898" w:type="pct"/>
            <w:shd w:val="clear" w:color="auto" w:fill="FFFFFF"/>
            <w:vAlign w:val="center"/>
          </w:tcPr>
          <w:p>
            <w:pPr>
              <w:keepNext w:val="0"/>
              <w:keepLines w:val="0"/>
              <w:suppressLineNumbers w:val="0"/>
              <w:tabs>
                <w:tab w:val="left" w:pos="426"/>
              </w:tabs>
              <w:spacing w:before="0" w:beforeLines="30" w:beforeAutospacing="0" w:after="0" w:afterLines="30" w:afterAutospacing="0" w:line="240" w:lineRule="auto"/>
              <w:ind w:left="0" w:right="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投标人</w:t>
            </w:r>
            <w:r>
              <w:rPr>
                <w:rFonts w:hint="eastAsia"/>
                <w:szCs w:val="21"/>
              </w:rPr>
              <w:t>资质</w:t>
            </w:r>
          </w:p>
        </w:tc>
        <w:tc>
          <w:tcPr>
            <w:tcW w:w="272"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default" w:ascii="Times New Roman" w:hAnsi="Times New Roman" w:eastAsia="宋体" w:cs="Times New Roman"/>
                <w:kern w:val="2"/>
                <w:sz w:val="21"/>
                <w:szCs w:val="21"/>
                <w:lang w:val="en-US" w:eastAsia="zh-CN" w:bidi="ar-SA"/>
              </w:rPr>
            </w:pPr>
            <w:r>
              <w:rPr>
                <w:rFonts w:hint="eastAsia"/>
                <w:lang w:val="en-US" w:eastAsia="zh-CN"/>
              </w:rPr>
              <w:t>8</w:t>
            </w:r>
          </w:p>
        </w:tc>
        <w:tc>
          <w:tcPr>
            <w:tcW w:w="2967" w:type="pct"/>
            <w:shd w:val="clear" w:color="auto" w:fill="FFFFFF"/>
            <w:vAlign w:val="center"/>
          </w:tcPr>
          <w:p>
            <w:pPr>
              <w:keepNext w:val="0"/>
              <w:keepLines w:val="0"/>
              <w:suppressLineNumbers w:val="0"/>
              <w:shd w:val="clear"/>
              <w:tabs>
                <w:tab w:val="left" w:pos="426"/>
              </w:tabs>
              <w:spacing w:before="0" w:beforeAutospacing="0" w:after="0" w:afterAutospacing="0" w:line="240" w:lineRule="auto"/>
              <w:ind w:left="0" w:right="0"/>
              <w:rPr>
                <w:rFonts w:hint="default"/>
                <w:b/>
                <w:bCs/>
              </w:rPr>
            </w:pPr>
            <w:r>
              <w:rPr>
                <w:rFonts w:hint="eastAsia"/>
                <w:b/>
                <w:bCs/>
              </w:rPr>
              <w:t>（一）评审内容：</w:t>
            </w:r>
          </w:p>
          <w:p>
            <w:pPr>
              <w:keepNext w:val="0"/>
              <w:keepLines w:val="0"/>
              <w:suppressLineNumbers w:val="0"/>
              <w:tabs>
                <w:tab w:val="left" w:pos="426"/>
              </w:tabs>
              <w:spacing w:before="0" w:beforeLines="30" w:beforeAutospacing="0" w:after="0" w:afterLines="30" w:afterAutospacing="0" w:line="240" w:lineRule="auto"/>
              <w:ind w:left="0" w:right="0"/>
              <w:rPr>
                <w:rFonts w:hint="eastAsia"/>
              </w:rPr>
            </w:pPr>
            <w:r>
              <w:rPr>
                <w:rFonts w:hint="eastAsia"/>
                <w:lang w:val="en-US" w:eastAsia="zh-CN"/>
              </w:rPr>
              <w:t>1</w:t>
            </w:r>
            <w:r>
              <w:rPr>
                <w:rFonts w:hint="eastAsia"/>
              </w:rPr>
              <w:t>.投标人具有工程咨询单位资格证书（通信信息专业），得</w:t>
            </w:r>
            <w:r>
              <w:rPr>
                <w:rFonts w:hint="eastAsia"/>
                <w:lang w:val="en-US" w:eastAsia="zh-CN"/>
              </w:rPr>
              <w:t>2</w:t>
            </w:r>
            <w:r>
              <w:rPr>
                <w:rFonts w:hint="eastAsia"/>
              </w:rPr>
              <w:t>分。</w:t>
            </w:r>
          </w:p>
          <w:p>
            <w:pPr>
              <w:keepNext w:val="0"/>
              <w:keepLines w:val="0"/>
              <w:suppressLineNumbers w:val="0"/>
              <w:tabs>
                <w:tab w:val="left" w:pos="426"/>
              </w:tabs>
              <w:spacing w:before="0" w:beforeLines="30" w:beforeAutospacing="0" w:after="0" w:afterLines="30" w:afterAutospacing="0"/>
              <w:ind w:left="0" w:right="0"/>
              <w:rPr>
                <w:rFonts w:hint="eastAsia"/>
              </w:rPr>
            </w:pPr>
            <w:r>
              <w:rPr>
                <w:rFonts w:hint="eastAsia"/>
                <w:lang w:val="en-US" w:eastAsia="zh-CN"/>
              </w:rPr>
              <w:t>2</w:t>
            </w:r>
            <w:r>
              <w:rPr>
                <w:rFonts w:hint="eastAsia"/>
              </w:rPr>
              <w:t>.</w:t>
            </w:r>
            <w:r>
              <w:rPr>
                <w:rFonts w:hint="eastAsia"/>
                <w:szCs w:val="21"/>
              </w:rPr>
              <w:t>投标人具有</w:t>
            </w:r>
            <w:r>
              <w:rPr>
                <w:rFonts w:hint="eastAsia"/>
                <w:szCs w:val="21"/>
                <w:lang w:val="en-US" w:eastAsia="zh-CN"/>
              </w:rPr>
              <w:t>中国电子企业协会颁发的</w:t>
            </w:r>
            <w:r>
              <w:rPr>
                <w:rFonts w:hint="eastAsia" w:ascii="宋体" w:hAnsi="宋体" w:eastAsia="宋体" w:cs="宋体"/>
                <w:szCs w:val="21"/>
              </w:rPr>
              <w:t>信息系统工程监理服务标准贯标甲级证书</w:t>
            </w:r>
            <w:r>
              <w:rPr>
                <w:rFonts w:hint="eastAsia"/>
                <w:lang w:eastAsia="zh-CN"/>
              </w:rPr>
              <w:t>，</w:t>
            </w:r>
            <w:r>
              <w:rPr>
                <w:rFonts w:hint="eastAsia"/>
              </w:rPr>
              <w:t>得</w:t>
            </w:r>
            <w:r>
              <w:rPr>
                <w:rFonts w:hint="eastAsia"/>
                <w:lang w:val="en-US" w:eastAsia="zh-CN"/>
              </w:rPr>
              <w:t>2</w:t>
            </w:r>
            <w:r>
              <w:rPr>
                <w:rFonts w:hint="eastAsia"/>
              </w:rPr>
              <w:t>分。</w:t>
            </w:r>
          </w:p>
          <w:p>
            <w:pPr>
              <w:pStyle w:val="11"/>
              <w:keepNext w:val="0"/>
              <w:keepLines w:val="0"/>
              <w:suppressLineNumbers w:val="0"/>
              <w:spacing w:before="0" w:beforeAutospacing="0" w:after="0" w:afterAutospacing="0"/>
              <w:ind w:left="0" w:right="0"/>
              <w:rPr>
                <w:rFonts w:hint="eastAsia"/>
                <w:sz w:val="21"/>
                <w:szCs w:val="21"/>
              </w:rPr>
            </w:pPr>
            <w:r>
              <w:rPr>
                <w:rFonts w:hint="eastAsia"/>
                <w:sz w:val="21"/>
                <w:szCs w:val="21"/>
                <w:lang w:val="en-US" w:eastAsia="zh-CN"/>
              </w:rPr>
              <w:t>3.</w:t>
            </w:r>
            <w:r>
              <w:rPr>
                <w:rFonts w:hint="eastAsia"/>
                <w:sz w:val="21"/>
                <w:szCs w:val="21"/>
              </w:rPr>
              <w:t>投标人具有</w:t>
            </w:r>
            <w:r>
              <w:rPr>
                <w:rFonts w:hint="eastAsia" w:ascii="Times New Roman" w:hAnsi="Times New Roman" w:eastAsia="宋体" w:cs="Times New Roman"/>
                <w:sz w:val="21"/>
                <w:szCs w:val="21"/>
              </w:rPr>
              <w:t>中国电子工业标准化技术协会颁发的ITSS信息技术服务标准符合性证书</w:t>
            </w:r>
            <w:r>
              <w:rPr>
                <w:rFonts w:hint="eastAsia" w:cs="Times New Roman"/>
                <w:sz w:val="21"/>
                <w:szCs w:val="21"/>
                <w:lang w:eastAsia="zh-CN"/>
              </w:rPr>
              <w:t>，</w:t>
            </w:r>
            <w:r>
              <w:rPr>
                <w:rFonts w:hint="eastAsia"/>
                <w:sz w:val="21"/>
                <w:szCs w:val="21"/>
              </w:rPr>
              <w:t>得2分。</w:t>
            </w:r>
          </w:p>
          <w:p>
            <w:pPr>
              <w:keepNext w:val="0"/>
              <w:keepLines w:val="0"/>
              <w:suppressLineNumbers w:val="0"/>
              <w:tabs>
                <w:tab w:val="left" w:pos="426"/>
              </w:tabs>
              <w:spacing w:before="0" w:beforeLines="30" w:beforeAutospacing="0" w:after="0" w:afterLines="30" w:afterAutospacing="0"/>
              <w:ind w:left="0" w:right="0"/>
              <w:rPr>
                <w:rFonts w:hint="default"/>
                <w:sz w:val="21"/>
                <w:szCs w:val="21"/>
              </w:rPr>
            </w:pPr>
            <w:r>
              <w:rPr>
                <w:rFonts w:hint="eastAsia"/>
                <w:lang w:val="en-US" w:eastAsia="zh-CN"/>
              </w:rPr>
              <w:t>4</w:t>
            </w:r>
            <w:r>
              <w:rPr>
                <w:rFonts w:hint="eastAsia"/>
              </w:rPr>
              <w:t>.投标人具有信息安全服务资质认证证书，得</w:t>
            </w:r>
            <w:r>
              <w:rPr>
                <w:rFonts w:hint="eastAsia"/>
                <w:lang w:val="en-US" w:eastAsia="zh-CN"/>
              </w:rPr>
              <w:t>2</w:t>
            </w:r>
            <w:r>
              <w:rPr>
                <w:rFonts w:hint="eastAsia"/>
              </w:rPr>
              <w:t>分。</w:t>
            </w:r>
          </w:p>
          <w:p>
            <w:pPr>
              <w:keepNext w:val="0"/>
              <w:keepLines w:val="0"/>
              <w:suppressLineNumbers w:val="0"/>
              <w:tabs>
                <w:tab w:val="left" w:pos="426"/>
              </w:tabs>
              <w:spacing w:before="0" w:beforeLines="30" w:beforeAutospacing="0" w:after="0" w:afterLines="30" w:afterAutospacing="0" w:line="240" w:lineRule="auto"/>
              <w:ind w:left="0" w:right="0"/>
              <w:rPr>
                <w:rFonts w:hint="default" w:eastAsia="宋体"/>
                <w:lang w:val="en-US" w:eastAsia="zh-CN"/>
              </w:rPr>
            </w:pPr>
            <w:r>
              <w:rPr>
                <w:rFonts w:hint="eastAsia"/>
                <w:lang w:val="en-US" w:eastAsia="zh-CN"/>
              </w:rPr>
              <w:t>以上四项合计最高得8分。</w:t>
            </w:r>
          </w:p>
          <w:p>
            <w:pPr>
              <w:keepNext w:val="0"/>
              <w:keepLines w:val="0"/>
              <w:suppressLineNumbers w:val="0"/>
              <w:shd w:val="clear"/>
              <w:tabs>
                <w:tab w:val="left" w:pos="426"/>
              </w:tabs>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（二）评分依据：</w:t>
            </w:r>
          </w:p>
          <w:p>
            <w:pPr>
              <w:pStyle w:val="2"/>
              <w:keepNext w:val="0"/>
              <w:keepLines w:val="0"/>
              <w:suppressLineNumbers w:val="0"/>
              <w:spacing w:before="0" w:beforeAutospacing="0" w:afterAutospacing="0"/>
              <w:ind w:left="0" w:right="0"/>
              <w:rPr>
                <w:rFonts w:hint="default"/>
                <w:lang w:val="en-US" w:eastAsia="zh-CN"/>
              </w:rPr>
            </w:pPr>
            <w:r>
              <w:rPr>
                <w:rFonts w:hint="eastAsia" w:ascii="宋体" w:hAnsi="宋体" w:eastAsia="宋体" w:cs="宋体"/>
                <w:color w:val="auto"/>
                <w:sz w:val="21"/>
                <w:szCs w:val="21"/>
                <w:highlight w:val="none"/>
              </w:rPr>
              <w:t>提供有效证书复印件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加盖</w:t>
            </w:r>
            <w:r>
              <w:rPr>
                <w:rFonts w:hint="eastAsia" w:ascii="宋体" w:hAnsi="宋体" w:eastAsia="宋体" w:cs="宋体"/>
                <w:color w:val="auto"/>
                <w:sz w:val="21"/>
                <w:szCs w:val="21"/>
                <w:highlight w:val="none"/>
                <w:lang w:val="en-US" w:eastAsia="zh-CN"/>
              </w:rPr>
              <w:t>投标人公章</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原件备查</w:t>
            </w:r>
            <w:r>
              <w:rPr>
                <w:rFonts w:hint="eastAsia" w:ascii="宋体" w:hAnsi="宋体" w:eastAsia="宋体" w:cs="宋体"/>
                <w:color w:val="auto"/>
                <w:sz w:val="21"/>
                <w:szCs w:val="21"/>
                <w:highlight w:val="none"/>
              </w:rPr>
              <w:t>，评分中出现无证明</w:t>
            </w:r>
            <w:r>
              <w:rPr>
                <w:rFonts w:hint="eastAsia" w:ascii="宋体" w:hAnsi="宋体" w:eastAsia="宋体" w:cs="宋体"/>
                <w:color w:val="auto"/>
                <w:sz w:val="21"/>
                <w:szCs w:val="21"/>
                <w:highlight w:val="none"/>
                <w:lang w:val="en-US" w:eastAsia="zh-CN"/>
              </w:rPr>
              <w:t>资料</w:t>
            </w:r>
            <w:r>
              <w:rPr>
                <w:rFonts w:hint="eastAsia" w:ascii="宋体" w:hAnsi="宋体" w:eastAsia="宋体" w:cs="宋体"/>
                <w:color w:val="auto"/>
                <w:sz w:val="21"/>
                <w:szCs w:val="21"/>
                <w:highlight w:val="none"/>
              </w:rPr>
              <w:t>或专家无法</w:t>
            </w:r>
            <w:r>
              <w:rPr>
                <w:rFonts w:hint="eastAsia" w:ascii="宋体" w:hAnsi="宋体" w:eastAsia="宋体" w:cs="宋体"/>
                <w:color w:val="auto"/>
                <w:sz w:val="21"/>
                <w:szCs w:val="21"/>
                <w:highlight w:val="none"/>
                <w:lang w:val="en-US" w:eastAsia="zh-CN"/>
              </w:rPr>
              <w:t>凭</w:t>
            </w:r>
            <w:r>
              <w:rPr>
                <w:rFonts w:hint="eastAsia" w:ascii="宋体" w:hAnsi="宋体" w:eastAsia="宋体" w:cs="宋体"/>
                <w:color w:val="auto"/>
                <w:sz w:val="21"/>
                <w:szCs w:val="21"/>
                <w:highlight w:val="none"/>
              </w:rPr>
              <w:t>所提供数据判断是否得分的情况，一律</w:t>
            </w:r>
            <w:r>
              <w:rPr>
                <w:rFonts w:hint="eastAsia" w:ascii="宋体" w:hAnsi="宋体" w:eastAsia="宋体" w:cs="宋体"/>
                <w:color w:val="auto"/>
                <w:sz w:val="21"/>
                <w:szCs w:val="21"/>
                <w:highlight w:val="none"/>
                <w:lang w:val="en-US" w:eastAsia="zh-CN"/>
              </w:rPr>
              <w:t>作</w:t>
            </w:r>
            <w:r>
              <w:rPr>
                <w:rFonts w:hint="eastAsia" w:ascii="宋体" w:hAnsi="宋体" w:eastAsia="宋体" w:cs="宋体"/>
                <w:color w:val="auto"/>
                <w:sz w:val="21"/>
                <w:szCs w:val="21"/>
                <w:highlight w:val="none"/>
              </w:rPr>
              <w:t>不能得分处理</w:t>
            </w:r>
            <w:r>
              <w:rPr>
                <w:rFonts w:hint="eastAsia" w:ascii="宋体" w:hAnsi="宋体" w:eastAsia="宋体" w:cs="宋体"/>
                <w:color w:val="auto"/>
                <w:sz w:val="21"/>
                <w:szCs w:val="21"/>
                <w:highlight w:val="none"/>
                <w:lang w:eastAsia="zh-CN"/>
              </w:rPr>
              <w:t>。</w:t>
            </w:r>
          </w:p>
        </w:tc>
        <w:tc>
          <w:tcPr>
            <w:tcW w:w="452"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default" w:ascii="Times New Roman" w:hAnsi="Times New Roman" w:eastAsia="宋体" w:cs="Times New Roman"/>
                <w:kern w:val="2"/>
                <w:sz w:val="21"/>
                <w:szCs w:val="21"/>
                <w:lang w:val="zh-CN" w:eastAsia="zh-CN" w:bidi="ar-SA"/>
              </w:rPr>
            </w:pPr>
            <w:r>
              <w:rPr>
                <w:rFonts w:hint="eastAsia"/>
                <w:szCs w:val="21"/>
                <w:lang w:val="zh-CN"/>
              </w:rPr>
              <w:t>专家打分</w:t>
            </w:r>
          </w:p>
        </w:tc>
      </w:tr>
      <w:tr>
        <w:tblPrEx>
          <w:shd w:val="clear" w:color="auto" w:fill="FFFFFF"/>
        </w:tblPrEx>
        <w:trPr>
          <w:trHeight w:val="416" w:hRule="atLeast"/>
          <w:jc w:val="center"/>
        </w:trPr>
        <w:tc>
          <w:tcPr>
            <w:tcW w:w="409" w:type="pct"/>
            <w:shd w:val="clear" w:color="auto" w:fill="FFFFFF"/>
            <w:vAlign w:val="center"/>
          </w:tcPr>
          <w:p>
            <w:pPr>
              <w:keepNext w:val="0"/>
              <w:keepLines w:val="0"/>
              <w:suppressLineNumbers w:val="0"/>
              <w:tabs>
                <w:tab w:val="left" w:pos="426"/>
              </w:tabs>
              <w:spacing w:before="72" w:beforeLines="30" w:beforeAutospacing="0" w:after="72" w:afterLines="30" w:afterAutospacing="0" w:line="240" w:lineRule="auto"/>
              <w:ind w:left="0" w:right="0"/>
              <w:jc w:val="center"/>
              <w:rPr>
                <w:rFonts w:hint="default" w:eastAsia="宋体"/>
                <w:color w:val="auto"/>
                <w:szCs w:val="21"/>
                <w:highlight w:val="none"/>
                <w:lang w:val="en-US" w:eastAsia="zh-CN"/>
              </w:rPr>
            </w:pPr>
            <w:r>
              <w:rPr>
                <w:rFonts w:hint="eastAsia"/>
                <w:color w:val="auto"/>
                <w:szCs w:val="21"/>
                <w:highlight w:val="none"/>
                <w:lang w:val="en-US" w:eastAsia="zh-CN"/>
              </w:rPr>
              <w:t>2</w:t>
            </w:r>
          </w:p>
        </w:tc>
        <w:tc>
          <w:tcPr>
            <w:tcW w:w="898"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default" w:ascii="Times New Roman" w:hAnsi="Times New Roman" w:eastAsia="宋体" w:cs="Times New Roman"/>
                <w:kern w:val="2"/>
                <w:sz w:val="21"/>
                <w:szCs w:val="21"/>
                <w:lang w:val="zh-CN" w:eastAsia="zh-CN" w:bidi="ar-SA"/>
              </w:rPr>
            </w:pPr>
            <w:r>
              <w:rPr>
                <w:rFonts w:hint="eastAsia"/>
                <w:szCs w:val="21"/>
                <w:lang w:val="zh-CN"/>
              </w:rPr>
              <w:t>管理体系</w:t>
            </w:r>
          </w:p>
        </w:tc>
        <w:tc>
          <w:tcPr>
            <w:tcW w:w="272"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default" w:ascii="Times New Roman" w:hAnsi="Times New Roman" w:eastAsia="宋体" w:cs="Times New Roman"/>
                <w:kern w:val="2"/>
                <w:sz w:val="21"/>
                <w:szCs w:val="21"/>
                <w:lang w:val="en-US" w:eastAsia="zh-CN" w:bidi="ar-SA"/>
              </w:rPr>
            </w:pPr>
            <w:r>
              <w:rPr>
                <w:rFonts w:hint="default"/>
              </w:rPr>
              <w:t>4</w:t>
            </w:r>
          </w:p>
        </w:tc>
        <w:tc>
          <w:tcPr>
            <w:tcW w:w="2967" w:type="pct"/>
            <w:shd w:val="clear" w:color="auto" w:fill="FFFFFF"/>
            <w:vAlign w:val="center"/>
          </w:tcPr>
          <w:p>
            <w:pPr>
              <w:keepNext w:val="0"/>
              <w:keepLines w:val="0"/>
              <w:suppressLineNumbers w:val="0"/>
              <w:tabs>
                <w:tab w:val="left" w:pos="426"/>
              </w:tabs>
              <w:spacing w:before="0" w:beforeLines="-2147483648" w:beforeAutospacing="0" w:after="0" w:afterLines="-2147483648" w:afterAutospacing="0" w:line="240" w:lineRule="auto"/>
              <w:ind w:left="0" w:right="0"/>
              <w:rPr>
                <w:rFonts w:hint="eastAsia"/>
                <w:szCs w:val="21"/>
              </w:rPr>
            </w:pPr>
            <w:r>
              <w:rPr>
                <w:rFonts w:hint="eastAsia"/>
                <w:b/>
                <w:bCs/>
              </w:rPr>
              <w:t>（一）评审内容：</w:t>
            </w:r>
          </w:p>
          <w:p>
            <w:pPr>
              <w:pStyle w:val="2"/>
              <w:keepNext w:val="0"/>
              <w:keepLines w:val="0"/>
              <w:suppressLineNumbers w:val="0"/>
              <w:spacing w:before="0" w:beforeAutospacing="0" w:afterAutospacing="0"/>
              <w:ind w:left="0" w:right="0"/>
              <w:rPr>
                <w:rFonts w:hint="eastAsia" w:ascii="宋体" w:hAnsi="宋体" w:cs="宋体"/>
                <w:b w:val="0"/>
                <w:bCs w:val="0"/>
                <w:color w:val="auto"/>
                <w:sz w:val="21"/>
                <w:szCs w:val="21"/>
                <w:highlight w:val="none"/>
                <w:lang w:val="en-US" w:eastAsia="zh-CN"/>
              </w:rPr>
            </w:pPr>
            <w:r>
              <w:rPr>
                <w:rFonts w:hint="eastAsia"/>
                <w:szCs w:val="21"/>
                <w:lang w:val="en-US" w:eastAsia="zh-CN"/>
              </w:rPr>
              <w:t>1.投标人具有</w:t>
            </w:r>
            <w:r>
              <w:rPr>
                <w:rFonts w:hint="eastAsia"/>
                <w:szCs w:val="21"/>
              </w:rPr>
              <w:t>ISO20000信息技术服务管理体系</w:t>
            </w:r>
            <w:r>
              <w:rPr>
                <w:rFonts w:hint="eastAsia" w:ascii="宋体" w:hAnsi="宋体" w:eastAsia="宋体" w:cs="宋体"/>
                <w:b w:val="0"/>
                <w:bCs w:val="0"/>
                <w:color w:val="auto"/>
                <w:sz w:val="21"/>
                <w:szCs w:val="21"/>
                <w:highlight w:val="none"/>
                <w:lang w:val="en-US" w:eastAsia="zh-CN"/>
              </w:rPr>
              <w:t>认证证书</w:t>
            </w:r>
            <w:r>
              <w:rPr>
                <w:rFonts w:hint="eastAsia" w:ascii="宋体" w:hAnsi="宋体" w:cs="宋体"/>
                <w:b w:val="0"/>
                <w:bCs w:val="0"/>
                <w:color w:val="auto"/>
                <w:sz w:val="21"/>
                <w:szCs w:val="21"/>
                <w:highlight w:val="none"/>
                <w:lang w:val="en-US" w:eastAsia="zh-CN"/>
              </w:rPr>
              <w:t>,得2分。</w:t>
            </w:r>
          </w:p>
          <w:p>
            <w:pPr>
              <w:keepNext w:val="0"/>
              <w:keepLines w:val="0"/>
              <w:suppressLineNumbers w:val="0"/>
              <w:spacing w:before="0" w:beforeAutospacing="0" w:after="0" w:afterAutospacing="0"/>
              <w:ind w:left="0" w:right="0"/>
              <w:rPr>
                <w:rFonts w:hint="default"/>
                <w:lang w:val="en-US" w:eastAsia="zh-CN"/>
              </w:rPr>
            </w:pPr>
            <w:r>
              <w:rPr>
                <w:rFonts w:hint="eastAsia" w:ascii="宋体" w:hAnsi="宋体" w:cs="宋体"/>
                <w:b w:val="0"/>
                <w:bCs w:val="0"/>
                <w:color w:val="auto"/>
                <w:sz w:val="21"/>
                <w:szCs w:val="21"/>
                <w:highlight w:val="none"/>
                <w:lang w:val="en-US" w:eastAsia="zh-CN"/>
              </w:rPr>
              <w:t>2.投标人具有</w:t>
            </w:r>
            <w:r>
              <w:rPr>
                <w:rFonts w:hint="eastAsia" w:ascii="宋体" w:hAnsi="宋体" w:eastAsia="宋体" w:cs="宋体"/>
                <w:b w:val="0"/>
                <w:bCs w:val="0"/>
                <w:color w:val="auto"/>
                <w:sz w:val="21"/>
                <w:szCs w:val="21"/>
                <w:highlight w:val="none"/>
                <w:lang w:val="en-US" w:eastAsia="zh-CN"/>
              </w:rPr>
              <w:t>ISO27001信息安全管理体系认证证书</w:t>
            </w:r>
            <w:r>
              <w:rPr>
                <w:rFonts w:hint="eastAsia" w:ascii="宋体" w:hAnsi="宋体" w:cs="宋体"/>
                <w:b w:val="0"/>
                <w:bCs w:val="0"/>
                <w:color w:val="auto"/>
                <w:sz w:val="21"/>
                <w:szCs w:val="21"/>
                <w:highlight w:val="none"/>
                <w:lang w:val="en-US" w:eastAsia="zh-CN"/>
              </w:rPr>
              <w:t>，得2分。</w:t>
            </w:r>
          </w:p>
          <w:p>
            <w:pPr>
              <w:keepNext w:val="0"/>
              <w:keepLines w:val="0"/>
              <w:suppressLineNumbers w:val="0"/>
              <w:tabs>
                <w:tab w:val="left" w:pos="426"/>
              </w:tabs>
              <w:spacing w:before="0" w:beforeLines="30" w:beforeAutospacing="0" w:after="0" w:afterLines="30" w:afterAutospacing="0" w:line="240" w:lineRule="auto"/>
              <w:ind w:left="0" w:right="0"/>
              <w:rPr>
                <w:rFonts w:hint="default"/>
                <w:szCs w:val="21"/>
              </w:rPr>
            </w:pPr>
            <w:r>
              <w:rPr>
                <w:rFonts w:hint="eastAsia"/>
                <w:lang w:val="en-US" w:eastAsia="zh-CN"/>
              </w:rPr>
              <w:t>以上两项合计最高得4分。</w:t>
            </w:r>
          </w:p>
          <w:p>
            <w:pPr>
              <w:keepNext w:val="0"/>
              <w:keepLines w:val="0"/>
              <w:suppressLineNumbers w:val="0"/>
              <w:shd w:val="clear"/>
              <w:tabs>
                <w:tab w:val="left" w:pos="426"/>
              </w:tabs>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（二）评分依据：</w:t>
            </w:r>
          </w:p>
          <w:p>
            <w:pPr>
              <w:keepNext w:val="0"/>
              <w:keepLines w:val="0"/>
              <w:suppressLineNumbers w:val="0"/>
              <w:tabs>
                <w:tab w:val="left" w:pos="426"/>
              </w:tabs>
              <w:spacing w:before="0" w:beforeLines="30" w:beforeAutospacing="0" w:after="0" w:afterLines="30" w:afterAutospacing="0" w:line="240" w:lineRule="auto"/>
              <w:ind w:left="0" w:leftChars="0" w:right="0"/>
              <w:rPr>
                <w:rFonts w:hint="default" w:ascii="Times New Roman" w:hAnsi="Times New Roman" w:eastAsia="宋体" w:cs="Times New Roman"/>
                <w:kern w:val="2"/>
                <w:sz w:val="21"/>
                <w:szCs w:val="24"/>
                <w:lang w:val="en-US" w:eastAsia="zh-CN" w:bidi="ar-SA"/>
              </w:rPr>
            </w:pPr>
            <w:r>
              <w:rPr>
                <w:rFonts w:hint="eastAsia" w:ascii="宋体" w:hAnsi="宋体" w:eastAsia="宋体" w:cs="宋体"/>
                <w:color w:val="auto"/>
                <w:sz w:val="21"/>
                <w:szCs w:val="21"/>
                <w:highlight w:val="none"/>
              </w:rPr>
              <w:t>提供有效证书复印件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加盖</w:t>
            </w:r>
            <w:r>
              <w:rPr>
                <w:rFonts w:hint="eastAsia" w:ascii="宋体" w:hAnsi="宋体" w:eastAsia="宋体" w:cs="宋体"/>
                <w:color w:val="auto"/>
                <w:sz w:val="21"/>
                <w:szCs w:val="21"/>
                <w:highlight w:val="none"/>
                <w:lang w:val="en-US" w:eastAsia="zh-CN"/>
              </w:rPr>
              <w:t>投标人公章</w:t>
            </w:r>
            <w:r>
              <w:rPr>
                <w:rFonts w:hint="eastAsia" w:ascii="宋体" w:hAnsi="宋体" w:eastAsia="宋体" w:cs="宋体"/>
                <w:color w:val="auto"/>
                <w:sz w:val="21"/>
                <w:szCs w:val="21"/>
                <w:highlight w:val="none"/>
                <w:lang w:eastAsia="zh-CN"/>
              </w:rPr>
              <w:t>）</w:t>
            </w:r>
            <w:r>
              <w:rPr>
                <w:rFonts w:hint="eastAsia"/>
                <w:lang w:val="en-US" w:eastAsia="zh-CN"/>
              </w:rPr>
              <w:t>以及证书官网等合法查询渠道的查询记录截图，</w:t>
            </w:r>
            <w:r>
              <w:rPr>
                <w:rFonts w:hint="eastAsia" w:ascii="宋体" w:hAnsi="宋体" w:cs="宋体"/>
                <w:color w:val="auto"/>
                <w:sz w:val="21"/>
                <w:szCs w:val="21"/>
                <w:highlight w:val="none"/>
                <w:lang w:val="en-US" w:eastAsia="zh-CN"/>
              </w:rPr>
              <w:t>原件备查</w:t>
            </w:r>
            <w:r>
              <w:rPr>
                <w:rFonts w:hint="eastAsia" w:ascii="宋体" w:hAnsi="宋体" w:eastAsia="宋体" w:cs="宋体"/>
                <w:color w:val="auto"/>
                <w:sz w:val="21"/>
                <w:szCs w:val="21"/>
                <w:highlight w:val="none"/>
              </w:rPr>
              <w:t>，评分中出现无证明</w:t>
            </w:r>
            <w:r>
              <w:rPr>
                <w:rFonts w:hint="eastAsia" w:ascii="宋体" w:hAnsi="宋体" w:eastAsia="宋体" w:cs="宋体"/>
                <w:color w:val="auto"/>
                <w:sz w:val="21"/>
                <w:szCs w:val="21"/>
                <w:highlight w:val="none"/>
                <w:lang w:val="en-US" w:eastAsia="zh-CN"/>
              </w:rPr>
              <w:t>资料</w:t>
            </w:r>
            <w:r>
              <w:rPr>
                <w:rFonts w:hint="eastAsia" w:ascii="宋体" w:hAnsi="宋体" w:eastAsia="宋体" w:cs="宋体"/>
                <w:color w:val="auto"/>
                <w:sz w:val="21"/>
                <w:szCs w:val="21"/>
                <w:highlight w:val="none"/>
              </w:rPr>
              <w:t>或专家无法</w:t>
            </w:r>
            <w:r>
              <w:rPr>
                <w:rFonts w:hint="eastAsia" w:ascii="宋体" w:hAnsi="宋体" w:eastAsia="宋体" w:cs="宋体"/>
                <w:color w:val="auto"/>
                <w:sz w:val="21"/>
                <w:szCs w:val="21"/>
                <w:highlight w:val="none"/>
                <w:lang w:val="en-US" w:eastAsia="zh-CN"/>
              </w:rPr>
              <w:t>凭</w:t>
            </w:r>
            <w:r>
              <w:rPr>
                <w:rFonts w:hint="eastAsia" w:ascii="宋体" w:hAnsi="宋体" w:eastAsia="宋体" w:cs="宋体"/>
                <w:color w:val="auto"/>
                <w:sz w:val="21"/>
                <w:szCs w:val="21"/>
                <w:highlight w:val="none"/>
              </w:rPr>
              <w:t>所提供数据判断是否得分的情况，一律</w:t>
            </w:r>
            <w:r>
              <w:rPr>
                <w:rFonts w:hint="eastAsia" w:ascii="宋体" w:hAnsi="宋体" w:eastAsia="宋体" w:cs="宋体"/>
                <w:color w:val="auto"/>
                <w:sz w:val="21"/>
                <w:szCs w:val="21"/>
                <w:highlight w:val="none"/>
                <w:lang w:val="en-US" w:eastAsia="zh-CN"/>
              </w:rPr>
              <w:t>作</w:t>
            </w:r>
            <w:r>
              <w:rPr>
                <w:rFonts w:hint="eastAsia" w:ascii="宋体" w:hAnsi="宋体" w:eastAsia="宋体" w:cs="宋体"/>
                <w:color w:val="auto"/>
                <w:sz w:val="21"/>
                <w:szCs w:val="21"/>
                <w:highlight w:val="none"/>
              </w:rPr>
              <w:t>不能得分处理</w:t>
            </w:r>
            <w:r>
              <w:rPr>
                <w:rFonts w:hint="eastAsia" w:ascii="宋体" w:hAnsi="宋体" w:eastAsia="宋体" w:cs="宋体"/>
                <w:color w:val="auto"/>
                <w:sz w:val="21"/>
                <w:szCs w:val="21"/>
                <w:highlight w:val="none"/>
                <w:lang w:eastAsia="zh-CN"/>
              </w:rPr>
              <w:t>。</w:t>
            </w:r>
          </w:p>
        </w:tc>
        <w:tc>
          <w:tcPr>
            <w:tcW w:w="452"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default" w:ascii="Times New Roman" w:hAnsi="Times New Roman" w:eastAsia="宋体" w:cs="Times New Roman"/>
                <w:kern w:val="2"/>
                <w:sz w:val="21"/>
                <w:szCs w:val="21"/>
                <w:lang w:val="en-US" w:eastAsia="zh-CN" w:bidi="ar-SA"/>
              </w:rPr>
            </w:pPr>
            <w:r>
              <w:rPr>
                <w:rFonts w:hint="eastAsia"/>
                <w:szCs w:val="21"/>
              </w:rPr>
              <w:t>专家打分</w:t>
            </w:r>
          </w:p>
        </w:tc>
      </w:tr>
      <w:tr>
        <w:tblPrEx>
          <w:shd w:val="clear" w:color="auto" w:fill="FFFFFF"/>
        </w:tblPrEx>
        <w:trPr>
          <w:trHeight w:val="416" w:hRule="atLeast"/>
          <w:jc w:val="center"/>
        </w:trPr>
        <w:tc>
          <w:tcPr>
            <w:tcW w:w="409"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eastAsia="宋体"/>
                <w:color w:val="auto"/>
                <w:szCs w:val="21"/>
                <w:highlight w:val="none"/>
                <w:lang w:val="en-US" w:eastAsia="zh-CN"/>
              </w:rPr>
            </w:pPr>
            <w:r>
              <w:rPr>
                <w:rFonts w:hint="eastAsia"/>
                <w:color w:val="auto"/>
                <w:szCs w:val="21"/>
                <w:highlight w:val="none"/>
                <w:lang w:val="en-US" w:eastAsia="zh-CN"/>
              </w:rPr>
              <w:t>3</w:t>
            </w:r>
          </w:p>
        </w:tc>
        <w:tc>
          <w:tcPr>
            <w:tcW w:w="898"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default" w:ascii="Times New Roman" w:hAnsi="Times New Roman" w:eastAsia="宋体" w:cs="Times New Roman"/>
                <w:kern w:val="2"/>
                <w:sz w:val="21"/>
                <w:szCs w:val="21"/>
                <w:lang w:val="zh-CN" w:eastAsia="zh-CN" w:bidi="ar-SA"/>
              </w:rPr>
            </w:pPr>
            <w:r>
              <w:rPr>
                <w:rFonts w:hint="eastAsia"/>
                <w:szCs w:val="21"/>
                <w:lang w:val="zh-CN"/>
              </w:rPr>
              <w:t>本地服务</w:t>
            </w:r>
          </w:p>
        </w:tc>
        <w:tc>
          <w:tcPr>
            <w:tcW w:w="272"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eastAsia" w:ascii="Times New Roman" w:hAnsi="Times New Roman" w:eastAsia="宋体" w:cs="Times New Roman"/>
                <w:kern w:val="2"/>
                <w:sz w:val="21"/>
                <w:szCs w:val="21"/>
                <w:lang w:val="en-US" w:eastAsia="zh-CN" w:bidi="ar-SA"/>
              </w:rPr>
            </w:pPr>
            <w:r>
              <w:rPr>
                <w:rFonts w:hint="eastAsia"/>
                <w:lang w:val="en-US" w:eastAsia="zh-CN"/>
              </w:rPr>
              <w:t>2</w:t>
            </w:r>
          </w:p>
        </w:tc>
        <w:tc>
          <w:tcPr>
            <w:tcW w:w="2967" w:type="pct"/>
            <w:shd w:val="clear" w:color="auto" w:fill="FFFFFF"/>
            <w:vAlign w:val="center"/>
          </w:tcPr>
          <w:p>
            <w:pPr>
              <w:keepNext w:val="0"/>
              <w:keepLines w:val="0"/>
              <w:suppressLineNumbers w:val="0"/>
              <w:tabs>
                <w:tab w:val="left" w:pos="426"/>
              </w:tabs>
              <w:autoSpaceDE/>
              <w:autoSpaceDN/>
              <w:spacing w:before="0" w:beforeLines="-2147483648" w:beforeAutospacing="0" w:after="0" w:afterLines="-2147483648" w:afterAutospacing="0" w:line="240" w:lineRule="auto"/>
              <w:ind w:left="0" w:right="0" w:firstLine="0" w:firstLineChars="0"/>
              <w:rPr>
                <w:rFonts w:hint="eastAsia"/>
                <w:szCs w:val="21"/>
              </w:rPr>
            </w:pPr>
            <w:r>
              <w:rPr>
                <w:rFonts w:hint="eastAsia"/>
                <w:b/>
                <w:bCs/>
              </w:rPr>
              <w:t>（一）评审内容：</w:t>
            </w:r>
          </w:p>
          <w:p>
            <w:pPr>
              <w:keepNext w:val="0"/>
              <w:keepLines w:val="0"/>
              <w:suppressLineNumbers w:val="0"/>
              <w:tabs>
                <w:tab w:val="left" w:pos="426"/>
              </w:tabs>
              <w:autoSpaceDE w:val="0"/>
              <w:autoSpaceDN w:val="0"/>
              <w:spacing w:before="0" w:beforeLines="30" w:beforeAutospacing="0" w:after="0" w:afterLines="30" w:afterAutospacing="0" w:line="240" w:lineRule="auto"/>
              <w:ind w:left="0" w:right="0" w:firstLine="0" w:firstLineChars="0"/>
              <w:rPr>
                <w:rFonts w:hint="default"/>
                <w:szCs w:val="21"/>
                <w:lang w:val="zh-CN"/>
              </w:rPr>
            </w:pPr>
            <w:r>
              <w:rPr>
                <w:rFonts w:hint="eastAsia"/>
                <w:szCs w:val="21"/>
              </w:rPr>
              <w:t>1.</w:t>
            </w:r>
            <w:r>
              <w:rPr>
                <w:rFonts w:hint="eastAsia"/>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Pr>
                <w:rFonts w:hint="eastAsia"/>
                <w:lang w:val="en-US" w:eastAsia="zh-CN"/>
              </w:rPr>
              <w:t>2</w:t>
            </w:r>
            <w:r>
              <w:rPr>
                <w:rFonts w:hint="eastAsia"/>
              </w:rPr>
              <w:t>分；否则不得分。</w:t>
            </w:r>
          </w:p>
          <w:p>
            <w:pPr>
              <w:keepNext w:val="0"/>
              <w:keepLines w:val="0"/>
              <w:suppressLineNumbers w:val="0"/>
              <w:tabs>
                <w:tab w:val="left" w:pos="426"/>
              </w:tabs>
              <w:autoSpaceDE w:val="0"/>
              <w:autoSpaceDN w:val="0"/>
              <w:spacing w:before="0" w:beforeLines="30" w:beforeAutospacing="0" w:after="0" w:afterLines="30" w:afterAutospacing="0" w:line="240" w:lineRule="auto"/>
              <w:ind w:left="0" w:right="0" w:firstLine="0" w:firstLineChars="0"/>
              <w:rPr>
                <w:rFonts w:hint="default"/>
                <w:szCs w:val="21"/>
                <w:lang w:val="zh-CN"/>
              </w:rPr>
            </w:pPr>
            <w:r>
              <w:rPr>
                <w:rFonts w:hint="eastAsia"/>
                <w:szCs w:val="21"/>
              </w:rPr>
              <w:t>2.</w:t>
            </w:r>
            <w:r>
              <w:rPr>
                <w:rFonts w:hint="eastAsia"/>
              </w:rPr>
              <w:t>外地供应商承诺：中标后设立本地经营（服务）网点的，提供承诺文件（格式自定）的，得</w:t>
            </w:r>
            <w:r>
              <w:rPr>
                <w:rFonts w:hint="eastAsia"/>
                <w:lang w:val="en-US" w:eastAsia="zh-CN"/>
              </w:rPr>
              <w:t>2</w:t>
            </w:r>
            <w:r>
              <w:rPr>
                <w:rFonts w:hint="eastAsia"/>
              </w:rPr>
              <w:t>分；未提供承诺或承诺内容不满足要求均不得分。</w:t>
            </w:r>
          </w:p>
          <w:p>
            <w:pPr>
              <w:keepNext w:val="0"/>
              <w:keepLines w:val="0"/>
              <w:suppressLineNumbers w:val="0"/>
              <w:tabs>
                <w:tab w:val="left" w:pos="426"/>
              </w:tabs>
              <w:autoSpaceDE w:val="0"/>
              <w:autoSpaceDN w:val="0"/>
              <w:spacing w:before="0" w:beforeLines="30" w:beforeAutospacing="0" w:after="0" w:afterLines="30" w:afterAutospacing="0" w:line="240" w:lineRule="auto"/>
              <w:ind w:left="0" w:right="0"/>
              <w:rPr>
                <w:rFonts w:hint="eastAsia"/>
                <w:szCs w:val="21"/>
                <w:lang w:val="zh-CN"/>
              </w:rPr>
            </w:pPr>
            <w:r>
              <w:rPr>
                <w:rFonts w:hint="eastAsia" w:ascii="宋体" w:hAnsi="宋体" w:eastAsia="宋体" w:cs="宋体"/>
                <w:b/>
                <w:bCs/>
                <w:color w:val="auto"/>
                <w:sz w:val="21"/>
                <w:szCs w:val="21"/>
                <w:highlight w:val="none"/>
              </w:rPr>
              <w:t>（二）评分依据：</w:t>
            </w:r>
          </w:p>
          <w:p>
            <w:pPr>
              <w:keepNext w:val="0"/>
              <w:keepLines w:val="0"/>
              <w:suppressLineNumbers w:val="0"/>
              <w:tabs>
                <w:tab w:val="left" w:pos="426"/>
              </w:tabs>
              <w:autoSpaceDE w:val="0"/>
              <w:autoSpaceDN w:val="0"/>
              <w:spacing w:before="0" w:beforeLines="30" w:beforeAutospacing="0" w:after="0" w:afterLines="30" w:afterAutospacing="0" w:line="240" w:lineRule="auto"/>
              <w:ind w:left="0" w:right="0"/>
              <w:rPr>
                <w:rFonts w:hint="default" w:ascii="Times New Roman" w:hAnsi="Times New Roman" w:eastAsia="宋体" w:cs="Times New Roman"/>
                <w:kern w:val="2"/>
                <w:sz w:val="21"/>
                <w:szCs w:val="24"/>
                <w:lang w:val="zh-CN" w:eastAsia="zh-CN" w:bidi="ar-SA"/>
              </w:rPr>
            </w:pPr>
            <w:r>
              <w:rPr>
                <w:rFonts w:hint="eastAsia"/>
                <w:szCs w:val="21"/>
                <w:lang w:val="zh-CN"/>
              </w:rPr>
              <w:t>需提供投标人单位营业执照或</w:t>
            </w:r>
            <w:r>
              <w:rPr>
                <w:rFonts w:hint="default"/>
                <w:szCs w:val="21"/>
                <w:lang w:val="zh-CN"/>
              </w:rPr>
              <w:t>分支机构证书</w:t>
            </w:r>
            <w:r>
              <w:rPr>
                <w:rFonts w:hint="eastAsia"/>
                <w:szCs w:val="21"/>
                <w:lang w:val="zh-CN"/>
              </w:rPr>
              <w:t>证明扫描件或复印件，</w:t>
            </w:r>
            <w:r>
              <w:rPr>
                <w:rFonts w:hint="eastAsia"/>
                <w:szCs w:val="21"/>
                <w:lang w:val="en-US" w:eastAsia="zh-CN"/>
              </w:rPr>
              <w:t>或者承诺函，</w:t>
            </w:r>
            <w:r>
              <w:rPr>
                <w:rFonts w:hint="eastAsia"/>
                <w:szCs w:val="21"/>
                <w:lang w:val="zh-CN"/>
              </w:rPr>
              <w:t>并加盖公章。不满足以上条件不得分。</w:t>
            </w:r>
          </w:p>
        </w:tc>
        <w:tc>
          <w:tcPr>
            <w:tcW w:w="452"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default" w:ascii="Times New Roman" w:hAnsi="Times New Roman" w:eastAsia="宋体" w:cs="Times New Roman"/>
                <w:kern w:val="2"/>
                <w:sz w:val="21"/>
                <w:szCs w:val="21"/>
                <w:lang w:val="zh-CN" w:eastAsia="zh-CN" w:bidi="ar-SA"/>
              </w:rPr>
            </w:pPr>
            <w:r>
              <w:rPr>
                <w:rFonts w:hint="eastAsia"/>
                <w:szCs w:val="21"/>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90" w:hRule="atLeast"/>
          <w:jc w:val="center"/>
        </w:trPr>
        <w:tc>
          <w:tcPr>
            <w:tcW w:w="409"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eastAsia="宋体"/>
                <w:color w:val="auto"/>
                <w:szCs w:val="21"/>
                <w:highlight w:val="none"/>
                <w:lang w:val="en-US" w:eastAsia="zh-CN"/>
              </w:rPr>
            </w:pPr>
            <w:r>
              <w:rPr>
                <w:rFonts w:hint="eastAsia"/>
                <w:color w:val="auto"/>
                <w:szCs w:val="21"/>
                <w:highlight w:val="none"/>
                <w:lang w:val="en-US" w:eastAsia="zh-CN"/>
              </w:rPr>
              <w:t>4</w:t>
            </w:r>
          </w:p>
        </w:tc>
        <w:tc>
          <w:tcPr>
            <w:tcW w:w="898"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eastAsia" w:ascii="Times New Roman" w:hAnsi="Times New Roman" w:eastAsia="宋体" w:cs="Times New Roman"/>
                <w:kern w:val="2"/>
                <w:sz w:val="21"/>
                <w:szCs w:val="21"/>
                <w:lang w:val="zh-CN" w:eastAsia="zh-CN" w:bidi="ar-SA"/>
              </w:rPr>
            </w:pPr>
            <w:r>
              <w:rPr>
                <w:rFonts w:hint="eastAsia"/>
              </w:rPr>
              <w:t>同类工程项目监理经验</w:t>
            </w:r>
          </w:p>
        </w:tc>
        <w:tc>
          <w:tcPr>
            <w:tcW w:w="272"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eastAsia" w:ascii="Times New Roman" w:hAnsi="Times New Roman" w:eastAsia="宋体" w:cs="Times New Roman"/>
                <w:kern w:val="2"/>
                <w:sz w:val="21"/>
                <w:szCs w:val="21"/>
                <w:lang w:val="en-US" w:eastAsia="zh-CN" w:bidi="ar-SA"/>
              </w:rPr>
            </w:pPr>
            <w:r>
              <w:rPr>
                <w:rFonts w:hint="eastAsia"/>
                <w:lang w:val="en-US" w:eastAsia="zh-CN"/>
              </w:rPr>
              <w:t>8</w:t>
            </w:r>
          </w:p>
        </w:tc>
        <w:tc>
          <w:tcPr>
            <w:tcW w:w="2967" w:type="pct"/>
            <w:shd w:val="clear" w:color="auto" w:fill="FFFFFF"/>
            <w:vAlign w:val="center"/>
          </w:tcPr>
          <w:p>
            <w:pPr>
              <w:keepNext w:val="0"/>
              <w:keepLines w:val="0"/>
              <w:suppressLineNumbers w:val="0"/>
              <w:autoSpaceDE/>
              <w:autoSpaceDN/>
              <w:spacing w:before="0" w:beforeLines="-2147483648" w:beforeAutospacing="0" w:after="0" w:afterLines="-2147483648" w:afterAutospacing="0" w:line="240" w:lineRule="auto"/>
              <w:ind w:left="0" w:right="0"/>
              <w:rPr>
                <w:rFonts w:hint="eastAsia"/>
                <w:b/>
                <w:bCs/>
              </w:rPr>
            </w:pPr>
            <w:r>
              <w:rPr>
                <w:rFonts w:hint="eastAsia"/>
                <w:b/>
                <w:bCs/>
              </w:rPr>
              <w:t>（一）评审内容：</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szCs w:val="21"/>
                <w:lang w:val="en-US" w:eastAsia="zh-CN"/>
              </w:rPr>
              <w:t>根据投标人</w:t>
            </w:r>
            <w:r>
              <w:rPr>
                <w:rFonts w:hint="eastAsia"/>
                <w:szCs w:val="21"/>
                <w:lang w:val="zh-CN"/>
              </w:rPr>
              <w:t>自201</w:t>
            </w:r>
            <w:r>
              <w:rPr>
                <w:rFonts w:hint="eastAsia"/>
                <w:szCs w:val="21"/>
                <w:lang w:val="en-US" w:eastAsia="zh-CN"/>
              </w:rPr>
              <w:t>8</w:t>
            </w:r>
            <w:r>
              <w:rPr>
                <w:rFonts w:hint="eastAsia"/>
                <w:szCs w:val="21"/>
                <w:lang w:val="zh-CN"/>
              </w:rPr>
              <w:t>年</w:t>
            </w:r>
            <w:r>
              <w:rPr>
                <w:rFonts w:hint="eastAsia"/>
                <w:szCs w:val="21"/>
                <w:lang w:val="en-US" w:eastAsia="zh-CN"/>
              </w:rPr>
              <w:t>1</w:t>
            </w:r>
            <w:r>
              <w:rPr>
                <w:rFonts w:hint="eastAsia"/>
                <w:szCs w:val="21"/>
                <w:lang w:val="zh-CN"/>
              </w:rPr>
              <w:t>月1日至今（以合同签订时间为准）具有通过公开招标采购监理项目数量，</w:t>
            </w:r>
            <w:r>
              <w:rPr>
                <w:rFonts w:hint="eastAsia" w:ascii="宋体" w:hAnsi="宋体" w:eastAsia="宋体" w:cs="宋体"/>
                <w:color w:val="auto"/>
                <w:sz w:val="21"/>
                <w:szCs w:val="21"/>
                <w:highlight w:val="none"/>
              </w:rPr>
              <w:t>每提供一项信息化</w:t>
            </w:r>
            <w:r>
              <w:rPr>
                <w:rFonts w:hint="eastAsia" w:ascii="宋体" w:hAnsi="宋体" w:cs="宋体"/>
                <w:color w:val="auto"/>
                <w:sz w:val="21"/>
                <w:szCs w:val="21"/>
                <w:highlight w:val="none"/>
                <w:lang w:val="en-US" w:eastAsia="zh-CN"/>
              </w:rPr>
              <w:t>系统工程</w:t>
            </w:r>
            <w:r>
              <w:rPr>
                <w:rFonts w:hint="eastAsia" w:ascii="宋体" w:hAnsi="宋体" w:eastAsia="宋体" w:cs="宋体"/>
                <w:color w:val="auto"/>
                <w:sz w:val="21"/>
                <w:szCs w:val="21"/>
                <w:highlight w:val="none"/>
                <w:lang w:val="en-US" w:eastAsia="zh-CN"/>
              </w:rPr>
              <w:t>监理</w:t>
            </w:r>
            <w:r>
              <w:rPr>
                <w:rFonts w:hint="eastAsia" w:ascii="宋体" w:hAnsi="宋体" w:eastAsia="宋体" w:cs="宋体"/>
                <w:color w:val="auto"/>
                <w:sz w:val="21"/>
                <w:szCs w:val="21"/>
                <w:highlight w:val="none"/>
              </w:rPr>
              <w:t>项目业绩</w:t>
            </w:r>
            <w:r>
              <w:rPr>
                <w:rFonts w:hint="eastAsia" w:ascii="宋体" w:hAnsi="宋体" w:eastAsia="宋体" w:cs="宋体"/>
                <w:color w:val="auto"/>
                <w:sz w:val="21"/>
                <w:szCs w:val="21"/>
                <w:highlight w:val="none"/>
                <w:lang w:val="en-US" w:eastAsia="zh-CN"/>
              </w:rPr>
              <w:t>得</w:t>
            </w:r>
            <w:r>
              <w:rPr>
                <w:rFonts w:hint="eastAsia"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w:t>
            </w:r>
            <w:r>
              <w:rPr>
                <w:rFonts w:hint="eastAsia" w:ascii="宋体" w:hAnsi="宋体" w:eastAsia="宋体" w:cs="宋体"/>
                <w:color w:val="auto"/>
                <w:sz w:val="21"/>
                <w:szCs w:val="21"/>
                <w:highlight w:val="none"/>
                <w:lang w:val="en-US" w:eastAsia="zh-CN"/>
              </w:rPr>
              <w:t>高得</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rPr>
              <w:t>分。</w:t>
            </w:r>
          </w:p>
          <w:p>
            <w:pPr>
              <w:keepNext w:val="0"/>
              <w:keepLines w:val="0"/>
              <w:suppressLineNumbers w:val="0"/>
              <w:autoSpaceDE/>
              <w:autoSpaceDN/>
              <w:spacing w:before="0" w:beforeLines="-2147483648" w:beforeAutospacing="0" w:after="0" w:afterLines="-2147483648" w:afterAutospacing="0" w:line="240" w:lineRule="auto"/>
              <w:ind w:left="0" w:right="0"/>
              <w:rPr>
                <w:rFonts w:hint="eastAsia"/>
                <w:szCs w:val="21"/>
                <w:lang w:val="zh-CN"/>
              </w:rPr>
            </w:pPr>
            <w:r>
              <w:rPr>
                <w:rFonts w:hint="eastAsia" w:ascii="宋体" w:hAnsi="宋体" w:eastAsia="宋体" w:cs="宋体"/>
                <w:b/>
                <w:bCs/>
                <w:color w:val="auto"/>
                <w:sz w:val="21"/>
                <w:szCs w:val="21"/>
                <w:highlight w:val="none"/>
              </w:rPr>
              <w:t>（二）评分依据：</w:t>
            </w:r>
          </w:p>
          <w:p>
            <w:pPr>
              <w:keepNext w:val="0"/>
              <w:keepLines w:val="0"/>
              <w:suppressLineNumbers w:val="0"/>
              <w:autoSpaceDE/>
              <w:autoSpaceDN/>
              <w:spacing w:before="0" w:beforeLines="-2147483648" w:beforeAutospacing="0" w:after="0" w:afterLines="-2147483648" w:afterAutospacing="0" w:line="240" w:lineRule="auto"/>
              <w:ind w:left="0" w:right="0"/>
              <w:rPr>
                <w:rFonts w:hint="eastAsia" w:ascii="Times New Roman" w:hAnsi="Times New Roman" w:eastAsia="宋体" w:cs="Times New Roman"/>
                <w:kern w:val="2"/>
                <w:sz w:val="21"/>
                <w:szCs w:val="24"/>
                <w:lang w:val="zh-CN" w:eastAsia="zh-CN" w:bidi="ar-SA"/>
              </w:rPr>
            </w:pPr>
            <w:r>
              <w:rPr>
                <w:rFonts w:hint="eastAsia"/>
                <w:szCs w:val="21"/>
                <w:lang w:val="zh-CN"/>
              </w:rPr>
              <w:t>须同时提供合同关键页扫描件与中标通知书，原件备查</w:t>
            </w:r>
            <w:r>
              <w:rPr>
                <w:rFonts w:hint="eastAsia" w:ascii="宋体" w:hAnsi="宋体" w:eastAsia="宋体" w:cs="宋体"/>
                <w:color w:val="auto"/>
                <w:sz w:val="21"/>
                <w:szCs w:val="21"/>
                <w:highlight w:val="none"/>
                <w:lang w:val="en-US" w:eastAsia="zh-CN"/>
              </w:rPr>
              <w:t>；以上证明材料均要求提供复印件加盖投标人公章，</w:t>
            </w:r>
            <w:r>
              <w:rPr>
                <w:rFonts w:hint="eastAsia" w:ascii="宋体" w:hAnsi="宋体" w:eastAsia="宋体" w:cs="宋体"/>
                <w:color w:val="auto"/>
                <w:sz w:val="21"/>
                <w:szCs w:val="21"/>
                <w:highlight w:val="none"/>
              </w:rPr>
              <w:t>评分中出现无证明</w:t>
            </w:r>
            <w:r>
              <w:rPr>
                <w:rFonts w:hint="eastAsia" w:ascii="宋体" w:hAnsi="宋体" w:eastAsia="宋体" w:cs="宋体"/>
                <w:color w:val="auto"/>
                <w:sz w:val="21"/>
                <w:szCs w:val="21"/>
                <w:highlight w:val="none"/>
                <w:lang w:val="en-US" w:eastAsia="zh-CN"/>
              </w:rPr>
              <w:t>资料</w:t>
            </w:r>
            <w:r>
              <w:rPr>
                <w:rFonts w:hint="eastAsia" w:ascii="宋体" w:hAnsi="宋体" w:eastAsia="宋体" w:cs="宋体"/>
                <w:color w:val="auto"/>
                <w:sz w:val="21"/>
                <w:szCs w:val="21"/>
                <w:highlight w:val="none"/>
              </w:rPr>
              <w:t>或专家无法</w:t>
            </w:r>
            <w:r>
              <w:rPr>
                <w:rFonts w:hint="eastAsia" w:ascii="宋体" w:hAnsi="宋体" w:eastAsia="宋体" w:cs="宋体"/>
                <w:color w:val="auto"/>
                <w:sz w:val="21"/>
                <w:szCs w:val="21"/>
                <w:highlight w:val="none"/>
                <w:lang w:val="en-US" w:eastAsia="zh-CN"/>
              </w:rPr>
              <w:t>凭</w:t>
            </w:r>
            <w:r>
              <w:rPr>
                <w:rFonts w:hint="eastAsia" w:ascii="宋体" w:hAnsi="宋体" w:eastAsia="宋体" w:cs="宋体"/>
                <w:color w:val="auto"/>
                <w:sz w:val="21"/>
                <w:szCs w:val="21"/>
                <w:highlight w:val="none"/>
              </w:rPr>
              <w:t>所提供数据判断是否得分的情况，一律</w:t>
            </w:r>
            <w:r>
              <w:rPr>
                <w:rFonts w:hint="eastAsia" w:ascii="宋体" w:hAnsi="宋体" w:eastAsia="宋体" w:cs="宋体"/>
                <w:color w:val="auto"/>
                <w:sz w:val="21"/>
                <w:szCs w:val="21"/>
                <w:highlight w:val="none"/>
                <w:lang w:val="en-US" w:eastAsia="zh-CN"/>
              </w:rPr>
              <w:t>作</w:t>
            </w:r>
            <w:r>
              <w:rPr>
                <w:rFonts w:hint="eastAsia" w:ascii="宋体" w:hAnsi="宋体" w:eastAsia="宋体" w:cs="宋体"/>
                <w:color w:val="auto"/>
                <w:sz w:val="21"/>
                <w:szCs w:val="21"/>
                <w:highlight w:val="none"/>
              </w:rPr>
              <w:t>不能得分处理</w:t>
            </w:r>
            <w:r>
              <w:rPr>
                <w:rFonts w:hint="eastAsia" w:ascii="宋体" w:hAnsi="宋体" w:eastAsia="宋体" w:cs="宋体"/>
                <w:color w:val="auto"/>
                <w:sz w:val="21"/>
                <w:szCs w:val="21"/>
                <w:highlight w:val="none"/>
                <w:lang w:val="en-US" w:eastAsia="zh-CN"/>
              </w:rPr>
              <w:t>。</w:t>
            </w:r>
          </w:p>
        </w:tc>
        <w:tc>
          <w:tcPr>
            <w:tcW w:w="452"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eastAsia" w:ascii="Times New Roman" w:hAnsi="Times New Roman" w:eastAsia="宋体" w:cs="Times New Roman"/>
                <w:kern w:val="2"/>
                <w:sz w:val="21"/>
                <w:szCs w:val="21"/>
                <w:lang w:val="zh-CN" w:eastAsia="zh-CN" w:bidi="ar-SA"/>
              </w:rPr>
            </w:pPr>
            <w:r>
              <w:rPr>
                <w:rFonts w:hint="eastAsia"/>
                <w:szCs w:val="21"/>
              </w:rPr>
              <w:t>专家打分</w:t>
            </w:r>
          </w:p>
        </w:tc>
      </w:tr>
      <w:tr>
        <w:tblPrEx>
          <w:shd w:val="clear" w:color="auto" w:fill="FFFFFF"/>
        </w:tblPrEx>
        <w:trPr>
          <w:trHeight w:val="90" w:hRule="atLeast"/>
          <w:jc w:val="center"/>
        </w:trPr>
        <w:tc>
          <w:tcPr>
            <w:tcW w:w="409"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eastAsia="宋体"/>
                <w:color w:val="auto"/>
                <w:szCs w:val="21"/>
                <w:highlight w:val="none"/>
                <w:lang w:val="en-US" w:eastAsia="zh-CN"/>
              </w:rPr>
            </w:pPr>
            <w:r>
              <w:rPr>
                <w:rFonts w:hint="eastAsia"/>
                <w:color w:val="auto"/>
                <w:szCs w:val="21"/>
                <w:highlight w:val="none"/>
                <w:lang w:val="en-US" w:eastAsia="zh-CN"/>
              </w:rPr>
              <w:t>5</w:t>
            </w:r>
          </w:p>
        </w:tc>
        <w:tc>
          <w:tcPr>
            <w:tcW w:w="898"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eastAsia" w:ascii="Times New Roman" w:hAnsi="Times New Roman" w:eastAsia="宋体" w:cs="Times New Roman"/>
                <w:kern w:val="2"/>
                <w:sz w:val="21"/>
                <w:szCs w:val="21"/>
                <w:lang w:val="zh-CN" w:eastAsia="zh-CN" w:bidi="ar-SA"/>
              </w:rPr>
            </w:pPr>
            <w:r>
              <w:rPr>
                <w:rFonts w:hint="eastAsia" w:ascii="宋体" w:hAnsi="宋体" w:eastAsia="宋体" w:cs="宋体"/>
                <w:color w:val="auto"/>
                <w:sz w:val="21"/>
                <w:szCs w:val="21"/>
                <w:highlight w:val="none"/>
              </w:rPr>
              <w:t>自主知识产权产品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创新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设计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情况</w:t>
            </w:r>
          </w:p>
        </w:tc>
        <w:tc>
          <w:tcPr>
            <w:tcW w:w="272"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eastAsia" w:ascii="Times New Roman" w:hAnsi="Times New Roman" w:eastAsia="宋体" w:cs="Times New Roman"/>
                <w:kern w:val="2"/>
                <w:sz w:val="21"/>
                <w:szCs w:val="21"/>
                <w:lang w:val="en-US" w:eastAsia="zh-CN" w:bidi="ar-SA"/>
              </w:rPr>
            </w:pPr>
            <w:r>
              <w:rPr>
                <w:rFonts w:hint="eastAsia"/>
                <w:lang w:val="en-US" w:eastAsia="zh-CN"/>
              </w:rPr>
              <w:t>8</w:t>
            </w:r>
          </w:p>
        </w:tc>
        <w:tc>
          <w:tcPr>
            <w:tcW w:w="2967" w:type="pct"/>
            <w:shd w:val="clear" w:color="auto" w:fill="FFFFFF"/>
            <w:vAlign w:val="center"/>
          </w:tcPr>
          <w:p>
            <w:pPr>
              <w:keepNext w:val="0"/>
              <w:keepLines w:val="0"/>
              <w:suppressLineNumbers w:val="0"/>
              <w:spacing w:before="0" w:beforeLines="-2147483648" w:beforeAutospacing="0" w:after="0" w:afterLines="-2147483648" w:afterAutospacing="0" w:line="240" w:lineRule="auto"/>
              <w:ind w:left="0" w:right="0" w:firstLine="0" w:firstLineChars="0"/>
              <w:rPr>
                <w:rFonts w:hint="eastAsia"/>
                <w:szCs w:val="21"/>
                <w:lang w:val="zh-CN"/>
              </w:rPr>
            </w:pPr>
            <w:r>
              <w:rPr>
                <w:rFonts w:hint="eastAsia"/>
                <w:b/>
                <w:bCs/>
              </w:rPr>
              <w:t>（一）评审内容：</w:t>
            </w:r>
          </w:p>
          <w:p>
            <w:pPr>
              <w:keepNext w:val="0"/>
              <w:keepLines w:val="0"/>
              <w:suppressLineNumbers w:val="0"/>
              <w:tabs>
                <w:tab w:val="left" w:pos="426"/>
              </w:tabs>
              <w:spacing w:before="0" w:beforeLines="30" w:beforeAutospacing="0" w:after="0" w:afterLines="30" w:afterAutospacing="0" w:line="240" w:lineRule="auto"/>
              <w:ind w:left="0" w:right="0" w:firstLine="105" w:firstLineChars="50"/>
              <w:rPr>
                <w:rFonts w:hint="default"/>
                <w:szCs w:val="21"/>
                <w:lang w:val="zh-CN"/>
              </w:rPr>
            </w:pPr>
            <w:r>
              <w:rPr>
                <w:rFonts w:hint="eastAsia"/>
                <w:szCs w:val="21"/>
                <w:lang w:val="zh-CN"/>
              </w:rPr>
              <w:t>1.</w:t>
            </w:r>
            <w:r>
              <w:rPr>
                <w:rFonts w:hint="eastAsia"/>
                <w:szCs w:val="21"/>
                <w:lang w:val="en-US" w:eastAsia="zh-CN"/>
              </w:rPr>
              <w:t>投标人具有作</w:t>
            </w:r>
            <w:r>
              <w:rPr>
                <w:rFonts w:hint="eastAsia"/>
                <w:szCs w:val="21"/>
                <w:lang w:val="zh-CN"/>
              </w:rPr>
              <w:t>为已发布的信息化工程监理规范国家标准的编写单位得3分；</w:t>
            </w:r>
          </w:p>
          <w:p>
            <w:pPr>
              <w:keepNext w:val="0"/>
              <w:keepLines w:val="0"/>
              <w:suppressLineNumbers w:val="0"/>
              <w:tabs>
                <w:tab w:val="left" w:pos="426"/>
              </w:tabs>
              <w:spacing w:before="0" w:beforeLines="30" w:beforeAutospacing="0" w:after="0" w:afterLines="30" w:afterAutospacing="0" w:line="240" w:lineRule="auto"/>
              <w:ind w:left="0" w:right="0" w:firstLine="105" w:firstLineChars="50"/>
              <w:rPr>
                <w:rFonts w:hint="default" w:eastAsia="宋体"/>
                <w:szCs w:val="21"/>
                <w:highlight w:val="none"/>
                <w:lang w:val="en-US" w:eastAsia="zh-CN"/>
              </w:rPr>
            </w:pPr>
            <w:r>
              <w:rPr>
                <w:rFonts w:hint="eastAsia"/>
                <w:szCs w:val="21"/>
                <w:highlight w:val="none"/>
                <w:lang w:val="zh-CN"/>
              </w:rPr>
              <w:t>2.根据投标人具有中华人民共和国国家版权局颁发的计算机软件著作权证书的总数量情况，</w:t>
            </w:r>
            <w:r>
              <w:rPr>
                <w:rFonts w:hint="eastAsia"/>
                <w:szCs w:val="21"/>
                <w:highlight w:val="none"/>
                <w:lang w:val="en-US" w:eastAsia="zh-CN"/>
              </w:rPr>
              <w:t>每提供一项得0.5分，最高得5分。</w:t>
            </w:r>
          </w:p>
          <w:p>
            <w:pPr>
              <w:pStyle w:val="2"/>
              <w:keepNext w:val="0"/>
              <w:keepLines w:val="0"/>
              <w:suppressLineNumbers w:val="0"/>
              <w:spacing w:before="0" w:beforeAutospacing="0" w:afterAutospacing="0"/>
              <w:ind w:left="0" w:right="0"/>
              <w:rPr>
                <w:rFonts w:hint="default"/>
                <w:lang w:val="zh-CN"/>
              </w:rPr>
            </w:pPr>
            <w:r>
              <w:rPr>
                <w:rFonts w:hint="eastAsia" w:ascii="宋体" w:hAnsi="宋体" w:eastAsia="宋体" w:cs="宋体"/>
                <w:b/>
                <w:bCs/>
                <w:color w:val="auto"/>
                <w:sz w:val="21"/>
                <w:szCs w:val="21"/>
                <w:highlight w:val="none"/>
              </w:rPr>
              <w:t>（二）评分依据：</w:t>
            </w:r>
          </w:p>
          <w:p>
            <w:pPr>
              <w:keepNext w:val="0"/>
              <w:keepLines w:val="0"/>
              <w:suppressLineNumbers w:val="0"/>
              <w:tabs>
                <w:tab w:val="left" w:pos="426"/>
              </w:tabs>
              <w:autoSpaceDE w:val="0"/>
              <w:autoSpaceDN w:val="0"/>
              <w:spacing w:before="0" w:beforeLines="30" w:beforeAutospacing="0" w:after="0" w:afterLines="30" w:afterAutospacing="0" w:line="240" w:lineRule="auto"/>
              <w:ind w:left="0" w:right="0"/>
              <w:rPr>
                <w:rFonts w:hint="eastAsia" w:ascii="Times New Roman" w:hAnsi="Times New Roman" w:eastAsia="宋体" w:cs="Times New Roman"/>
                <w:kern w:val="2"/>
                <w:sz w:val="21"/>
                <w:szCs w:val="24"/>
                <w:lang w:val="zh-CN" w:eastAsia="zh-CN" w:bidi="ar-SA"/>
              </w:rPr>
            </w:pPr>
            <w:r>
              <w:rPr>
                <w:rFonts w:hint="eastAsia"/>
                <w:szCs w:val="21"/>
                <w:lang w:val="zh-CN"/>
              </w:rPr>
              <w:t>以上提供相关证书及标准编写的关键页证明文件，</w:t>
            </w:r>
            <w:r>
              <w:rPr>
                <w:rFonts w:hint="eastAsia" w:ascii="宋体" w:hAnsi="宋体" w:eastAsia="宋体" w:cs="宋体"/>
                <w:color w:val="auto"/>
                <w:sz w:val="21"/>
                <w:szCs w:val="21"/>
                <w:highlight w:val="none"/>
                <w:lang w:val="en-US" w:eastAsia="zh-CN"/>
              </w:rPr>
              <w:t>证明材料均要求提供复印件加盖投标人公章，</w:t>
            </w:r>
            <w:r>
              <w:rPr>
                <w:rFonts w:hint="eastAsia" w:ascii="宋体" w:hAnsi="宋体" w:eastAsia="宋体" w:cs="宋体"/>
                <w:color w:val="auto"/>
                <w:sz w:val="21"/>
                <w:szCs w:val="21"/>
                <w:highlight w:val="none"/>
              </w:rPr>
              <w:t>评分中出现无证明</w:t>
            </w:r>
            <w:r>
              <w:rPr>
                <w:rFonts w:hint="eastAsia" w:ascii="宋体" w:hAnsi="宋体" w:eastAsia="宋体" w:cs="宋体"/>
                <w:color w:val="auto"/>
                <w:sz w:val="21"/>
                <w:szCs w:val="21"/>
                <w:highlight w:val="none"/>
                <w:lang w:val="en-US" w:eastAsia="zh-CN"/>
              </w:rPr>
              <w:t>资料</w:t>
            </w:r>
            <w:r>
              <w:rPr>
                <w:rFonts w:hint="eastAsia" w:ascii="宋体" w:hAnsi="宋体" w:eastAsia="宋体" w:cs="宋体"/>
                <w:color w:val="auto"/>
                <w:sz w:val="21"/>
                <w:szCs w:val="21"/>
                <w:highlight w:val="none"/>
              </w:rPr>
              <w:t>或专家无法</w:t>
            </w:r>
            <w:r>
              <w:rPr>
                <w:rFonts w:hint="eastAsia" w:ascii="宋体" w:hAnsi="宋体" w:eastAsia="宋体" w:cs="宋体"/>
                <w:color w:val="auto"/>
                <w:sz w:val="21"/>
                <w:szCs w:val="21"/>
                <w:highlight w:val="none"/>
                <w:lang w:val="en-US" w:eastAsia="zh-CN"/>
              </w:rPr>
              <w:t>凭</w:t>
            </w:r>
            <w:r>
              <w:rPr>
                <w:rFonts w:hint="eastAsia" w:ascii="宋体" w:hAnsi="宋体" w:eastAsia="宋体" w:cs="宋体"/>
                <w:color w:val="auto"/>
                <w:sz w:val="21"/>
                <w:szCs w:val="21"/>
                <w:highlight w:val="none"/>
              </w:rPr>
              <w:t>所提供数据判断是否得分的情况，一律</w:t>
            </w:r>
            <w:r>
              <w:rPr>
                <w:rFonts w:hint="eastAsia" w:ascii="宋体" w:hAnsi="宋体" w:eastAsia="宋体" w:cs="宋体"/>
                <w:color w:val="auto"/>
                <w:sz w:val="21"/>
                <w:szCs w:val="21"/>
                <w:highlight w:val="none"/>
                <w:lang w:val="en-US" w:eastAsia="zh-CN"/>
              </w:rPr>
              <w:t>作</w:t>
            </w:r>
            <w:r>
              <w:rPr>
                <w:rFonts w:hint="eastAsia" w:ascii="宋体" w:hAnsi="宋体" w:eastAsia="宋体" w:cs="宋体"/>
                <w:color w:val="auto"/>
                <w:sz w:val="21"/>
                <w:szCs w:val="21"/>
                <w:highlight w:val="none"/>
              </w:rPr>
              <w:t>不能得分处理</w:t>
            </w:r>
            <w:r>
              <w:rPr>
                <w:rFonts w:hint="eastAsia" w:ascii="宋体" w:hAnsi="宋体" w:eastAsia="宋体" w:cs="宋体"/>
                <w:color w:val="auto"/>
                <w:sz w:val="21"/>
                <w:szCs w:val="21"/>
                <w:highlight w:val="none"/>
                <w:lang w:val="en-US" w:eastAsia="zh-CN"/>
              </w:rPr>
              <w:t>。</w:t>
            </w:r>
          </w:p>
        </w:tc>
        <w:tc>
          <w:tcPr>
            <w:tcW w:w="452"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eastAsia" w:ascii="Times New Roman" w:hAnsi="Times New Roman" w:eastAsia="宋体" w:cs="Times New Roman"/>
                <w:kern w:val="2"/>
                <w:sz w:val="21"/>
                <w:szCs w:val="21"/>
                <w:lang w:val="zh-CN" w:eastAsia="zh-CN" w:bidi="ar-SA"/>
              </w:rPr>
            </w:pPr>
            <w:r>
              <w:rPr>
                <w:rFonts w:hint="eastAsia"/>
                <w:szCs w:val="21"/>
              </w:rPr>
              <w:t>专家打分</w:t>
            </w:r>
          </w:p>
        </w:tc>
      </w:tr>
      <w:tr>
        <w:tblPrEx>
          <w:shd w:val="clear" w:color="auto" w:fill="FFFFFF"/>
        </w:tblPrEx>
        <w:trPr>
          <w:trHeight w:val="90" w:hRule="atLeast"/>
          <w:jc w:val="center"/>
        </w:trPr>
        <w:tc>
          <w:tcPr>
            <w:tcW w:w="409"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color w:val="auto"/>
                <w:szCs w:val="21"/>
                <w:highlight w:val="none"/>
                <w:lang w:val="en-US" w:eastAsia="zh-CN"/>
              </w:rPr>
            </w:pPr>
            <w:r>
              <w:rPr>
                <w:rFonts w:hint="eastAsia"/>
                <w:color w:val="auto"/>
                <w:szCs w:val="21"/>
                <w:highlight w:val="none"/>
                <w:lang w:val="en-US" w:eastAsia="zh-CN"/>
              </w:rPr>
              <w:t>6</w:t>
            </w:r>
          </w:p>
        </w:tc>
        <w:tc>
          <w:tcPr>
            <w:tcW w:w="898"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eastAsia" w:ascii="Times New Roman" w:hAnsi="Times New Roman" w:eastAsia="宋体" w:cs="Times New Roman"/>
                <w:kern w:val="2"/>
                <w:sz w:val="21"/>
                <w:szCs w:val="21"/>
                <w:lang w:val="zh-CN" w:eastAsia="zh-CN" w:bidi="ar-SA"/>
              </w:rPr>
            </w:pPr>
            <w:r>
              <w:rPr>
                <w:rFonts w:hint="eastAsia"/>
              </w:rPr>
              <w:t>履约评价</w:t>
            </w:r>
          </w:p>
        </w:tc>
        <w:tc>
          <w:tcPr>
            <w:tcW w:w="272"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eastAsia" w:ascii="Times New Roman" w:hAnsi="Times New Roman" w:eastAsia="宋体" w:cs="Times New Roman"/>
                <w:kern w:val="2"/>
                <w:sz w:val="21"/>
                <w:szCs w:val="21"/>
                <w:lang w:val="en-US" w:eastAsia="zh-CN" w:bidi="ar-SA"/>
              </w:rPr>
            </w:pPr>
            <w:r>
              <w:rPr>
                <w:rFonts w:hint="eastAsia"/>
              </w:rPr>
              <w:t>3</w:t>
            </w:r>
          </w:p>
        </w:tc>
        <w:tc>
          <w:tcPr>
            <w:tcW w:w="2967"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rPr>
                <w:rFonts w:hint="eastAsia"/>
                <w:szCs w:val="21"/>
                <w:lang w:val="zh-CN"/>
              </w:rPr>
            </w:pPr>
            <w:r>
              <w:rPr>
                <w:rFonts w:hint="eastAsia"/>
                <w:b/>
                <w:bCs/>
              </w:rPr>
              <w:t>（一）评审内容：</w:t>
            </w:r>
          </w:p>
          <w:p>
            <w:pPr>
              <w:keepNext w:val="0"/>
              <w:keepLines w:val="0"/>
              <w:suppressLineNumbers w:val="0"/>
              <w:tabs>
                <w:tab w:val="left" w:pos="426"/>
              </w:tabs>
              <w:autoSpaceDE w:val="0"/>
              <w:autoSpaceDN w:val="0"/>
              <w:spacing w:before="0" w:beforeLines="30" w:beforeAutospacing="0" w:after="0" w:afterLines="30" w:afterAutospacing="0" w:line="240" w:lineRule="auto"/>
              <w:ind w:left="0" w:right="0"/>
              <w:rPr>
                <w:rFonts w:hint="eastAsia"/>
                <w:szCs w:val="21"/>
                <w:lang w:val="en-US" w:eastAsia="zh-CN"/>
              </w:rPr>
            </w:pPr>
            <w:r>
              <w:rPr>
                <w:rFonts w:hint="eastAsia"/>
                <w:szCs w:val="21"/>
                <w:lang w:val="zh-CN"/>
              </w:rPr>
              <w:t>根据投标人自201</w:t>
            </w:r>
            <w:r>
              <w:rPr>
                <w:rFonts w:hint="eastAsia"/>
                <w:szCs w:val="21"/>
                <w:lang w:val="en-US" w:eastAsia="zh-CN"/>
              </w:rPr>
              <w:t>8</w:t>
            </w:r>
            <w:r>
              <w:rPr>
                <w:rFonts w:hint="eastAsia"/>
                <w:szCs w:val="21"/>
                <w:lang w:val="zh-CN"/>
              </w:rPr>
              <w:t>年</w:t>
            </w:r>
            <w:r>
              <w:rPr>
                <w:rFonts w:hint="eastAsia"/>
                <w:szCs w:val="21"/>
                <w:lang w:val="en-US" w:eastAsia="zh-CN"/>
              </w:rPr>
              <w:t>1</w:t>
            </w:r>
            <w:r>
              <w:rPr>
                <w:rFonts w:hint="eastAsia"/>
                <w:szCs w:val="21"/>
                <w:lang w:val="zh-CN"/>
              </w:rPr>
              <w:t>月1日至今（以合同签订时间为准）具有用户好评的</w:t>
            </w:r>
            <w:r>
              <w:rPr>
                <w:rFonts w:hint="eastAsia"/>
                <w:szCs w:val="21"/>
                <w:lang w:val="en-US" w:eastAsia="zh-CN"/>
              </w:rPr>
              <w:t>信息化系统工程</w:t>
            </w:r>
            <w:r>
              <w:rPr>
                <w:rFonts w:hint="eastAsia"/>
                <w:szCs w:val="21"/>
                <w:lang w:val="zh-CN"/>
              </w:rPr>
              <w:t>监理项目数量，</w:t>
            </w:r>
            <w:r>
              <w:rPr>
                <w:rFonts w:hint="eastAsia"/>
                <w:szCs w:val="21"/>
                <w:lang w:val="en-US" w:eastAsia="zh-CN"/>
              </w:rPr>
              <w:t>每提供一项得0.5分，最高得3分。</w:t>
            </w:r>
          </w:p>
          <w:p>
            <w:pPr>
              <w:pStyle w:val="2"/>
              <w:keepNext w:val="0"/>
              <w:keepLines w:val="0"/>
              <w:suppressLineNumbers w:val="0"/>
              <w:autoSpaceDE w:val="0"/>
              <w:autoSpaceDN w:val="0"/>
              <w:spacing w:before="0" w:beforeLines="30" w:beforeAutospacing="0" w:after="0" w:afterLines="30" w:afterAutospacing="0" w:line="240" w:lineRule="auto"/>
              <w:ind w:left="0" w:right="0"/>
              <w:rPr>
                <w:rFonts w:hint="default"/>
              </w:rPr>
            </w:pPr>
            <w:r>
              <w:rPr>
                <w:rFonts w:hint="eastAsia" w:ascii="宋体" w:hAnsi="宋体" w:eastAsia="宋体" w:cs="宋体"/>
                <w:b/>
                <w:bCs/>
                <w:color w:val="auto"/>
                <w:sz w:val="21"/>
                <w:szCs w:val="21"/>
                <w:highlight w:val="none"/>
              </w:rPr>
              <w:t>（二）评分依据：</w:t>
            </w:r>
          </w:p>
          <w:p>
            <w:pPr>
              <w:keepNext w:val="0"/>
              <w:keepLines w:val="0"/>
              <w:suppressLineNumbers w:val="0"/>
              <w:tabs>
                <w:tab w:val="left" w:pos="426"/>
              </w:tabs>
              <w:autoSpaceDE w:val="0"/>
              <w:autoSpaceDN w:val="0"/>
              <w:spacing w:before="0" w:beforeLines="30" w:beforeAutospacing="0" w:after="0" w:afterLines="30" w:afterAutospacing="0" w:line="240" w:lineRule="auto"/>
              <w:ind w:left="0" w:right="0"/>
              <w:rPr>
                <w:rFonts w:hint="eastAsia" w:ascii="Times New Roman" w:hAnsi="Times New Roman" w:eastAsia="宋体" w:cs="Times New Roman"/>
                <w:kern w:val="2"/>
                <w:sz w:val="21"/>
                <w:szCs w:val="24"/>
                <w:lang w:val="en-US" w:eastAsia="zh-CN" w:bidi="ar-SA"/>
              </w:rPr>
            </w:pPr>
            <w:r>
              <w:rPr>
                <w:rFonts w:hint="eastAsia"/>
                <w:szCs w:val="21"/>
                <w:lang w:val="zh-CN"/>
              </w:rPr>
              <w:t>须提供中标通知书、合同关键页和</w:t>
            </w:r>
            <w:r>
              <w:rPr>
                <w:rFonts w:hint="eastAsia"/>
                <w:szCs w:val="21"/>
                <w:lang w:val="en-US" w:eastAsia="zh-CN"/>
              </w:rPr>
              <w:t>招标单位</w:t>
            </w:r>
            <w:r>
              <w:rPr>
                <w:rFonts w:hint="eastAsia"/>
                <w:szCs w:val="21"/>
                <w:lang w:val="zh-CN"/>
              </w:rPr>
              <w:t>考核评价为优良（</w:t>
            </w:r>
            <w:r>
              <w:rPr>
                <w:rFonts w:hint="eastAsia"/>
                <w:szCs w:val="21"/>
                <w:lang w:val="en-US" w:eastAsia="zh-CN"/>
              </w:rPr>
              <w:t>招标单位</w:t>
            </w:r>
            <w:r>
              <w:rPr>
                <w:rFonts w:hint="default"/>
                <w:szCs w:val="21"/>
                <w:lang w:val="zh-CN"/>
              </w:rPr>
              <w:t>盖章</w:t>
            </w:r>
            <w:r>
              <w:rPr>
                <w:rFonts w:hint="eastAsia"/>
                <w:szCs w:val="21"/>
                <w:lang w:val="zh-CN"/>
              </w:rPr>
              <w:t>）或满意的相关证明文件扫描件，原件备查。如未按要求提供该项以上证明完整资料的不计分。</w:t>
            </w:r>
          </w:p>
        </w:tc>
        <w:tc>
          <w:tcPr>
            <w:tcW w:w="452"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eastAsia" w:ascii="Times New Roman" w:hAnsi="Times New Roman" w:eastAsia="宋体" w:cs="Times New Roman"/>
                <w:kern w:val="2"/>
                <w:sz w:val="21"/>
                <w:szCs w:val="21"/>
                <w:lang w:val="zh-CN" w:eastAsia="zh-CN" w:bidi="ar-SA"/>
              </w:rPr>
            </w:pPr>
            <w:r>
              <w:rPr>
                <w:rFonts w:hint="eastAsia"/>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90" w:hRule="atLeast"/>
          <w:jc w:val="center"/>
        </w:trPr>
        <w:tc>
          <w:tcPr>
            <w:tcW w:w="409"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color w:val="auto"/>
                <w:szCs w:val="21"/>
                <w:highlight w:val="none"/>
                <w:lang w:val="en-US" w:eastAsia="zh-CN"/>
              </w:rPr>
            </w:pPr>
            <w:r>
              <w:rPr>
                <w:rFonts w:hint="eastAsia"/>
                <w:color w:val="auto"/>
                <w:szCs w:val="21"/>
                <w:highlight w:val="none"/>
                <w:lang w:val="en-US" w:eastAsia="zh-CN"/>
              </w:rPr>
              <w:t>7</w:t>
            </w:r>
          </w:p>
        </w:tc>
        <w:tc>
          <w:tcPr>
            <w:tcW w:w="898"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eastAsia" w:ascii="Times New Roman" w:hAnsi="Times New Roman" w:eastAsia="宋体" w:cs="Times New Roman"/>
                <w:kern w:val="2"/>
                <w:sz w:val="21"/>
                <w:szCs w:val="21"/>
                <w:lang w:val="zh-CN" w:eastAsia="zh-CN" w:bidi="ar-SA"/>
              </w:rPr>
            </w:pPr>
            <w:r>
              <w:rPr>
                <w:rFonts w:hint="eastAsia"/>
                <w:szCs w:val="21"/>
                <w:lang w:val="zh-CN"/>
              </w:rPr>
              <w:t>负</w:t>
            </w:r>
            <w:r>
              <w:rPr>
                <w:rFonts w:hint="default"/>
                <w:szCs w:val="21"/>
                <w:lang w:val="zh-CN"/>
              </w:rPr>
              <w:t>责招标人项目的</w:t>
            </w:r>
            <w:r>
              <w:rPr>
                <w:rFonts w:hint="eastAsia"/>
                <w:szCs w:val="21"/>
                <w:lang w:val="zh-CN"/>
              </w:rPr>
              <w:t>总监理工程师资历</w:t>
            </w:r>
          </w:p>
        </w:tc>
        <w:tc>
          <w:tcPr>
            <w:tcW w:w="272"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8</w:t>
            </w:r>
          </w:p>
        </w:tc>
        <w:tc>
          <w:tcPr>
            <w:tcW w:w="2967"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rPr>
                <w:rFonts w:hint="eastAsia"/>
                <w:szCs w:val="21"/>
                <w:lang w:val="zh-CN"/>
              </w:rPr>
            </w:pPr>
            <w:r>
              <w:rPr>
                <w:rFonts w:hint="eastAsia"/>
                <w:b/>
                <w:bCs/>
              </w:rPr>
              <w:t>（一）评审内容：</w:t>
            </w:r>
          </w:p>
          <w:p>
            <w:pPr>
              <w:keepNext w:val="0"/>
              <w:keepLines w:val="0"/>
              <w:suppressLineNumbers w:val="0"/>
              <w:tabs>
                <w:tab w:val="left" w:pos="426"/>
              </w:tabs>
              <w:autoSpaceDE w:val="0"/>
              <w:autoSpaceDN w:val="0"/>
              <w:spacing w:before="0" w:beforeLines="30" w:beforeAutospacing="0" w:after="0" w:afterLines="30" w:afterAutospacing="0" w:line="240" w:lineRule="auto"/>
              <w:ind w:left="0" w:right="0"/>
              <w:rPr>
                <w:rFonts w:hint="default"/>
                <w:szCs w:val="21"/>
                <w:highlight w:val="none"/>
                <w:lang w:val="zh-CN"/>
              </w:rPr>
            </w:pPr>
            <w:r>
              <w:rPr>
                <w:rFonts w:hint="eastAsia"/>
                <w:szCs w:val="21"/>
                <w:highlight w:val="none"/>
                <w:lang w:val="zh-CN"/>
              </w:rPr>
              <w:t>参与本项目总监理工程师必须为“信息系统工程监理工程师”，否则本项不得分。</w:t>
            </w:r>
          </w:p>
          <w:p>
            <w:pPr>
              <w:keepNext w:val="0"/>
              <w:keepLines w:val="0"/>
              <w:suppressLineNumbers w:val="0"/>
              <w:tabs>
                <w:tab w:val="left" w:pos="426"/>
              </w:tabs>
              <w:autoSpaceDE w:val="0"/>
              <w:autoSpaceDN w:val="0"/>
              <w:spacing w:before="0" w:beforeLines="30" w:beforeAutospacing="0" w:after="0" w:afterLines="30" w:afterAutospacing="0" w:line="240" w:lineRule="auto"/>
              <w:ind w:left="0" w:right="0"/>
              <w:rPr>
                <w:rFonts w:hint="default"/>
                <w:szCs w:val="21"/>
                <w:lang w:val="zh-CN"/>
              </w:rPr>
            </w:pPr>
            <w:r>
              <w:rPr>
                <w:rFonts w:hint="eastAsia"/>
                <w:szCs w:val="21"/>
                <w:lang w:val="zh-CN"/>
              </w:rPr>
              <w:t>1</w:t>
            </w:r>
            <w:r>
              <w:rPr>
                <w:rFonts w:hint="eastAsia"/>
                <w:szCs w:val="21"/>
                <w:lang w:val="en-US" w:eastAsia="zh-CN"/>
              </w:rPr>
              <w:t>.</w:t>
            </w:r>
            <w:r>
              <w:rPr>
                <w:rFonts w:hint="eastAsia"/>
                <w:szCs w:val="21"/>
                <w:lang w:val="zh-CN"/>
              </w:rPr>
              <w:t>具有</w:t>
            </w:r>
            <w:r>
              <w:rPr>
                <w:rFonts w:hint="eastAsia"/>
                <w:szCs w:val="21"/>
                <w:lang w:val="en-US" w:eastAsia="zh-CN"/>
              </w:rPr>
              <w:t>人社部颁发的</w:t>
            </w:r>
            <w:r>
              <w:rPr>
                <w:rFonts w:hint="eastAsia"/>
                <w:szCs w:val="21"/>
                <w:lang w:val="zh-CN"/>
              </w:rPr>
              <w:t>一级建造师执业资格证书（通信类）；</w:t>
            </w:r>
          </w:p>
          <w:p>
            <w:pPr>
              <w:keepNext w:val="0"/>
              <w:keepLines w:val="0"/>
              <w:suppressLineNumbers w:val="0"/>
              <w:autoSpaceDE w:val="0"/>
              <w:autoSpaceDN w:val="0"/>
              <w:spacing w:before="0" w:beforeLines="30" w:beforeAutospacing="0" w:after="0" w:afterLines="30" w:afterAutospacing="0" w:line="240" w:lineRule="auto"/>
              <w:ind w:left="0" w:right="0"/>
              <w:rPr>
                <w:rFonts w:hint="default"/>
                <w:szCs w:val="21"/>
                <w:lang w:val="zh-CN"/>
              </w:rPr>
            </w:pPr>
            <w:r>
              <w:rPr>
                <w:rFonts w:hint="eastAsia"/>
                <w:szCs w:val="21"/>
                <w:lang w:val="zh-CN"/>
              </w:rPr>
              <w:t>2</w:t>
            </w:r>
            <w:r>
              <w:rPr>
                <w:rFonts w:hint="eastAsia"/>
                <w:szCs w:val="21"/>
                <w:lang w:val="en-US" w:eastAsia="zh-CN"/>
              </w:rPr>
              <w:t>.</w:t>
            </w:r>
            <w:r>
              <w:rPr>
                <w:rFonts w:hint="eastAsia"/>
                <w:szCs w:val="21"/>
                <w:lang w:val="zh-CN"/>
              </w:rPr>
              <w:t>具有</w:t>
            </w:r>
            <w:r>
              <w:rPr>
                <w:rFonts w:hint="eastAsia"/>
                <w:szCs w:val="21"/>
                <w:lang w:val="en-US" w:eastAsia="zh-CN"/>
              </w:rPr>
              <w:t>中国工程咨询协会</w:t>
            </w:r>
            <w:r>
              <w:rPr>
                <w:rFonts w:hint="eastAsia"/>
                <w:szCs w:val="21"/>
                <w:lang w:val="zh-CN"/>
              </w:rPr>
              <w:t>颁发的</w:t>
            </w:r>
            <w:r>
              <w:rPr>
                <w:rFonts w:hint="eastAsia"/>
                <w:szCs w:val="21"/>
                <w:lang w:val="en-US" w:eastAsia="zh-CN"/>
              </w:rPr>
              <w:t>咨询工程师（投资）登记证书（电子、信息工程专业）</w:t>
            </w:r>
            <w:r>
              <w:rPr>
                <w:rFonts w:hint="eastAsia"/>
                <w:szCs w:val="21"/>
                <w:lang w:val="zh-CN"/>
              </w:rPr>
              <w:t>；</w:t>
            </w:r>
          </w:p>
          <w:p>
            <w:pPr>
              <w:keepNext w:val="0"/>
              <w:keepLines w:val="0"/>
              <w:suppressLineNumbers w:val="0"/>
              <w:autoSpaceDE w:val="0"/>
              <w:autoSpaceDN w:val="0"/>
              <w:spacing w:before="0" w:beforeLines="30" w:beforeAutospacing="0" w:after="0" w:afterLines="30" w:afterAutospacing="0" w:line="240" w:lineRule="auto"/>
              <w:ind w:left="0" w:right="0"/>
              <w:rPr>
                <w:rFonts w:hint="eastAsia"/>
                <w:szCs w:val="21"/>
                <w:lang w:val="zh-CN"/>
              </w:rPr>
            </w:pPr>
            <w:r>
              <w:rPr>
                <w:rFonts w:hint="eastAsia"/>
                <w:szCs w:val="21"/>
                <w:lang w:val="zh-CN"/>
              </w:rPr>
              <w:t>3</w:t>
            </w:r>
            <w:r>
              <w:rPr>
                <w:rFonts w:hint="eastAsia"/>
                <w:szCs w:val="21"/>
                <w:lang w:val="en-US" w:eastAsia="zh-CN"/>
              </w:rPr>
              <w:t>.</w:t>
            </w:r>
            <w:r>
              <w:rPr>
                <w:rFonts w:hint="eastAsia"/>
                <w:szCs w:val="21"/>
                <w:lang w:val="zh-CN"/>
              </w:rPr>
              <w:t>具有</w:t>
            </w:r>
            <w:r>
              <w:rPr>
                <w:rFonts w:hint="eastAsia"/>
                <w:szCs w:val="21"/>
                <w:lang w:val="en-US" w:eastAsia="zh-CN"/>
              </w:rPr>
              <w:t>中国网络安全审查技术与认证中心</w:t>
            </w:r>
            <w:r>
              <w:rPr>
                <w:rFonts w:hint="eastAsia"/>
                <w:szCs w:val="21"/>
                <w:lang w:val="zh-CN"/>
              </w:rPr>
              <w:t>颁发的CISAW信息安全保障人员认证证书。</w:t>
            </w:r>
          </w:p>
          <w:p>
            <w:pPr>
              <w:pStyle w:val="11"/>
              <w:keepNext w:val="0"/>
              <w:keepLines w:val="0"/>
              <w:suppressLineNumbers w:val="0"/>
              <w:spacing w:before="0" w:beforeAutospacing="0" w:after="0" w:afterAutospacing="0"/>
              <w:ind w:left="0" w:right="0"/>
              <w:rPr>
                <w:rFonts w:hint="default" w:eastAsia="宋体"/>
                <w:lang w:val="en-US" w:eastAsia="zh-CN"/>
              </w:rPr>
            </w:pPr>
            <w:r>
              <w:rPr>
                <w:rFonts w:hint="eastAsia"/>
                <w:sz w:val="21"/>
                <w:szCs w:val="21"/>
                <w:lang w:val="en-US" w:eastAsia="zh-CN"/>
              </w:rPr>
              <w:t>4</w:t>
            </w:r>
            <w:r>
              <w:rPr>
                <w:rFonts w:hint="eastAsia"/>
                <w:szCs w:val="21"/>
                <w:lang w:val="en-US" w:eastAsia="zh-CN"/>
              </w:rPr>
              <w:t>.</w:t>
            </w:r>
            <w:r>
              <w:rPr>
                <w:rFonts w:hint="eastAsia"/>
                <w:sz w:val="21"/>
                <w:szCs w:val="21"/>
                <w:lang w:val="en-US" w:eastAsia="zh-CN"/>
              </w:rPr>
              <w:t>具有</w:t>
            </w:r>
            <w:r>
              <w:rPr>
                <w:rFonts w:hint="default" w:ascii="宋体" w:hAnsi="宋体" w:eastAsia="宋体" w:cs="宋体"/>
                <w:kern w:val="0"/>
                <w:sz w:val="21"/>
                <w:szCs w:val="21"/>
                <w:lang w:val="en-US" w:eastAsia="zh-CN" w:bidi="ar"/>
              </w:rPr>
              <w:t>人社</w:t>
            </w:r>
            <w:r>
              <w:rPr>
                <w:rFonts w:hint="eastAsia" w:ascii="宋体" w:hAnsi="宋体" w:cs="宋体"/>
                <w:kern w:val="0"/>
                <w:sz w:val="21"/>
                <w:szCs w:val="21"/>
                <w:lang w:val="en-US" w:eastAsia="zh-CN" w:bidi="ar"/>
              </w:rPr>
              <w:t>部门</w:t>
            </w:r>
            <w:r>
              <w:rPr>
                <w:rFonts w:hint="default" w:ascii="宋体" w:hAnsi="宋体" w:eastAsia="宋体" w:cs="宋体"/>
                <w:kern w:val="0"/>
                <w:sz w:val="21"/>
                <w:szCs w:val="21"/>
                <w:lang w:val="en-US" w:eastAsia="zh-CN" w:bidi="ar"/>
              </w:rPr>
              <w:t>颁发的信息系统项目管理师</w:t>
            </w:r>
            <w:r>
              <w:rPr>
                <w:rFonts w:hint="eastAsia" w:ascii="宋体" w:hAnsi="宋体" w:eastAsia="宋体" w:cs="宋体"/>
                <w:kern w:val="0"/>
                <w:sz w:val="21"/>
                <w:szCs w:val="21"/>
                <w:lang w:val="en-US" w:eastAsia="zh-CN" w:bidi="ar"/>
              </w:rPr>
              <w:t>高级</w:t>
            </w:r>
            <w:r>
              <w:rPr>
                <w:rFonts w:hint="default" w:ascii="宋体" w:hAnsi="宋体" w:eastAsia="宋体" w:cs="宋体"/>
                <w:kern w:val="0"/>
                <w:sz w:val="21"/>
                <w:szCs w:val="21"/>
                <w:lang w:val="en-US" w:eastAsia="zh-CN" w:bidi="ar"/>
              </w:rPr>
              <w:t>证书</w:t>
            </w:r>
            <w:r>
              <w:rPr>
                <w:rFonts w:hint="eastAsia" w:ascii="宋体" w:hAnsi="宋体" w:cs="宋体"/>
                <w:kern w:val="0"/>
                <w:sz w:val="21"/>
                <w:szCs w:val="21"/>
                <w:lang w:val="en-US" w:eastAsia="zh-CN" w:bidi="ar"/>
              </w:rPr>
              <w:t>。</w:t>
            </w:r>
          </w:p>
          <w:p>
            <w:pPr>
              <w:keepNext w:val="0"/>
              <w:keepLines w:val="0"/>
              <w:suppressLineNumbers w:val="0"/>
              <w:tabs>
                <w:tab w:val="left" w:pos="426"/>
              </w:tabs>
              <w:autoSpaceDE w:val="0"/>
              <w:autoSpaceDN w:val="0"/>
              <w:spacing w:before="0" w:beforeLines="30" w:beforeAutospacing="0" w:after="0" w:afterLines="30" w:afterAutospacing="0" w:line="240" w:lineRule="auto"/>
              <w:ind w:left="0" w:right="0"/>
              <w:rPr>
                <w:rFonts w:hint="eastAsia"/>
                <w:szCs w:val="21"/>
                <w:lang w:val="zh-CN"/>
              </w:rPr>
            </w:pPr>
            <w:r>
              <w:rPr>
                <w:rFonts w:hint="eastAsia"/>
                <w:szCs w:val="21"/>
                <w:lang w:val="zh-CN"/>
              </w:rPr>
              <w:t>满足以上</w:t>
            </w:r>
            <w:r>
              <w:rPr>
                <w:rFonts w:hint="eastAsia"/>
                <w:szCs w:val="21"/>
                <w:lang w:val="en-US" w:eastAsia="zh-CN"/>
              </w:rPr>
              <w:t>4项得8分，</w:t>
            </w:r>
            <w:r>
              <w:rPr>
                <w:rFonts w:hint="eastAsia"/>
                <w:szCs w:val="21"/>
                <w:lang w:val="zh-CN"/>
              </w:rPr>
              <w:t>3项得6分，满足2项得4分，满足1项得2分，其他不得分。</w:t>
            </w:r>
          </w:p>
          <w:p>
            <w:pPr>
              <w:pStyle w:val="2"/>
              <w:keepNext w:val="0"/>
              <w:keepLines w:val="0"/>
              <w:suppressLineNumbers w:val="0"/>
              <w:spacing w:before="0" w:beforeAutospacing="0" w:afterAutospacing="0"/>
              <w:ind w:left="0" w:right="0"/>
              <w:rPr>
                <w:rFonts w:hint="default"/>
                <w:lang w:val="zh-CN"/>
              </w:rPr>
            </w:pPr>
            <w:r>
              <w:rPr>
                <w:rFonts w:hint="eastAsia" w:ascii="宋体" w:hAnsi="宋体" w:eastAsia="宋体" w:cs="宋体"/>
                <w:b/>
                <w:bCs/>
                <w:color w:val="auto"/>
                <w:sz w:val="21"/>
                <w:szCs w:val="21"/>
                <w:highlight w:val="none"/>
              </w:rPr>
              <w:t>（二）评分依据：</w:t>
            </w:r>
          </w:p>
          <w:p>
            <w:pPr>
              <w:keepNext w:val="0"/>
              <w:keepLines w:val="0"/>
              <w:suppressLineNumbers w:val="0"/>
              <w:tabs>
                <w:tab w:val="left" w:pos="426"/>
              </w:tabs>
              <w:autoSpaceDE w:val="0"/>
              <w:autoSpaceDN w:val="0"/>
              <w:spacing w:before="0" w:beforeLines="30" w:beforeAutospacing="0" w:after="0" w:afterLines="30" w:afterAutospacing="0" w:line="240" w:lineRule="auto"/>
              <w:ind w:left="0" w:right="0"/>
              <w:rPr>
                <w:rFonts w:hint="eastAsia" w:ascii="Times New Roman" w:hAnsi="Times New Roman" w:eastAsia="宋体" w:cs="Times New Roman"/>
                <w:kern w:val="2"/>
                <w:sz w:val="21"/>
                <w:szCs w:val="21"/>
                <w:lang w:val="en-US" w:eastAsia="zh-CN" w:bidi="ar-SA"/>
              </w:rPr>
            </w:pPr>
            <w:r>
              <w:rPr>
                <w:rFonts w:hint="eastAsia"/>
                <w:szCs w:val="21"/>
                <w:lang w:val="zh-CN"/>
              </w:rPr>
              <w:t>须提供相关证书证明文件及</w:t>
            </w:r>
            <w:r>
              <w:rPr>
                <w:rFonts w:hint="eastAsia" w:ascii="宋体" w:hAnsi="宋体"/>
                <w:szCs w:val="21"/>
              </w:rPr>
              <w:t>通过投标人缴纳的近三个月（202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月至202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月，由于社保部门原因最近一个月的社保证明无法提供的可往前顺延一个月）的社保证明</w:t>
            </w:r>
            <w:r>
              <w:rPr>
                <w:rFonts w:hint="eastAsia"/>
                <w:szCs w:val="21"/>
                <w:lang w:val="zh-CN"/>
              </w:rPr>
              <w:t>复印件，并加盖公章。</w:t>
            </w:r>
            <w:r>
              <w:rPr>
                <w:rFonts w:hint="eastAsia" w:ascii="宋体" w:hAnsi="宋体" w:eastAsia="宋体" w:cs="宋体"/>
                <w:color w:val="auto"/>
                <w:sz w:val="21"/>
                <w:szCs w:val="21"/>
                <w:highlight w:val="none"/>
              </w:rPr>
              <w:t>评分中出现无证明</w:t>
            </w:r>
            <w:r>
              <w:rPr>
                <w:rFonts w:hint="eastAsia" w:ascii="宋体" w:hAnsi="宋体" w:eastAsia="宋体" w:cs="宋体"/>
                <w:color w:val="auto"/>
                <w:sz w:val="21"/>
                <w:szCs w:val="21"/>
                <w:highlight w:val="none"/>
                <w:lang w:val="en-US" w:eastAsia="zh-CN"/>
              </w:rPr>
              <w:t>资料</w:t>
            </w:r>
            <w:r>
              <w:rPr>
                <w:rFonts w:hint="eastAsia" w:ascii="宋体" w:hAnsi="宋体" w:eastAsia="宋体" w:cs="宋体"/>
                <w:color w:val="auto"/>
                <w:sz w:val="21"/>
                <w:szCs w:val="21"/>
                <w:highlight w:val="none"/>
              </w:rPr>
              <w:t>或专家无法</w:t>
            </w:r>
            <w:r>
              <w:rPr>
                <w:rFonts w:hint="eastAsia" w:ascii="宋体" w:hAnsi="宋体" w:eastAsia="宋体" w:cs="宋体"/>
                <w:color w:val="auto"/>
                <w:sz w:val="21"/>
                <w:szCs w:val="21"/>
                <w:highlight w:val="none"/>
                <w:lang w:val="en-US" w:eastAsia="zh-CN"/>
              </w:rPr>
              <w:t>凭</w:t>
            </w:r>
            <w:r>
              <w:rPr>
                <w:rFonts w:hint="eastAsia" w:ascii="宋体" w:hAnsi="宋体" w:eastAsia="宋体" w:cs="宋体"/>
                <w:color w:val="auto"/>
                <w:sz w:val="21"/>
                <w:szCs w:val="21"/>
                <w:highlight w:val="none"/>
              </w:rPr>
              <w:t>所提供数据判断是否得分的情况，一律</w:t>
            </w:r>
            <w:r>
              <w:rPr>
                <w:rFonts w:hint="eastAsia" w:ascii="宋体" w:hAnsi="宋体" w:eastAsia="宋体" w:cs="宋体"/>
                <w:color w:val="auto"/>
                <w:sz w:val="21"/>
                <w:szCs w:val="21"/>
                <w:highlight w:val="none"/>
                <w:lang w:val="en-US" w:eastAsia="zh-CN"/>
              </w:rPr>
              <w:t>作</w:t>
            </w:r>
            <w:r>
              <w:rPr>
                <w:rFonts w:hint="eastAsia" w:ascii="宋体" w:hAnsi="宋体" w:eastAsia="宋体" w:cs="宋体"/>
                <w:color w:val="auto"/>
                <w:sz w:val="21"/>
                <w:szCs w:val="21"/>
                <w:highlight w:val="none"/>
              </w:rPr>
              <w:t>不能得分处理</w:t>
            </w:r>
            <w:r>
              <w:rPr>
                <w:rFonts w:hint="eastAsia" w:ascii="宋体" w:hAnsi="宋体" w:eastAsia="宋体" w:cs="宋体"/>
                <w:color w:val="auto"/>
                <w:sz w:val="21"/>
                <w:szCs w:val="21"/>
                <w:highlight w:val="none"/>
                <w:lang w:val="en-US" w:eastAsia="zh-CN"/>
              </w:rPr>
              <w:t>。</w:t>
            </w:r>
          </w:p>
        </w:tc>
        <w:tc>
          <w:tcPr>
            <w:tcW w:w="452"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eastAsia" w:ascii="Times New Roman" w:hAnsi="Times New Roman" w:eastAsia="宋体" w:cs="Times New Roman"/>
                <w:kern w:val="2"/>
                <w:sz w:val="21"/>
                <w:szCs w:val="21"/>
                <w:lang w:val="zh-CN" w:eastAsia="zh-CN" w:bidi="ar-SA"/>
              </w:rPr>
            </w:pPr>
            <w:r>
              <w:rPr>
                <w:rFonts w:hint="eastAsia"/>
                <w:szCs w:val="21"/>
                <w:lang w:val="zh-CN"/>
              </w:rPr>
              <w:t>专家打分</w:t>
            </w:r>
          </w:p>
        </w:tc>
      </w:tr>
      <w:tr>
        <w:tblPrEx>
          <w:shd w:val="clear" w:color="auto" w:fill="FFFFFF"/>
        </w:tblPrEx>
        <w:trPr>
          <w:trHeight w:val="90" w:hRule="atLeast"/>
          <w:jc w:val="center"/>
        </w:trPr>
        <w:tc>
          <w:tcPr>
            <w:tcW w:w="409"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color w:val="auto"/>
                <w:szCs w:val="21"/>
                <w:highlight w:val="none"/>
                <w:lang w:val="en-US" w:eastAsia="zh-CN"/>
              </w:rPr>
            </w:pPr>
            <w:r>
              <w:rPr>
                <w:rFonts w:hint="eastAsia"/>
                <w:color w:val="auto"/>
                <w:szCs w:val="21"/>
                <w:highlight w:val="none"/>
                <w:lang w:val="en-US" w:eastAsia="zh-CN"/>
              </w:rPr>
              <w:t>8</w:t>
            </w:r>
          </w:p>
        </w:tc>
        <w:tc>
          <w:tcPr>
            <w:tcW w:w="898"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eastAsia" w:ascii="Times New Roman" w:hAnsi="Times New Roman" w:eastAsia="宋体" w:cs="Times New Roman"/>
                <w:kern w:val="2"/>
                <w:sz w:val="21"/>
                <w:szCs w:val="21"/>
                <w:lang w:val="zh-CN" w:eastAsia="zh-CN" w:bidi="ar-SA"/>
              </w:rPr>
            </w:pPr>
            <w:r>
              <w:rPr>
                <w:rFonts w:hint="eastAsia"/>
                <w:szCs w:val="21"/>
                <w:lang w:val="zh-CN"/>
              </w:rPr>
              <w:t>项目工作团队（总监理工程师除外）</w:t>
            </w:r>
          </w:p>
        </w:tc>
        <w:tc>
          <w:tcPr>
            <w:tcW w:w="272"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eastAsia" w:ascii="Times New Roman" w:hAnsi="Times New Roman" w:eastAsia="宋体" w:cs="Times New Roman"/>
                <w:kern w:val="2"/>
                <w:sz w:val="21"/>
                <w:szCs w:val="21"/>
                <w:lang w:val="en-US" w:eastAsia="zh-CN" w:bidi="ar-SA"/>
              </w:rPr>
            </w:pPr>
            <w:r>
              <w:rPr>
                <w:rFonts w:hint="default"/>
                <w:szCs w:val="21"/>
                <w:lang w:val="zh-CN"/>
              </w:rPr>
              <w:t>9</w:t>
            </w:r>
          </w:p>
        </w:tc>
        <w:tc>
          <w:tcPr>
            <w:tcW w:w="2967"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rPr>
                <w:rFonts w:hint="eastAsia"/>
                <w:szCs w:val="21"/>
                <w:lang w:val="zh-CN"/>
              </w:rPr>
            </w:pPr>
            <w:r>
              <w:rPr>
                <w:rFonts w:hint="eastAsia"/>
                <w:b/>
                <w:bCs/>
              </w:rPr>
              <w:t>（一）评审内容：</w:t>
            </w:r>
          </w:p>
          <w:p>
            <w:pPr>
              <w:keepNext w:val="0"/>
              <w:keepLines w:val="0"/>
              <w:suppressLineNumbers w:val="0"/>
              <w:tabs>
                <w:tab w:val="left" w:pos="426"/>
              </w:tabs>
              <w:autoSpaceDE w:val="0"/>
              <w:autoSpaceDN w:val="0"/>
              <w:spacing w:before="0" w:beforeLines="30" w:beforeAutospacing="0" w:after="0" w:afterLines="30" w:afterAutospacing="0" w:line="240" w:lineRule="auto"/>
              <w:ind w:left="0" w:right="0"/>
              <w:rPr>
                <w:rFonts w:hint="default"/>
                <w:szCs w:val="21"/>
                <w:highlight w:val="none"/>
                <w:lang w:val="zh-CN"/>
              </w:rPr>
            </w:pPr>
            <w:r>
              <w:rPr>
                <w:rFonts w:hint="eastAsia"/>
                <w:szCs w:val="21"/>
                <w:highlight w:val="none"/>
                <w:lang w:val="zh-CN"/>
              </w:rPr>
              <w:t>投标人参与本项目的监理人员均为“信息系统工程监理工程师”，否则本项不得分。</w:t>
            </w:r>
          </w:p>
          <w:p>
            <w:pPr>
              <w:keepNext w:val="0"/>
              <w:keepLines w:val="0"/>
              <w:suppressLineNumbers w:val="0"/>
              <w:tabs>
                <w:tab w:val="left" w:pos="426"/>
              </w:tabs>
              <w:autoSpaceDE w:val="0"/>
              <w:autoSpaceDN w:val="0"/>
              <w:spacing w:before="0" w:beforeLines="30" w:beforeAutospacing="0" w:after="0" w:afterLines="30" w:afterAutospacing="0" w:line="240" w:lineRule="auto"/>
              <w:ind w:left="0" w:right="0"/>
              <w:rPr>
                <w:rFonts w:hint="default"/>
                <w:szCs w:val="21"/>
                <w:lang w:val="zh-CN"/>
              </w:rPr>
            </w:pPr>
            <w:r>
              <w:rPr>
                <w:rFonts w:hint="eastAsia"/>
                <w:szCs w:val="21"/>
                <w:lang w:val="zh-CN"/>
              </w:rPr>
              <w:t>1</w:t>
            </w:r>
            <w:r>
              <w:rPr>
                <w:rFonts w:hint="eastAsia"/>
                <w:szCs w:val="21"/>
                <w:lang w:val="en-US" w:eastAsia="zh-CN"/>
              </w:rPr>
              <w:t>.</w:t>
            </w:r>
            <w:r>
              <w:rPr>
                <w:rFonts w:hint="eastAsia"/>
                <w:szCs w:val="21"/>
                <w:lang w:val="zh-CN"/>
              </w:rPr>
              <w:t>投标人监理专业技术人员具有信息系统项目管理师证书、系统集成项目管理工程师证书</w:t>
            </w:r>
            <w:r>
              <w:rPr>
                <w:rFonts w:hint="default"/>
                <w:szCs w:val="21"/>
                <w:lang w:val="zh-CN"/>
              </w:rPr>
              <w:t>、</w:t>
            </w:r>
            <w:r>
              <w:rPr>
                <w:rFonts w:hint="eastAsia"/>
                <w:szCs w:val="21"/>
                <w:lang w:val="zh-CN"/>
              </w:rPr>
              <w:t>造价工程师执业资格证书之一者，每一人得</w:t>
            </w:r>
            <w:r>
              <w:rPr>
                <w:rFonts w:hint="eastAsia"/>
                <w:szCs w:val="21"/>
                <w:lang w:val="en-US" w:eastAsia="zh-CN"/>
              </w:rPr>
              <w:t>1</w:t>
            </w:r>
            <w:r>
              <w:rPr>
                <w:rFonts w:hint="default"/>
                <w:szCs w:val="21"/>
                <w:lang w:val="zh-CN"/>
              </w:rPr>
              <w:t>分</w:t>
            </w:r>
            <w:r>
              <w:rPr>
                <w:rFonts w:hint="eastAsia"/>
                <w:szCs w:val="21"/>
                <w:lang w:val="zh-CN"/>
              </w:rPr>
              <w:t>，</w:t>
            </w:r>
            <w:r>
              <w:rPr>
                <w:rFonts w:hint="default"/>
                <w:szCs w:val="21"/>
                <w:lang w:val="zh-CN"/>
              </w:rPr>
              <w:t>此项最高得3</w:t>
            </w:r>
            <w:r>
              <w:rPr>
                <w:rFonts w:hint="eastAsia"/>
                <w:szCs w:val="21"/>
                <w:lang w:val="zh-CN"/>
              </w:rPr>
              <w:t>分；</w:t>
            </w:r>
          </w:p>
          <w:p>
            <w:pPr>
              <w:keepNext w:val="0"/>
              <w:keepLines w:val="0"/>
              <w:suppressLineNumbers w:val="0"/>
              <w:tabs>
                <w:tab w:val="left" w:pos="426"/>
              </w:tabs>
              <w:autoSpaceDE w:val="0"/>
              <w:autoSpaceDN w:val="0"/>
              <w:spacing w:before="0" w:beforeLines="30" w:beforeAutospacing="0" w:after="0" w:afterLines="30" w:afterAutospacing="0" w:line="240" w:lineRule="auto"/>
              <w:ind w:left="0" w:right="0"/>
              <w:rPr>
                <w:rFonts w:hint="default"/>
                <w:szCs w:val="21"/>
                <w:lang w:val="zh-CN"/>
              </w:rPr>
            </w:pPr>
            <w:r>
              <w:rPr>
                <w:rFonts w:hint="default"/>
                <w:szCs w:val="21"/>
                <w:lang w:val="zh-CN"/>
              </w:rPr>
              <w:t>2</w:t>
            </w:r>
            <w:r>
              <w:rPr>
                <w:rFonts w:hint="eastAsia"/>
                <w:szCs w:val="21"/>
                <w:lang w:val="en-US" w:eastAsia="zh-CN"/>
              </w:rPr>
              <w:t>.</w:t>
            </w:r>
            <w:r>
              <w:rPr>
                <w:rFonts w:hint="default"/>
                <w:szCs w:val="21"/>
                <w:lang w:val="zh-CN"/>
              </w:rPr>
              <w:t>投标人监理专业技术人</w:t>
            </w:r>
            <w:r>
              <w:rPr>
                <w:rFonts w:hint="eastAsia"/>
                <w:szCs w:val="21"/>
                <w:lang w:val="zh-CN"/>
              </w:rPr>
              <w:t>员具有网络规划设计师证书</w:t>
            </w:r>
            <w:r>
              <w:rPr>
                <w:rFonts w:hint="default"/>
                <w:szCs w:val="21"/>
                <w:lang w:val="zh-CN"/>
              </w:rPr>
              <w:t>、</w:t>
            </w:r>
            <w:r>
              <w:rPr>
                <w:rFonts w:hint="eastAsia"/>
                <w:szCs w:val="21"/>
                <w:lang w:val="zh-CN"/>
              </w:rPr>
              <w:t>网络工程师证书</w:t>
            </w:r>
            <w:r>
              <w:rPr>
                <w:rFonts w:hint="default"/>
                <w:szCs w:val="21"/>
                <w:lang w:val="zh-CN"/>
              </w:rPr>
              <w:t>、</w:t>
            </w:r>
            <w:r>
              <w:rPr>
                <w:rFonts w:hint="eastAsia"/>
                <w:szCs w:val="21"/>
                <w:lang w:val="zh-CN"/>
              </w:rPr>
              <w:t>信息安全工程师证书</w:t>
            </w:r>
            <w:r>
              <w:rPr>
                <w:rFonts w:hint="default"/>
                <w:szCs w:val="21"/>
                <w:lang w:val="zh-CN"/>
              </w:rPr>
              <w:t>、CISP注册信息安全专业人员证书之一者，</w:t>
            </w:r>
            <w:r>
              <w:rPr>
                <w:rFonts w:hint="eastAsia"/>
                <w:szCs w:val="21"/>
                <w:lang w:val="zh-CN"/>
              </w:rPr>
              <w:t>每一人得</w:t>
            </w:r>
            <w:r>
              <w:rPr>
                <w:rFonts w:hint="eastAsia"/>
                <w:szCs w:val="21"/>
                <w:lang w:val="en-US" w:eastAsia="zh-CN"/>
              </w:rPr>
              <w:t>1</w:t>
            </w:r>
            <w:r>
              <w:rPr>
                <w:rFonts w:hint="default"/>
                <w:szCs w:val="21"/>
                <w:lang w:val="zh-CN"/>
              </w:rPr>
              <w:t>分</w:t>
            </w:r>
            <w:r>
              <w:rPr>
                <w:rFonts w:hint="eastAsia"/>
                <w:szCs w:val="21"/>
                <w:lang w:val="en-US" w:eastAsia="zh-CN"/>
              </w:rPr>
              <w:t>，</w:t>
            </w:r>
            <w:r>
              <w:rPr>
                <w:rFonts w:hint="default"/>
                <w:szCs w:val="21"/>
                <w:lang w:val="zh-CN"/>
              </w:rPr>
              <w:t>此项最高得3分；</w:t>
            </w:r>
          </w:p>
          <w:p>
            <w:pPr>
              <w:keepNext w:val="0"/>
              <w:keepLines w:val="0"/>
              <w:suppressLineNumbers w:val="0"/>
              <w:tabs>
                <w:tab w:val="left" w:pos="426"/>
              </w:tabs>
              <w:autoSpaceDE w:val="0"/>
              <w:autoSpaceDN w:val="0"/>
              <w:spacing w:before="0" w:beforeLines="30" w:beforeAutospacing="0" w:after="0" w:afterLines="30" w:afterAutospacing="0" w:line="240" w:lineRule="auto"/>
              <w:ind w:left="0" w:right="0"/>
              <w:rPr>
                <w:rFonts w:hint="default"/>
                <w:szCs w:val="21"/>
                <w:lang w:val="zh-CN"/>
              </w:rPr>
            </w:pPr>
            <w:r>
              <w:rPr>
                <w:rFonts w:hint="default"/>
                <w:szCs w:val="21"/>
                <w:lang w:val="zh-CN"/>
              </w:rPr>
              <w:t>3</w:t>
            </w:r>
            <w:r>
              <w:rPr>
                <w:rFonts w:hint="eastAsia"/>
                <w:szCs w:val="21"/>
                <w:lang w:val="en-US" w:eastAsia="zh-CN"/>
              </w:rPr>
              <w:t>.</w:t>
            </w:r>
            <w:r>
              <w:rPr>
                <w:rFonts w:hint="default"/>
                <w:szCs w:val="21"/>
                <w:lang w:val="zh-CN"/>
              </w:rPr>
              <w:t>投标人监理专业技术人</w:t>
            </w:r>
            <w:r>
              <w:rPr>
                <w:rFonts w:hint="eastAsia"/>
                <w:szCs w:val="21"/>
                <w:lang w:val="zh-CN"/>
              </w:rPr>
              <w:t>员具有系统架构设计师证书</w:t>
            </w:r>
            <w:r>
              <w:rPr>
                <w:rFonts w:hint="default"/>
                <w:szCs w:val="21"/>
                <w:lang w:val="zh-CN"/>
              </w:rPr>
              <w:t>、</w:t>
            </w:r>
            <w:r>
              <w:rPr>
                <w:rFonts w:hint="eastAsia"/>
                <w:szCs w:val="21"/>
                <w:lang w:val="zh-CN"/>
              </w:rPr>
              <w:t>软件设计师证书、</w:t>
            </w:r>
            <w:r>
              <w:rPr>
                <w:rFonts w:hint="eastAsia"/>
                <w:szCs w:val="21"/>
                <w:lang w:val="en-US" w:eastAsia="zh-CN"/>
              </w:rPr>
              <w:t>系统分析师证书、软件性能测试工程师证书</w:t>
            </w:r>
            <w:r>
              <w:rPr>
                <w:rFonts w:hint="eastAsia"/>
                <w:szCs w:val="21"/>
                <w:lang w:val="zh-CN"/>
              </w:rPr>
              <w:t>之一者，每一人得</w:t>
            </w:r>
            <w:r>
              <w:rPr>
                <w:rFonts w:hint="eastAsia"/>
                <w:szCs w:val="21"/>
                <w:lang w:val="en-US" w:eastAsia="zh-CN"/>
              </w:rPr>
              <w:t>1</w:t>
            </w:r>
            <w:r>
              <w:rPr>
                <w:rFonts w:hint="default"/>
                <w:szCs w:val="21"/>
                <w:lang w:val="zh-CN"/>
              </w:rPr>
              <w:t>分</w:t>
            </w:r>
            <w:r>
              <w:rPr>
                <w:rFonts w:hint="eastAsia"/>
                <w:szCs w:val="21"/>
                <w:lang w:val="zh-CN"/>
              </w:rPr>
              <w:t>，</w:t>
            </w:r>
            <w:r>
              <w:rPr>
                <w:rFonts w:hint="default"/>
                <w:szCs w:val="21"/>
                <w:lang w:val="zh-CN"/>
              </w:rPr>
              <w:t>此项最高得3分。</w:t>
            </w:r>
          </w:p>
          <w:p>
            <w:pPr>
              <w:keepNext w:val="0"/>
              <w:keepLines w:val="0"/>
              <w:suppressLineNumbers w:val="0"/>
              <w:tabs>
                <w:tab w:val="left" w:pos="426"/>
              </w:tabs>
              <w:autoSpaceDE w:val="0"/>
              <w:autoSpaceDN w:val="0"/>
              <w:spacing w:before="0" w:beforeLines="30" w:beforeAutospacing="0" w:after="0" w:afterLines="30" w:afterAutospacing="0" w:line="240" w:lineRule="auto"/>
              <w:ind w:left="0" w:right="0"/>
              <w:rPr>
                <w:rFonts w:hint="default" w:eastAsia="宋体"/>
                <w:szCs w:val="21"/>
                <w:lang w:val="en-US" w:eastAsia="zh-CN"/>
              </w:rPr>
            </w:pPr>
            <w:r>
              <w:rPr>
                <w:rFonts w:hint="eastAsia"/>
                <w:szCs w:val="21"/>
                <w:lang w:val="zh-CN"/>
              </w:rPr>
              <w:t>同一人员在以上1—3项中，只能参与其中一项评分，不能重复列入评分；</w:t>
            </w:r>
            <w:r>
              <w:rPr>
                <w:rFonts w:hint="eastAsia"/>
                <w:szCs w:val="21"/>
                <w:lang w:val="en-US" w:eastAsia="zh-CN"/>
              </w:rPr>
              <w:t>且同一人员在同一项下拥有多个证书时按1人计分，不重复列入计分</w:t>
            </w:r>
            <w:r>
              <w:rPr>
                <w:rFonts w:hint="eastAsia"/>
                <w:szCs w:val="21"/>
                <w:lang w:val="zh-CN"/>
              </w:rPr>
              <w:t>。</w:t>
            </w:r>
          </w:p>
          <w:p>
            <w:pPr>
              <w:pStyle w:val="2"/>
              <w:keepNext w:val="0"/>
              <w:keepLines w:val="0"/>
              <w:suppressLineNumbers w:val="0"/>
              <w:spacing w:before="0" w:beforeAutospacing="0" w:afterAutospacing="0"/>
              <w:ind w:left="0" w:right="0"/>
              <w:rPr>
                <w:rFonts w:hint="default"/>
                <w:lang w:val="zh-CN"/>
              </w:rPr>
            </w:pPr>
            <w:r>
              <w:rPr>
                <w:rFonts w:hint="eastAsia" w:ascii="宋体" w:hAnsi="宋体" w:eastAsia="宋体" w:cs="宋体"/>
                <w:b/>
                <w:bCs/>
                <w:color w:val="auto"/>
                <w:sz w:val="21"/>
                <w:szCs w:val="21"/>
                <w:highlight w:val="none"/>
              </w:rPr>
              <w:t>（二）评分依据：</w:t>
            </w:r>
          </w:p>
          <w:p>
            <w:pPr>
              <w:keepNext w:val="0"/>
              <w:keepLines w:val="0"/>
              <w:suppressLineNumbers w:val="0"/>
              <w:tabs>
                <w:tab w:val="left" w:pos="426"/>
              </w:tabs>
              <w:autoSpaceDE w:val="0"/>
              <w:autoSpaceDN w:val="0"/>
              <w:spacing w:before="0" w:beforeLines="30" w:beforeAutospacing="0" w:after="0" w:afterLines="30" w:afterAutospacing="0" w:line="240" w:lineRule="auto"/>
              <w:ind w:left="0" w:right="0"/>
              <w:rPr>
                <w:rFonts w:hint="eastAsia" w:ascii="Times New Roman" w:hAnsi="Times New Roman" w:eastAsia="宋体" w:cs="Times New Roman"/>
                <w:kern w:val="2"/>
                <w:sz w:val="21"/>
                <w:szCs w:val="21"/>
                <w:lang w:val="en-US" w:eastAsia="zh-CN" w:bidi="ar-SA"/>
              </w:rPr>
            </w:pPr>
            <w:r>
              <w:rPr>
                <w:rFonts w:hint="eastAsia"/>
                <w:szCs w:val="21"/>
                <w:lang w:val="zh-CN"/>
              </w:rPr>
              <w:t>必须提供相关证书证明文件及</w:t>
            </w:r>
            <w:r>
              <w:rPr>
                <w:rFonts w:hint="eastAsia" w:ascii="宋体" w:hAnsi="宋体"/>
                <w:szCs w:val="21"/>
              </w:rPr>
              <w:t>通过投标人缴纳的近三个月（202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月至202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月，由于社保部门原因最近一个月的社保证明无法提供的可往前顺延一个月）的社保证明</w:t>
            </w:r>
            <w:r>
              <w:rPr>
                <w:rFonts w:hint="eastAsia" w:ascii="宋体" w:hAnsi="宋体"/>
                <w:szCs w:val="21"/>
                <w:lang w:eastAsia="zh-CN"/>
              </w:rPr>
              <w:t>复印件</w:t>
            </w:r>
            <w:r>
              <w:rPr>
                <w:rFonts w:hint="eastAsia"/>
                <w:szCs w:val="21"/>
                <w:lang w:val="zh-CN"/>
              </w:rPr>
              <w:t>，并加盖公章。</w:t>
            </w:r>
            <w:r>
              <w:rPr>
                <w:rFonts w:hint="eastAsia" w:ascii="宋体" w:hAnsi="宋体" w:eastAsia="宋体" w:cs="宋体"/>
                <w:color w:val="auto"/>
                <w:sz w:val="21"/>
                <w:szCs w:val="21"/>
                <w:highlight w:val="none"/>
              </w:rPr>
              <w:t>评分中出现无证明</w:t>
            </w:r>
            <w:r>
              <w:rPr>
                <w:rFonts w:hint="eastAsia" w:ascii="宋体" w:hAnsi="宋体" w:eastAsia="宋体" w:cs="宋体"/>
                <w:color w:val="auto"/>
                <w:sz w:val="21"/>
                <w:szCs w:val="21"/>
                <w:highlight w:val="none"/>
                <w:lang w:val="en-US" w:eastAsia="zh-CN"/>
              </w:rPr>
              <w:t>资料</w:t>
            </w:r>
            <w:r>
              <w:rPr>
                <w:rFonts w:hint="eastAsia" w:ascii="宋体" w:hAnsi="宋体" w:eastAsia="宋体" w:cs="宋体"/>
                <w:color w:val="auto"/>
                <w:sz w:val="21"/>
                <w:szCs w:val="21"/>
                <w:highlight w:val="none"/>
              </w:rPr>
              <w:t>或专家无法</w:t>
            </w:r>
            <w:r>
              <w:rPr>
                <w:rFonts w:hint="eastAsia" w:ascii="宋体" w:hAnsi="宋体" w:eastAsia="宋体" w:cs="宋体"/>
                <w:color w:val="auto"/>
                <w:sz w:val="21"/>
                <w:szCs w:val="21"/>
                <w:highlight w:val="none"/>
                <w:lang w:val="en-US" w:eastAsia="zh-CN"/>
              </w:rPr>
              <w:t>凭</w:t>
            </w:r>
            <w:r>
              <w:rPr>
                <w:rFonts w:hint="eastAsia" w:ascii="宋体" w:hAnsi="宋体" w:eastAsia="宋体" w:cs="宋体"/>
                <w:color w:val="auto"/>
                <w:sz w:val="21"/>
                <w:szCs w:val="21"/>
                <w:highlight w:val="none"/>
              </w:rPr>
              <w:t>所提供数据判断是否得分的情况，一律</w:t>
            </w:r>
            <w:r>
              <w:rPr>
                <w:rFonts w:hint="eastAsia" w:ascii="宋体" w:hAnsi="宋体" w:eastAsia="宋体" w:cs="宋体"/>
                <w:color w:val="auto"/>
                <w:sz w:val="21"/>
                <w:szCs w:val="21"/>
                <w:highlight w:val="none"/>
                <w:lang w:val="en-US" w:eastAsia="zh-CN"/>
              </w:rPr>
              <w:t>作</w:t>
            </w:r>
            <w:r>
              <w:rPr>
                <w:rFonts w:hint="eastAsia" w:ascii="宋体" w:hAnsi="宋体" w:eastAsia="宋体" w:cs="宋体"/>
                <w:color w:val="auto"/>
                <w:sz w:val="21"/>
                <w:szCs w:val="21"/>
                <w:highlight w:val="none"/>
              </w:rPr>
              <w:t>不能得分处理</w:t>
            </w:r>
            <w:r>
              <w:rPr>
                <w:rFonts w:hint="eastAsia" w:ascii="宋体" w:hAnsi="宋体" w:eastAsia="宋体" w:cs="宋体"/>
                <w:color w:val="auto"/>
                <w:sz w:val="21"/>
                <w:szCs w:val="21"/>
                <w:highlight w:val="none"/>
                <w:lang w:val="en-US" w:eastAsia="zh-CN"/>
              </w:rPr>
              <w:t>。</w:t>
            </w:r>
          </w:p>
        </w:tc>
        <w:tc>
          <w:tcPr>
            <w:tcW w:w="452"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eastAsia" w:ascii="Times New Roman" w:hAnsi="Times New Roman" w:eastAsia="宋体" w:cs="Times New Roman"/>
                <w:kern w:val="2"/>
                <w:sz w:val="21"/>
                <w:szCs w:val="21"/>
                <w:lang w:val="zh-CN" w:eastAsia="zh-CN" w:bidi="ar-SA"/>
              </w:rPr>
            </w:pPr>
            <w:r>
              <w:rPr>
                <w:rFonts w:hint="eastAsia"/>
                <w:szCs w:val="21"/>
                <w:lang w:val="zh-CN"/>
              </w:rPr>
              <w:t>专家打分</w:t>
            </w:r>
          </w:p>
        </w:tc>
      </w:tr>
      <w:tr>
        <w:tblPrEx>
          <w:shd w:val="clear" w:color="auto" w:fill="FFFFFF"/>
        </w:tblPrEx>
        <w:trPr>
          <w:trHeight w:val="119" w:hRule="atLeast"/>
          <w:jc w:val="center"/>
        </w:trPr>
        <w:tc>
          <w:tcPr>
            <w:tcW w:w="4547" w:type="pct"/>
            <w:gridSpan w:val="4"/>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b/>
                <w:bCs/>
                <w:color w:val="auto"/>
                <w:szCs w:val="21"/>
                <w:highlight w:val="none"/>
                <w:lang w:val="zh-CN"/>
              </w:rPr>
            </w:pPr>
            <w:r>
              <w:rPr>
                <w:rFonts w:hint="eastAsia"/>
                <w:b/>
                <w:bCs/>
                <w:color w:val="auto"/>
                <w:szCs w:val="21"/>
                <w:highlight w:val="none"/>
                <w:lang w:val="zh-CN"/>
              </w:rPr>
              <w:t>三、技术部分</w:t>
            </w:r>
          </w:p>
        </w:tc>
        <w:tc>
          <w:tcPr>
            <w:tcW w:w="452"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eastAsia="宋体"/>
                <w:b/>
                <w:color w:val="auto"/>
                <w:szCs w:val="21"/>
                <w:highlight w:val="none"/>
                <w:lang w:val="en-US" w:eastAsia="zh-CN"/>
              </w:rPr>
            </w:pPr>
            <w:r>
              <w:rPr>
                <w:rFonts w:hint="eastAsia"/>
                <w:b/>
                <w:color w:val="auto"/>
                <w:szCs w:val="21"/>
                <w:highlight w:val="none"/>
                <w:lang w:val="en-US" w:eastAsia="zh-CN"/>
              </w:rPr>
              <w:t>30</w:t>
            </w:r>
          </w:p>
        </w:tc>
      </w:tr>
      <w:tr>
        <w:tblPrEx>
          <w:shd w:val="clear" w:color="auto" w:fill="FFFFFF"/>
        </w:tblPrEx>
        <w:trPr>
          <w:trHeight w:val="247" w:hRule="atLeast"/>
          <w:jc w:val="center"/>
        </w:trPr>
        <w:tc>
          <w:tcPr>
            <w:tcW w:w="409"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b/>
                <w:color w:val="auto"/>
                <w:szCs w:val="21"/>
                <w:highlight w:val="none"/>
              </w:rPr>
            </w:pPr>
            <w:r>
              <w:rPr>
                <w:rFonts w:hint="eastAsia"/>
                <w:b/>
                <w:color w:val="auto"/>
                <w:szCs w:val="21"/>
                <w:highlight w:val="none"/>
                <w:lang w:val="zh-CN"/>
              </w:rPr>
              <w:t>序号</w:t>
            </w:r>
          </w:p>
        </w:tc>
        <w:tc>
          <w:tcPr>
            <w:tcW w:w="898"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b/>
                <w:color w:val="auto"/>
                <w:szCs w:val="21"/>
                <w:highlight w:val="none"/>
              </w:rPr>
            </w:pPr>
            <w:r>
              <w:rPr>
                <w:rFonts w:hint="eastAsia"/>
                <w:b/>
                <w:color w:val="auto"/>
                <w:szCs w:val="21"/>
                <w:highlight w:val="none"/>
                <w:lang w:val="zh-CN"/>
              </w:rPr>
              <w:t>内容</w:t>
            </w:r>
          </w:p>
        </w:tc>
        <w:tc>
          <w:tcPr>
            <w:tcW w:w="272"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b/>
                <w:color w:val="auto"/>
                <w:szCs w:val="21"/>
                <w:highlight w:val="none"/>
              </w:rPr>
            </w:pPr>
            <w:r>
              <w:rPr>
                <w:rFonts w:hint="eastAsia"/>
                <w:b/>
                <w:color w:val="auto"/>
                <w:szCs w:val="21"/>
                <w:highlight w:val="none"/>
                <w:lang w:val="zh-CN"/>
              </w:rPr>
              <w:t>分数</w:t>
            </w:r>
          </w:p>
        </w:tc>
        <w:tc>
          <w:tcPr>
            <w:tcW w:w="2967"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b/>
                <w:color w:val="auto"/>
                <w:szCs w:val="21"/>
                <w:highlight w:val="none"/>
                <w:lang w:val="zh-CN"/>
              </w:rPr>
            </w:pPr>
            <w:r>
              <w:rPr>
                <w:rFonts w:hint="eastAsia"/>
                <w:b/>
                <w:color w:val="auto"/>
                <w:szCs w:val="21"/>
                <w:highlight w:val="none"/>
                <w:lang w:val="zh-CN"/>
              </w:rPr>
              <w:t>评分规则</w:t>
            </w:r>
          </w:p>
        </w:tc>
        <w:tc>
          <w:tcPr>
            <w:tcW w:w="452"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b/>
                <w:color w:val="auto"/>
                <w:szCs w:val="21"/>
                <w:highlight w:val="none"/>
              </w:rPr>
            </w:pPr>
            <w:r>
              <w:rPr>
                <w:rFonts w:hint="eastAsia"/>
                <w:b/>
                <w:color w:val="auto"/>
                <w:szCs w:val="21"/>
                <w:highlight w:val="none"/>
              </w:rPr>
              <w:t>评分方式</w:t>
            </w:r>
          </w:p>
        </w:tc>
      </w:tr>
      <w:tr>
        <w:tblPrEx>
          <w:shd w:val="clear" w:color="auto" w:fill="FFFFFF"/>
        </w:tblPrEx>
        <w:trPr>
          <w:trHeight w:val="808" w:hRule="atLeast"/>
          <w:jc w:val="center"/>
        </w:trPr>
        <w:tc>
          <w:tcPr>
            <w:tcW w:w="409" w:type="pct"/>
            <w:shd w:val="clear" w:color="auto" w:fill="FFFFFF"/>
            <w:vAlign w:val="center"/>
          </w:tcPr>
          <w:p>
            <w:pPr>
              <w:keepNext w:val="0"/>
              <w:keepLines w:val="0"/>
              <w:suppressLineNumbers w:val="0"/>
              <w:tabs>
                <w:tab w:val="left" w:pos="426"/>
              </w:tabs>
              <w:spacing w:before="0" w:beforeLines="30" w:beforeAutospacing="0" w:after="0" w:afterLines="30" w:afterAutospacing="0" w:line="240" w:lineRule="auto"/>
              <w:ind w:left="0" w:right="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898"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default"/>
                <w:color w:val="auto"/>
              </w:rPr>
            </w:pPr>
            <w:r>
              <w:rPr>
                <w:rFonts w:hint="eastAsia" w:ascii="宋体" w:hAnsi="宋体" w:eastAsia="宋体" w:cs="宋体"/>
                <w:color w:val="auto"/>
                <w:sz w:val="21"/>
                <w:szCs w:val="21"/>
                <w:highlight w:val="none"/>
                <w:lang w:val="en-US" w:eastAsia="zh-CN"/>
              </w:rPr>
              <w:t>实施方案（工作措施、工作方法、工作手段、工作流程）</w:t>
            </w:r>
          </w:p>
        </w:tc>
        <w:tc>
          <w:tcPr>
            <w:tcW w:w="272"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default" w:eastAsia="宋体"/>
                <w:color w:val="auto"/>
                <w:szCs w:val="21"/>
                <w:lang w:val="en-US" w:eastAsia="zh-CN"/>
              </w:rPr>
            </w:pPr>
            <w:r>
              <w:rPr>
                <w:rFonts w:hint="eastAsia"/>
                <w:color w:val="auto"/>
                <w:szCs w:val="21"/>
                <w:lang w:val="en-US" w:eastAsia="zh-CN"/>
              </w:rPr>
              <w:t>8</w:t>
            </w:r>
          </w:p>
        </w:tc>
        <w:tc>
          <w:tcPr>
            <w:tcW w:w="2967" w:type="pct"/>
            <w:shd w:val="clear" w:color="auto" w:fill="FFFFFF"/>
            <w:vAlign w:val="center"/>
          </w:tcPr>
          <w:p>
            <w:pPr>
              <w:keepNext w:val="0"/>
              <w:keepLines w:val="0"/>
              <w:suppressLineNumbers w:val="0"/>
              <w:shd w:val="clear"/>
              <w:tabs>
                <w:tab w:val="left" w:pos="426"/>
              </w:tabs>
              <w:spacing w:before="0" w:beforeAutospacing="0" w:after="0" w:afterAutospacing="0" w:line="240" w:lineRule="auto"/>
              <w:ind w:left="0" w:right="0"/>
              <w:jc w:val="left"/>
              <w:rPr>
                <w:rFonts w:hint="default"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 xml:space="preserve">（一）评审内容： </w:t>
            </w:r>
          </w:p>
          <w:p>
            <w:pPr>
              <w:keepNext w:val="0"/>
              <w:keepLines w:val="0"/>
              <w:suppressLineNumbers w:val="0"/>
              <w:shd w:val="clear"/>
              <w:tabs>
                <w:tab w:val="left" w:pos="426"/>
              </w:tabs>
              <w:spacing w:before="0" w:beforeAutospacing="0" w:after="0" w:afterAutospacing="0" w:line="240" w:lineRule="auto"/>
              <w:ind w:left="0" w:right="0"/>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根据招标文件的需求和投标文件响应情况，编制《实施方案（工作措施、工作方法、工作手段、工作流程）》。包含但不限于以下内容：</w:t>
            </w:r>
          </w:p>
          <w:p>
            <w:pPr>
              <w:keepNext w:val="0"/>
              <w:keepLines w:val="0"/>
              <w:suppressLineNumbers w:val="0"/>
              <w:shd w:val="clear"/>
              <w:tabs>
                <w:tab w:val="left" w:pos="426"/>
              </w:tabs>
              <w:spacing w:before="0" w:beforeAutospacing="0" w:after="0" w:afterAutospacing="0" w:line="240" w:lineRule="auto"/>
              <w:ind w:left="0" w:right="0"/>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1.投标人需有完备的监理体系建设：组织结构、人力资源、监理制度、监理设备等监理体系建设；</w:t>
            </w:r>
          </w:p>
          <w:p>
            <w:pPr>
              <w:keepNext w:val="0"/>
              <w:keepLines w:val="0"/>
              <w:suppressLineNumbers w:val="0"/>
              <w:shd w:val="clear"/>
              <w:tabs>
                <w:tab w:val="left" w:pos="426"/>
              </w:tabs>
              <w:spacing w:before="0" w:beforeAutospacing="0" w:after="0" w:afterAutospacing="0" w:line="240" w:lineRule="auto"/>
              <w:ind w:left="0" w:right="0"/>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2.提供完整的监理方法（进度、投资、质量、合同、信息管理、标准规范等）；</w:t>
            </w:r>
          </w:p>
          <w:p>
            <w:pPr>
              <w:keepNext w:val="0"/>
              <w:keepLines w:val="0"/>
              <w:suppressLineNumbers w:val="0"/>
              <w:shd w:val="clear"/>
              <w:tabs>
                <w:tab w:val="left" w:pos="426"/>
              </w:tabs>
              <w:spacing w:before="0" w:beforeAutospacing="0" w:after="0" w:afterAutospacing="0" w:line="240" w:lineRule="auto"/>
              <w:ind w:left="0" w:right="0"/>
              <w:jc w:val="lef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3.提供以上监理内容的流程说明；</w:t>
            </w:r>
          </w:p>
          <w:p>
            <w:pPr>
              <w:keepNext w:val="0"/>
              <w:keepLines w:val="0"/>
              <w:suppressLineNumbers w:val="0"/>
              <w:shd w:val="clear"/>
              <w:tabs>
                <w:tab w:val="left" w:pos="426"/>
              </w:tabs>
              <w:spacing w:before="0" w:beforeAutospacing="0" w:after="0" w:afterAutospacing="0" w:line="240" w:lineRule="auto"/>
              <w:ind w:left="0" w:right="0"/>
              <w:jc w:val="left"/>
              <w:rPr>
                <w:rFonts w:hint="default"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 xml:space="preserve">（二）评审标准： </w:t>
            </w:r>
          </w:p>
          <w:p>
            <w:pPr>
              <w:keepNext w:val="0"/>
              <w:keepLines w:val="0"/>
              <w:suppressLineNumbers w:val="0"/>
              <w:shd w:val="clear"/>
              <w:tabs>
                <w:tab w:val="left" w:pos="426"/>
              </w:tabs>
              <w:autoSpaceDE w:val="0"/>
              <w:autoSpaceDN w:val="0"/>
              <w:spacing w:before="72" w:beforeLines="30" w:beforeAutospacing="0" w:after="72" w:afterLines="30" w:afterAutospacing="0" w:line="240" w:lineRule="auto"/>
              <w:ind w:left="0" w:right="0"/>
              <w:jc w:val="left"/>
              <w:rPr>
                <w:rFonts w:hint="default" w:eastAsia="宋体"/>
                <w:color w:val="auto"/>
                <w:szCs w:val="21"/>
                <w:highlight w:val="none"/>
                <w:lang w:val="en-US" w:eastAsia="zh-CN"/>
              </w:rPr>
            </w:pPr>
            <w:r>
              <w:rPr>
                <w:rFonts w:hint="eastAsia" w:eastAsia="宋体"/>
                <w:color w:val="auto"/>
                <w:szCs w:val="21"/>
                <w:highlight w:val="none"/>
                <w:lang w:val="en-US" w:eastAsia="zh-CN"/>
              </w:rPr>
              <w:t>1.满足三点得</w:t>
            </w:r>
            <w:r>
              <w:rPr>
                <w:rFonts w:hint="eastAsia"/>
                <w:color w:val="auto"/>
                <w:szCs w:val="21"/>
                <w:highlight w:val="none"/>
                <w:lang w:val="en-US" w:eastAsia="zh-CN"/>
              </w:rPr>
              <w:t>3</w:t>
            </w:r>
            <w:r>
              <w:rPr>
                <w:rFonts w:hint="eastAsia" w:eastAsia="宋体"/>
                <w:color w:val="auto"/>
                <w:szCs w:val="21"/>
                <w:highlight w:val="none"/>
                <w:lang w:val="en-US" w:eastAsia="zh-CN"/>
              </w:rPr>
              <w:t>分，满足任意两点得</w:t>
            </w:r>
            <w:r>
              <w:rPr>
                <w:rFonts w:hint="eastAsia"/>
                <w:color w:val="auto"/>
                <w:szCs w:val="21"/>
                <w:highlight w:val="none"/>
                <w:lang w:val="en-US" w:eastAsia="zh-CN"/>
              </w:rPr>
              <w:t>2</w:t>
            </w:r>
            <w:r>
              <w:rPr>
                <w:rFonts w:hint="eastAsia" w:eastAsia="宋体"/>
                <w:color w:val="auto"/>
                <w:szCs w:val="21"/>
                <w:highlight w:val="none"/>
                <w:lang w:val="en-US" w:eastAsia="zh-CN"/>
              </w:rPr>
              <w:t>分，满足任意一点得</w:t>
            </w:r>
            <w:r>
              <w:rPr>
                <w:rFonts w:hint="eastAsia"/>
                <w:color w:val="auto"/>
                <w:szCs w:val="21"/>
                <w:highlight w:val="none"/>
                <w:lang w:val="en-US" w:eastAsia="zh-CN"/>
              </w:rPr>
              <w:t>1</w:t>
            </w:r>
            <w:r>
              <w:rPr>
                <w:rFonts w:hint="eastAsia" w:eastAsia="宋体"/>
                <w:color w:val="auto"/>
                <w:szCs w:val="21"/>
                <w:highlight w:val="none"/>
                <w:lang w:val="en-US" w:eastAsia="zh-CN"/>
              </w:rPr>
              <w:t xml:space="preserve">分，未满足不得分。 </w:t>
            </w:r>
          </w:p>
          <w:p>
            <w:pPr>
              <w:keepNext w:val="0"/>
              <w:keepLines w:val="0"/>
              <w:suppressLineNumbers w:val="0"/>
              <w:shd w:val="clear"/>
              <w:tabs>
                <w:tab w:val="left" w:pos="426"/>
              </w:tabs>
              <w:autoSpaceDE w:val="0"/>
              <w:autoSpaceDN w:val="0"/>
              <w:spacing w:before="72" w:beforeLines="30" w:beforeAutospacing="0" w:after="72" w:afterLines="30" w:afterAutospacing="0" w:line="240" w:lineRule="auto"/>
              <w:ind w:left="0" w:right="0"/>
              <w:jc w:val="left"/>
              <w:rPr>
                <w:rFonts w:hint="default" w:eastAsia="宋体"/>
                <w:color w:val="auto"/>
                <w:szCs w:val="21"/>
                <w:highlight w:val="none"/>
                <w:lang w:val="en-US" w:eastAsia="zh-CN"/>
              </w:rPr>
            </w:pPr>
            <w:r>
              <w:rPr>
                <w:rFonts w:hint="eastAsia" w:eastAsia="宋体"/>
                <w:color w:val="auto"/>
                <w:szCs w:val="21"/>
                <w:highlight w:val="none"/>
                <w:lang w:val="en-US" w:eastAsia="zh-CN"/>
              </w:rPr>
              <w:t xml:space="preserve">2.在此基础上，专家根据各供应商的具体响应内容按照量化的评审因素指标进一步评审； </w:t>
            </w:r>
          </w:p>
          <w:p>
            <w:pPr>
              <w:keepNext w:val="0"/>
              <w:keepLines w:val="0"/>
              <w:suppressLineNumbers w:val="0"/>
              <w:shd w:val="clear"/>
              <w:tabs>
                <w:tab w:val="left" w:pos="426"/>
              </w:tabs>
              <w:autoSpaceDE w:val="0"/>
              <w:autoSpaceDN w:val="0"/>
              <w:spacing w:before="72" w:beforeLines="30" w:beforeAutospacing="0" w:after="72" w:afterLines="30" w:afterAutospacing="0" w:line="240" w:lineRule="auto"/>
              <w:ind w:left="0" w:right="0"/>
              <w:jc w:val="left"/>
              <w:rPr>
                <w:rFonts w:hint="default" w:eastAsia="宋体"/>
                <w:color w:val="auto"/>
                <w:szCs w:val="21"/>
                <w:highlight w:val="none"/>
                <w:lang w:val="en-US" w:eastAsia="zh-CN"/>
              </w:rPr>
            </w:pPr>
            <w:r>
              <w:rPr>
                <w:rFonts w:hint="eastAsia" w:eastAsia="宋体"/>
                <w:color w:val="auto"/>
                <w:szCs w:val="21"/>
                <w:highlight w:val="none"/>
                <w:lang w:val="en-US" w:eastAsia="zh-CN"/>
              </w:rPr>
              <w:t xml:space="preserve">优：内容全面，对用户需求理解深且针对性强，数据准确详实； </w:t>
            </w:r>
          </w:p>
          <w:p>
            <w:pPr>
              <w:keepNext w:val="0"/>
              <w:keepLines w:val="0"/>
              <w:suppressLineNumbers w:val="0"/>
              <w:shd w:val="clear"/>
              <w:tabs>
                <w:tab w:val="left" w:pos="426"/>
              </w:tabs>
              <w:autoSpaceDE w:val="0"/>
              <w:autoSpaceDN w:val="0"/>
              <w:spacing w:before="72" w:beforeLines="30" w:beforeAutospacing="0" w:after="72" w:afterLines="30" w:afterAutospacing="0" w:line="240" w:lineRule="auto"/>
              <w:ind w:left="0" w:right="0"/>
              <w:jc w:val="left"/>
              <w:rPr>
                <w:rFonts w:hint="default" w:eastAsia="宋体"/>
                <w:color w:val="auto"/>
                <w:szCs w:val="21"/>
                <w:highlight w:val="none"/>
                <w:lang w:val="en-US" w:eastAsia="zh-CN"/>
              </w:rPr>
            </w:pPr>
            <w:r>
              <w:rPr>
                <w:rFonts w:hint="eastAsia" w:eastAsia="宋体"/>
                <w:color w:val="auto"/>
                <w:szCs w:val="21"/>
                <w:highlight w:val="none"/>
                <w:lang w:val="en-US" w:eastAsia="zh-CN"/>
              </w:rPr>
              <w:t xml:space="preserve">良：内容较全面，针对性和可操作性较强； </w:t>
            </w:r>
          </w:p>
          <w:p>
            <w:pPr>
              <w:keepNext w:val="0"/>
              <w:keepLines w:val="0"/>
              <w:suppressLineNumbers w:val="0"/>
              <w:shd w:val="clear"/>
              <w:tabs>
                <w:tab w:val="left" w:pos="426"/>
              </w:tabs>
              <w:autoSpaceDE w:val="0"/>
              <w:autoSpaceDN w:val="0"/>
              <w:spacing w:before="72" w:beforeLines="30" w:beforeAutospacing="0" w:after="72" w:afterLines="30" w:afterAutospacing="0" w:line="240" w:lineRule="auto"/>
              <w:ind w:left="0" w:right="0"/>
              <w:jc w:val="left"/>
              <w:rPr>
                <w:rFonts w:hint="default" w:eastAsia="宋体"/>
                <w:color w:val="auto"/>
                <w:szCs w:val="21"/>
                <w:highlight w:val="none"/>
                <w:lang w:val="en-US" w:eastAsia="zh-CN"/>
              </w:rPr>
            </w:pPr>
            <w:r>
              <w:rPr>
                <w:rFonts w:hint="eastAsia" w:eastAsia="宋体"/>
                <w:color w:val="auto"/>
                <w:szCs w:val="21"/>
                <w:highlight w:val="none"/>
                <w:lang w:val="en-US" w:eastAsia="zh-CN"/>
              </w:rPr>
              <w:t>中：有基本内容，有一定的可操作性；</w:t>
            </w:r>
          </w:p>
          <w:p>
            <w:pPr>
              <w:keepNext w:val="0"/>
              <w:keepLines w:val="0"/>
              <w:suppressLineNumbers w:val="0"/>
              <w:shd w:val="clear"/>
              <w:tabs>
                <w:tab w:val="left" w:pos="426"/>
              </w:tabs>
              <w:autoSpaceDE w:val="0"/>
              <w:autoSpaceDN w:val="0"/>
              <w:spacing w:before="72" w:beforeLines="30" w:beforeAutospacing="0" w:after="72" w:afterLines="30" w:afterAutospacing="0" w:line="240" w:lineRule="auto"/>
              <w:ind w:left="0" w:right="0"/>
              <w:jc w:val="left"/>
              <w:rPr>
                <w:rFonts w:hint="default" w:eastAsia="宋体"/>
                <w:color w:val="auto"/>
                <w:szCs w:val="21"/>
                <w:highlight w:val="none"/>
                <w:lang w:val="en-US" w:eastAsia="zh-CN"/>
              </w:rPr>
            </w:pPr>
            <w:r>
              <w:rPr>
                <w:rFonts w:hint="eastAsia" w:eastAsia="宋体"/>
                <w:color w:val="auto"/>
                <w:szCs w:val="21"/>
                <w:highlight w:val="none"/>
                <w:lang w:val="en-US" w:eastAsia="zh-CN"/>
              </w:rPr>
              <w:t>差：内容缺失，缺乏可操作性。</w:t>
            </w:r>
          </w:p>
          <w:p>
            <w:pPr>
              <w:keepNext w:val="0"/>
              <w:keepLines w:val="0"/>
              <w:suppressLineNumbers w:val="0"/>
              <w:shd w:val="clear"/>
              <w:tabs>
                <w:tab w:val="left" w:pos="426"/>
              </w:tabs>
              <w:autoSpaceDE w:val="0"/>
              <w:autoSpaceDN w:val="0"/>
              <w:spacing w:before="72" w:beforeLines="30" w:beforeAutospacing="0" w:after="72" w:afterLines="30" w:afterAutospacing="0" w:line="240" w:lineRule="auto"/>
              <w:ind w:left="0" w:right="0"/>
              <w:jc w:val="left"/>
              <w:rPr>
                <w:rFonts w:hint="default" w:eastAsia="宋体"/>
                <w:color w:val="auto"/>
                <w:szCs w:val="21"/>
                <w:highlight w:val="none"/>
                <w:lang w:val="en-US" w:eastAsia="zh-CN"/>
              </w:rPr>
            </w:pPr>
            <w:r>
              <w:rPr>
                <w:rFonts w:hint="eastAsia" w:eastAsia="宋体"/>
                <w:color w:val="auto"/>
                <w:szCs w:val="21"/>
                <w:highlight w:val="none"/>
                <w:lang w:val="en-US" w:eastAsia="zh-CN"/>
              </w:rPr>
              <w:t>评审为优的加</w:t>
            </w:r>
            <w:r>
              <w:rPr>
                <w:rFonts w:hint="eastAsia"/>
                <w:color w:val="auto"/>
                <w:szCs w:val="21"/>
                <w:highlight w:val="none"/>
                <w:lang w:val="en-US" w:eastAsia="zh-CN"/>
              </w:rPr>
              <w:t>5</w:t>
            </w:r>
            <w:r>
              <w:rPr>
                <w:rFonts w:hint="eastAsia" w:eastAsia="宋体"/>
                <w:color w:val="auto"/>
                <w:szCs w:val="21"/>
                <w:highlight w:val="none"/>
                <w:lang w:val="en-US" w:eastAsia="zh-CN"/>
              </w:rPr>
              <w:t>分；</w:t>
            </w:r>
          </w:p>
          <w:p>
            <w:pPr>
              <w:keepNext w:val="0"/>
              <w:keepLines w:val="0"/>
              <w:suppressLineNumbers w:val="0"/>
              <w:shd w:val="clear"/>
              <w:tabs>
                <w:tab w:val="left" w:pos="426"/>
              </w:tabs>
              <w:autoSpaceDE w:val="0"/>
              <w:autoSpaceDN w:val="0"/>
              <w:spacing w:before="72" w:beforeLines="30" w:beforeAutospacing="0" w:after="72" w:afterLines="30" w:afterAutospacing="0" w:line="240" w:lineRule="auto"/>
              <w:ind w:left="0" w:right="0"/>
              <w:jc w:val="left"/>
              <w:rPr>
                <w:rFonts w:hint="default" w:eastAsia="宋体"/>
                <w:color w:val="auto"/>
                <w:szCs w:val="21"/>
                <w:highlight w:val="none"/>
                <w:lang w:val="en-US" w:eastAsia="zh-CN"/>
              </w:rPr>
            </w:pPr>
            <w:r>
              <w:rPr>
                <w:rFonts w:hint="eastAsia" w:eastAsia="宋体"/>
                <w:color w:val="auto"/>
                <w:szCs w:val="21"/>
                <w:highlight w:val="none"/>
                <w:lang w:val="en-US" w:eastAsia="zh-CN"/>
              </w:rPr>
              <w:t>评审为良的加</w:t>
            </w:r>
            <w:r>
              <w:rPr>
                <w:rFonts w:hint="eastAsia"/>
                <w:color w:val="auto"/>
                <w:szCs w:val="21"/>
                <w:highlight w:val="none"/>
                <w:lang w:val="en-US" w:eastAsia="zh-CN"/>
              </w:rPr>
              <w:t>3</w:t>
            </w:r>
            <w:r>
              <w:rPr>
                <w:rFonts w:hint="eastAsia" w:eastAsia="宋体"/>
                <w:color w:val="auto"/>
                <w:szCs w:val="21"/>
                <w:highlight w:val="none"/>
                <w:lang w:val="en-US" w:eastAsia="zh-CN"/>
              </w:rPr>
              <w:t>分；</w:t>
            </w:r>
          </w:p>
          <w:p>
            <w:pPr>
              <w:keepNext w:val="0"/>
              <w:keepLines w:val="0"/>
              <w:suppressLineNumbers w:val="0"/>
              <w:shd w:val="clear"/>
              <w:tabs>
                <w:tab w:val="left" w:pos="426"/>
              </w:tabs>
              <w:autoSpaceDE w:val="0"/>
              <w:autoSpaceDN w:val="0"/>
              <w:spacing w:before="72" w:beforeLines="30" w:beforeAutospacing="0" w:after="72" w:afterLines="30" w:afterAutospacing="0" w:line="240" w:lineRule="auto"/>
              <w:ind w:left="0" w:right="0"/>
              <w:jc w:val="left"/>
              <w:rPr>
                <w:rFonts w:hint="default" w:eastAsia="宋体"/>
                <w:color w:val="auto"/>
                <w:szCs w:val="21"/>
                <w:highlight w:val="none"/>
                <w:lang w:val="en-US" w:eastAsia="zh-CN"/>
              </w:rPr>
            </w:pPr>
            <w:r>
              <w:rPr>
                <w:rFonts w:hint="eastAsia" w:eastAsia="宋体"/>
                <w:color w:val="auto"/>
                <w:szCs w:val="21"/>
                <w:highlight w:val="none"/>
                <w:lang w:val="en-US" w:eastAsia="zh-CN"/>
              </w:rPr>
              <w:t>评审为中的加</w:t>
            </w:r>
            <w:r>
              <w:rPr>
                <w:rFonts w:hint="eastAsia"/>
                <w:color w:val="auto"/>
                <w:szCs w:val="21"/>
                <w:highlight w:val="none"/>
                <w:lang w:val="en-US" w:eastAsia="zh-CN"/>
              </w:rPr>
              <w:t>1</w:t>
            </w:r>
            <w:r>
              <w:rPr>
                <w:rFonts w:hint="eastAsia" w:eastAsia="宋体"/>
                <w:color w:val="auto"/>
                <w:szCs w:val="21"/>
                <w:highlight w:val="none"/>
                <w:lang w:val="en-US" w:eastAsia="zh-CN"/>
              </w:rPr>
              <w:t>分；</w:t>
            </w:r>
          </w:p>
          <w:p>
            <w:pPr>
              <w:keepNext w:val="0"/>
              <w:keepLines w:val="0"/>
              <w:suppressLineNumbers w:val="0"/>
              <w:shd w:val="clear"/>
              <w:tabs>
                <w:tab w:val="left" w:pos="426"/>
              </w:tabs>
              <w:autoSpaceDE w:val="0"/>
              <w:autoSpaceDN w:val="0"/>
              <w:spacing w:before="72" w:beforeLines="30" w:beforeAutospacing="0" w:after="72" w:afterLines="30" w:afterAutospacing="0" w:line="240" w:lineRule="auto"/>
              <w:ind w:left="0" w:right="0"/>
              <w:jc w:val="left"/>
              <w:rPr>
                <w:rFonts w:hint="default" w:eastAsia="宋体"/>
                <w:color w:val="auto"/>
                <w:szCs w:val="21"/>
                <w:highlight w:val="none"/>
                <w:lang w:val="en-US" w:eastAsia="zh-CN"/>
              </w:rPr>
            </w:pPr>
            <w:r>
              <w:rPr>
                <w:rFonts w:hint="eastAsia" w:eastAsia="宋体"/>
                <w:color w:val="auto"/>
                <w:szCs w:val="21"/>
                <w:highlight w:val="none"/>
                <w:lang w:val="en-US" w:eastAsia="zh-CN"/>
              </w:rPr>
              <w:t>评审为差的</w:t>
            </w:r>
            <w:r>
              <w:rPr>
                <w:rFonts w:hint="eastAsia"/>
                <w:color w:val="auto"/>
                <w:szCs w:val="21"/>
                <w:highlight w:val="none"/>
                <w:lang w:val="en-US" w:eastAsia="zh-CN"/>
              </w:rPr>
              <w:t>不加分</w:t>
            </w:r>
            <w:r>
              <w:rPr>
                <w:rFonts w:hint="eastAsia" w:eastAsia="宋体"/>
                <w:color w:val="auto"/>
                <w:szCs w:val="21"/>
                <w:highlight w:val="none"/>
                <w:lang w:val="en-US" w:eastAsia="zh-CN"/>
              </w:rPr>
              <w:t>；</w:t>
            </w:r>
          </w:p>
          <w:p>
            <w:pPr>
              <w:keepNext w:val="0"/>
              <w:keepLines w:val="0"/>
              <w:suppressLineNumbers w:val="0"/>
              <w:tabs>
                <w:tab w:val="left" w:pos="426"/>
              </w:tabs>
              <w:autoSpaceDE w:val="0"/>
              <w:autoSpaceDN w:val="0"/>
              <w:spacing w:before="0" w:beforeLines="30" w:beforeAutospacing="0" w:after="0" w:afterLines="30" w:afterAutospacing="0" w:line="240" w:lineRule="auto"/>
              <w:ind w:left="0" w:right="0"/>
              <w:rPr>
                <w:rFonts w:hint="default"/>
                <w:color w:val="auto"/>
                <w:szCs w:val="21"/>
                <w:lang w:val="zh-CN"/>
              </w:rPr>
            </w:pPr>
            <w:r>
              <w:rPr>
                <w:rFonts w:hint="eastAsia" w:eastAsia="宋体"/>
                <w:color w:val="auto"/>
                <w:szCs w:val="21"/>
                <w:highlight w:val="none"/>
                <w:lang w:val="en-US" w:eastAsia="zh-CN"/>
              </w:rPr>
              <w:t>如果评审为差，要求专家书面说明理由，并记录在档。</w:t>
            </w:r>
          </w:p>
        </w:tc>
        <w:tc>
          <w:tcPr>
            <w:tcW w:w="452"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eastAsia"/>
                <w:szCs w:val="21"/>
                <w:lang w:val="zh-CN"/>
              </w:rPr>
            </w:pPr>
            <w:r>
              <w:rPr>
                <w:rFonts w:hint="eastAsia"/>
                <w:szCs w:val="21"/>
                <w:lang w:val="zh-CN"/>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808" w:hRule="atLeast"/>
          <w:jc w:val="center"/>
        </w:trPr>
        <w:tc>
          <w:tcPr>
            <w:tcW w:w="409" w:type="pct"/>
            <w:shd w:val="clear" w:color="auto" w:fill="FFFFFF"/>
            <w:vAlign w:val="center"/>
          </w:tcPr>
          <w:p>
            <w:pPr>
              <w:keepNext w:val="0"/>
              <w:keepLines w:val="0"/>
              <w:suppressLineNumbers w:val="0"/>
              <w:tabs>
                <w:tab w:val="left" w:pos="426"/>
              </w:tabs>
              <w:spacing w:before="0" w:beforeLines="30" w:beforeAutospacing="0" w:after="0" w:afterLines="30" w:afterAutospacing="0" w:line="240" w:lineRule="auto"/>
              <w:ind w:left="0" w:right="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898"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项目重点难点分析、应对措施及相关的合理化建议</w:t>
            </w:r>
          </w:p>
        </w:tc>
        <w:tc>
          <w:tcPr>
            <w:tcW w:w="272"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default" w:eastAsia="宋体"/>
                <w:color w:val="auto"/>
                <w:szCs w:val="21"/>
                <w:lang w:val="en-US" w:eastAsia="zh-CN"/>
              </w:rPr>
            </w:pPr>
            <w:r>
              <w:rPr>
                <w:rFonts w:hint="eastAsia"/>
                <w:color w:val="auto"/>
                <w:szCs w:val="21"/>
                <w:lang w:val="en-US" w:eastAsia="zh-CN"/>
              </w:rPr>
              <w:t>8</w:t>
            </w:r>
          </w:p>
        </w:tc>
        <w:tc>
          <w:tcPr>
            <w:tcW w:w="2967" w:type="pct"/>
            <w:shd w:val="clear" w:color="auto" w:fill="FFFFFF"/>
            <w:vAlign w:val="center"/>
          </w:tcPr>
          <w:p>
            <w:pPr>
              <w:keepNext w:val="0"/>
              <w:keepLines w:val="0"/>
              <w:suppressLineNumbers w:val="0"/>
              <w:shd w:val="clear"/>
              <w:tabs>
                <w:tab w:val="left" w:pos="426"/>
              </w:tabs>
              <w:spacing w:before="0" w:beforeAutospacing="0" w:after="0" w:afterAutospacing="0" w:line="240" w:lineRule="auto"/>
              <w:ind w:left="0" w:right="0"/>
              <w:jc w:val="left"/>
              <w:rPr>
                <w:rFonts w:hint="default"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 xml:space="preserve">（一）评审内容： </w:t>
            </w:r>
          </w:p>
          <w:p>
            <w:pPr>
              <w:keepNext w:val="0"/>
              <w:keepLines w:val="0"/>
              <w:suppressLineNumbers w:val="0"/>
              <w:shd w:val="clear"/>
              <w:tabs>
                <w:tab w:val="left" w:pos="426"/>
              </w:tabs>
              <w:spacing w:before="0" w:beforeAutospacing="0" w:after="0" w:afterAutospacing="0" w:line="240" w:lineRule="auto"/>
              <w:ind w:left="0" w:right="0" w:firstLine="0" w:firstLineChars="0"/>
              <w:jc w:val="left"/>
              <w:rPr>
                <w:rFonts w:hint="default"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根据招标文件的需求和投标文件响应情况，编制《项目重点难点分析、应对措施及相关的合理化建议》。包含但不限于以下内容：</w:t>
            </w:r>
          </w:p>
          <w:p>
            <w:pPr>
              <w:keepNext w:val="0"/>
              <w:keepLines w:val="0"/>
              <w:suppressLineNumbers w:val="0"/>
              <w:shd w:val="clear"/>
              <w:tabs>
                <w:tab w:val="left" w:pos="426"/>
              </w:tabs>
              <w:spacing w:before="0" w:beforeAutospacing="0" w:after="0" w:afterAutospacing="0" w:line="240" w:lineRule="auto"/>
              <w:ind w:left="0" w:right="0"/>
              <w:jc w:val="left"/>
              <w:rPr>
                <w:rFonts w:hint="default"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1.项目难点、重点分析；</w:t>
            </w:r>
          </w:p>
          <w:p>
            <w:pPr>
              <w:keepNext w:val="0"/>
              <w:keepLines w:val="0"/>
              <w:suppressLineNumbers w:val="0"/>
              <w:shd w:val="clear"/>
              <w:tabs>
                <w:tab w:val="left" w:pos="426"/>
              </w:tabs>
              <w:spacing w:before="0" w:beforeAutospacing="0" w:after="0" w:afterAutospacing="0" w:line="240" w:lineRule="auto"/>
              <w:ind w:left="0" w:right="0"/>
              <w:jc w:val="left"/>
              <w:rPr>
                <w:rFonts w:hint="default"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2.应对措施；</w:t>
            </w:r>
          </w:p>
          <w:p>
            <w:pPr>
              <w:keepNext w:val="0"/>
              <w:keepLines w:val="0"/>
              <w:suppressLineNumbers w:val="0"/>
              <w:shd w:val="clear"/>
              <w:tabs>
                <w:tab w:val="left" w:pos="426"/>
              </w:tabs>
              <w:spacing w:before="0" w:beforeAutospacing="0" w:after="0" w:afterAutospacing="0" w:line="240" w:lineRule="auto"/>
              <w:ind w:left="0" w:right="0"/>
              <w:jc w:val="left"/>
              <w:rPr>
                <w:rFonts w:hint="default"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3.相关合理化建议；</w:t>
            </w:r>
          </w:p>
          <w:p>
            <w:pPr>
              <w:keepNext w:val="0"/>
              <w:keepLines w:val="0"/>
              <w:suppressLineNumbers w:val="0"/>
              <w:shd w:val="clear"/>
              <w:tabs>
                <w:tab w:val="left" w:pos="426"/>
              </w:tabs>
              <w:spacing w:before="0" w:beforeAutospacing="0" w:after="0" w:afterAutospacing="0" w:line="240" w:lineRule="auto"/>
              <w:ind w:left="0" w:right="0"/>
              <w:jc w:val="left"/>
              <w:rPr>
                <w:rFonts w:hint="default"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 xml:space="preserve">（二）评审标准： </w:t>
            </w:r>
          </w:p>
          <w:p>
            <w:pPr>
              <w:keepNext w:val="0"/>
              <w:keepLines w:val="0"/>
              <w:suppressLineNumbers w:val="0"/>
              <w:shd w:val="clear"/>
              <w:tabs>
                <w:tab w:val="left" w:pos="426"/>
              </w:tabs>
              <w:autoSpaceDE w:val="0"/>
              <w:autoSpaceDN w:val="0"/>
              <w:spacing w:before="72" w:beforeLines="30" w:beforeAutospacing="0" w:after="72" w:afterLines="30" w:afterAutospacing="0" w:line="240" w:lineRule="auto"/>
              <w:ind w:left="0" w:right="0"/>
              <w:jc w:val="left"/>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1.满足任意三点得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分，满足任意两点得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分，满足任意一点得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 xml:space="preserve">分，未满足不得分。 </w:t>
            </w:r>
          </w:p>
          <w:p>
            <w:pPr>
              <w:keepNext w:val="0"/>
              <w:keepLines w:val="0"/>
              <w:suppressLineNumbers w:val="0"/>
              <w:shd w:val="clear"/>
              <w:tabs>
                <w:tab w:val="left" w:pos="426"/>
              </w:tabs>
              <w:autoSpaceDE w:val="0"/>
              <w:autoSpaceDN w:val="0"/>
              <w:spacing w:before="72" w:beforeLines="30" w:beforeAutospacing="0" w:after="72" w:afterLines="30" w:afterAutospacing="0" w:line="240" w:lineRule="auto"/>
              <w:ind w:left="0" w:right="0"/>
              <w:jc w:val="left"/>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2.在此基础上，专家根据各供应商的具体响应内容按照量化的评审因素指标进一步评审； </w:t>
            </w:r>
          </w:p>
          <w:p>
            <w:pPr>
              <w:keepNext w:val="0"/>
              <w:keepLines w:val="0"/>
              <w:suppressLineNumbers w:val="0"/>
              <w:shd w:val="clear"/>
              <w:tabs>
                <w:tab w:val="left" w:pos="426"/>
              </w:tabs>
              <w:autoSpaceDE w:val="0"/>
              <w:autoSpaceDN w:val="0"/>
              <w:spacing w:before="72" w:beforeLines="30" w:beforeAutospacing="0" w:after="72" w:afterLines="30" w:afterAutospacing="0" w:line="240" w:lineRule="auto"/>
              <w:ind w:left="0" w:right="0"/>
              <w:jc w:val="left"/>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优：对本项目的重点难点分析准确，且应对措施及相关的合理化建议可行性高，对项目后续具体实施指导性强； </w:t>
            </w:r>
          </w:p>
          <w:p>
            <w:pPr>
              <w:keepNext w:val="0"/>
              <w:keepLines w:val="0"/>
              <w:suppressLineNumbers w:val="0"/>
              <w:shd w:val="clear"/>
              <w:tabs>
                <w:tab w:val="left" w:pos="426"/>
              </w:tabs>
              <w:autoSpaceDE w:val="0"/>
              <w:autoSpaceDN w:val="0"/>
              <w:spacing w:before="72" w:beforeLines="30" w:beforeAutospacing="0" w:after="72" w:afterLines="30" w:afterAutospacing="0" w:line="240" w:lineRule="auto"/>
              <w:ind w:left="0" w:right="0"/>
              <w:jc w:val="left"/>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良：对本项目的重点难点分析较准确，且应对措施及相关的合理化建议可行性较高，对项目后续具体实施指导性较强； </w:t>
            </w:r>
          </w:p>
          <w:p>
            <w:pPr>
              <w:keepNext w:val="0"/>
              <w:keepLines w:val="0"/>
              <w:suppressLineNumbers w:val="0"/>
              <w:shd w:val="clear"/>
              <w:tabs>
                <w:tab w:val="left" w:pos="426"/>
              </w:tabs>
              <w:autoSpaceDE w:val="0"/>
              <w:autoSpaceDN w:val="0"/>
              <w:spacing w:before="72" w:beforeLines="30" w:beforeAutospacing="0" w:after="72" w:afterLines="30" w:afterAutospacing="0" w:line="240" w:lineRule="auto"/>
              <w:ind w:left="0" w:right="0"/>
              <w:jc w:val="left"/>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中：对本项目的重点难点分析不准确，且应对措施及相关的合理化建议可行性、对项目后续具体实施指导性一般；</w:t>
            </w:r>
          </w:p>
          <w:p>
            <w:pPr>
              <w:keepNext w:val="0"/>
              <w:keepLines w:val="0"/>
              <w:suppressLineNumbers w:val="0"/>
              <w:shd w:val="clear"/>
              <w:tabs>
                <w:tab w:val="left" w:pos="426"/>
              </w:tabs>
              <w:autoSpaceDE w:val="0"/>
              <w:autoSpaceDN w:val="0"/>
              <w:spacing w:before="72" w:beforeLines="30" w:beforeAutospacing="0" w:after="72" w:afterLines="30" w:afterAutospacing="0" w:line="240" w:lineRule="auto"/>
              <w:ind w:left="0" w:right="0"/>
              <w:jc w:val="left"/>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差：对本项目的重点难点分析不准确，且应对措施及相关的合理化建议可行性、对项目后续具体实施指导性低。</w:t>
            </w:r>
          </w:p>
          <w:p>
            <w:pPr>
              <w:keepNext w:val="0"/>
              <w:keepLines w:val="0"/>
              <w:suppressLineNumbers w:val="0"/>
              <w:shd w:val="clear"/>
              <w:tabs>
                <w:tab w:val="left" w:pos="426"/>
              </w:tabs>
              <w:autoSpaceDE w:val="0"/>
              <w:autoSpaceDN w:val="0"/>
              <w:spacing w:before="72" w:beforeLines="30" w:beforeAutospacing="0" w:after="72" w:afterLines="30" w:afterAutospacing="0" w:line="240" w:lineRule="auto"/>
              <w:ind w:left="0" w:right="0"/>
              <w:jc w:val="left"/>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评审为优的加</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keepNext w:val="0"/>
              <w:keepLines w:val="0"/>
              <w:suppressLineNumbers w:val="0"/>
              <w:shd w:val="clear"/>
              <w:tabs>
                <w:tab w:val="left" w:pos="426"/>
              </w:tabs>
              <w:autoSpaceDE w:val="0"/>
              <w:autoSpaceDN w:val="0"/>
              <w:spacing w:before="72" w:beforeLines="30" w:beforeAutospacing="0" w:after="72" w:afterLines="30" w:afterAutospacing="0" w:line="240" w:lineRule="auto"/>
              <w:ind w:left="0" w:right="0"/>
              <w:jc w:val="left"/>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评审为良的加</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suppressLineNumbers w:val="0"/>
              <w:shd w:val="clear"/>
              <w:tabs>
                <w:tab w:val="left" w:pos="426"/>
              </w:tabs>
              <w:autoSpaceDE w:val="0"/>
              <w:autoSpaceDN w:val="0"/>
              <w:spacing w:before="72" w:beforeLines="30" w:beforeAutospacing="0" w:after="72" w:afterLines="30" w:afterAutospacing="0" w:line="240" w:lineRule="auto"/>
              <w:ind w:left="0" w:right="0"/>
              <w:jc w:val="left"/>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评审为中的加</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keepNext w:val="0"/>
              <w:keepLines w:val="0"/>
              <w:suppressLineNumbers w:val="0"/>
              <w:shd w:val="clear"/>
              <w:tabs>
                <w:tab w:val="left" w:pos="426"/>
              </w:tabs>
              <w:autoSpaceDE w:val="0"/>
              <w:autoSpaceDN w:val="0"/>
              <w:spacing w:before="72" w:beforeLines="30" w:beforeAutospacing="0" w:after="72" w:afterLines="30" w:afterAutospacing="0" w:line="240" w:lineRule="auto"/>
              <w:ind w:left="0" w:right="0"/>
              <w:jc w:val="left"/>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评审为差的</w:t>
            </w:r>
            <w:r>
              <w:rPr>
                <w:rFonts w:hint="eastAsia" w:ascii="宋体" w:hAnsi="宋体" w:cs="宋体"/>
                <w:bCs/>
                <w:color w:val="auto"/>
                <w:sz w:val="21"/>
                <w:szCs w:val="21"/>
                <w:highlight w:val="none"/>
                <w:lang w:val="en-US" w:eastAsia="zh-CN"/>
              </w:rPr>
              <w:t>不加分</w:t>
            </w:r>
            <w:r>
              <w:rPr>
                <w:rFonts w:hint="eastAsia" w:ascii="宋体" w:hAnsi="宋体" w:eastAsia="宋体" w:cs="宋体"/>
                <w:bCs/>
                <w:color w:val="auto"/>
                <w:sz w:val="21"/>
                <w:szCs w:val="21"/>
                <w:highlight w:val="none"/>
              </w:rPr>
              <w:t>；</w:t>
            </w:r>
          </w:p>
          <w:p>
            <w:pPr>
              <w:keepNext w:val="0"/>
              <w:keepLines w:val="0"/>
              <w:suppressLineNumbers w:val="0"/>
              <w:tabs>
                <w:tab w:val="left" w:pos="426"/>
              </w:tabs>
              <w:autoSpaceDE w:val="0"/>
              <w:autoSpaceDN w:val="0"/>
              <w:spacing w:before="0" w:beforeLines="30" w:beforeAutospacing="0" w:after="0" w:afterLines="30" w:afterAutospacing="0" w:line="240" w:lineRule="auto"/>
              <w:ind w:left="0" w:right="0"/>
              <w:rPr>
                <w:rFonts w:hint="default" w:eastAsia="宋体"/>
                <w:color w:val="auto"/>
                <w:szCs w:val="21"/>
                <w:highlight w:val="none"/>
                <w:lang w:val="en-US" w:eastAsia="zh-CN"/>
              </w:rPr>
            </w:pPr>
            <w:r>
              <w:rPr>
                <w:rFonts w:hint="eastAsia" w:ascii="宋体" w:hAnsi="宋体" w:eastAsia="宋体" w:cs="宋体"/>
                <w:bCs/>
                <w:color w:val="auto"/>
                <w:sz w:val="21"/>
                <w:szCs w:val="21"/>
                <w:highlight w:val="none"/>
              </w:rPr>
              <w:t>如果评审为差，要求专家书面说明理由，并记录在档。</w:t>
            </w:r>
          </w:p>
        </w:tc>
        <w:tc>
          <w:tcPr>
            <w:tcW w:w="452"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eastAsia"/>
                <w:szCs w:val="21"/>
                <w:lang w:val="zh-CN"/>
              </w:rPr>
            </w:pPr>
          </w:p>
        </w:tc>
      </w:tr>
      <w:tr>
        <w:tblPrEx>
          <w:shd w:val="clear" w:color="auto" w:fill="FFFFFF"/>
        </w:tblPrEx>
        <w:trPr>
          <w:trHeight w:val="522" w:hRule="atLeast"/>
          <w:jc w:val="center"/>
        </w:trPr>
        <w:tc>
          <w:tcPr>
            <w:tcW w:w="409" w:type="pct"/>
            <w:shd w:val="clear" w:color="auto" w:fill="FFFFFF"/>
            <w:vAlign w:val="center"/>
          </w:tcPr>
          <w:p>
            <w:pPr>
              <w:keepNext w:val="0"/>
              <w:keepLines w:val="0"/>
              <w:suppressLineNumbers w:val="0"/>
              <w:tabs>
                <w:tab w:val="left" w:pos="426"/>
              </w:tabs>
              <w:spacing w:before="0" w:beforeLines="30" w:beforeAutospacing="0" w:after="0" w:afterLines="30" w:afterAutospacing="0" w:line="240" w:lineRule="auto"/>
              <w:ind w:left="0" w:right="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c>
          <w:tcPr>
            <w:tcW w:w="898"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eastAsia"/>
                <w:color w:val="000000" w:themeColor="text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质量（完成时间、安全、环保）保障措施及方案</w:t>
            </w:r>
          </w:p>
        </w:tc>
        <w:tc>
          <w:tcPr>
            <w:tcW w:w="272"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w:t>
            </w:r>
          </w:p>
        </w:tc>
        <w:tc>
          <w:tcPr>
            <w:tcW w:w="2967" w:type="pct"/>
            <w:shd w:val="clear" w:color="auto" w:fill="FFFFFF"/>
            <w:vAlign w:val="center"/>
          </w:tcPr>
          <w:p>
            <w:pPr>
              <w:keepNext w:val="0"/>
              <w:keepLines w:val="0"/>
              <w:suppressLineNumbers w:val="0"/>
              <w:shd w:val="clear"/>
              <w:tabs>
                <w:tab w:val="left" w:pos="426"/>
              </w:tabs>
              <w:spacing w:before="0" w:beforeAutospacing="0" w:after="0" w:afterAutospacing="0" w:line="240" w:lineRule="auto"/>
              <w:ind w:left="0" w:right="0"/>
              <w:jc w:val="left"/>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 xml:space="preserve">（一）评审内容： </w:t>
            </w:r>
          </w:p>
          <w:p>
            <w:pPr>
              <w:keepNext w:val="0"/>
              <w:keepLines w:val="0"/>
              <w:suppressLineNumbers w:val="0"/>
              <w:shd w:val="clear"/>
              <w:tabs>
                <w:tab w:val="left" w:pos="426"/>
              </w:tabs>
              <w:spacing w:before="0" w:beforeAutospacing="0" w:after="0" w:afterAutospacing="0" w:line="240" w:lineRule="auto"/>
              <w:ind w:left="0" w:right="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根据招标文件的需求和投标文件响应情况，编制《质量（完成时间、安全、环保）保障措施及方案》。包含但不限于以下内容：</w:t>
            </w:r>
          </w:p>
          <w:p>
            <w:pPr>
              <w:keepNext w:val="0"/>
              <w:keepLines w:val="0"/>
              <w:suppressLineNumbers w:val="0"/>
              <w:shd w:val="clear"/>
              <w:tabs>
                <w:tab w:val="left" w:pos="426"/>
              </w:tabs>
              <w:spacing w:before="0" w:beforeAutospacing="0" w:after="0" w:afterAutospacing="0" w:line="240" w:lineRule="auto"/>
              <w:ind w:left="0" w:right="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1.提供的监理措施的科学完整性；</w:t>
            </w:r>
          </w:p>
          <w:p>
            <w:pPr>
              <w:keepNext w:val="0"/>
              <w:keepLines w:val="0"/>
              <w:suppressLineNumbers w:val="0"/>
              <w:shd w:val="clear"/>
              <w:tabs>
                <w:tab w:val="left" w:pos="426"/>
              </w:tabs>
              <w:spacing w:before="0" w:beforeAutospacing="0" w:after="0" w:afterAutospacing="0" w:line="240" w:lineRule="auto"/>
              <w:ind w:left="0" w:right="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2.对时间、安全、环保的保障措施；</w:t>
            </w:r>
          </w:p>
          <w:p>
            <w:pPr>
              <w:keepNext w:val="0"/>
              <w:keepLines w:val="0"/>
              <w:suppressLineNumbers w:val="0"/>
              <w:shd w:val="clear"/>
              <w:tabs>
                <w:tab w:val="left" w:pos="426"/>
              </w:tabs>
              <w:spacing w:before="0" w:beforeAutospacing="0" w:after="0" w:afterAutospacing="0" w:line="240" w:lineRule="auto"/>
              <w:ind w:left="0" w:right="0"/>
              <w:jc w:val="left"/>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3.方案的可行性，能有效保障项目质量。</w:t>
            </w:r>
          </w:p>
          <w:p>
            <w:pPr>
              <w:keepNext w:val="0"/>
              <w:keepLines w:val="0"/>
              <w:suppressLineNumbers w:val="0"/>
              <w:shd w:val="clear"/>
              <w:tabs>
                <w:tab w:val="left" w:pos="426"/>
              </w:tabs>
              <w:spacing w:before="0" w:beforeAutospacing="0" w:after="0" w:afterAutospacing="0" w:line="240" w:lineRule="auto"/>
              <w:ind w:left="0" w:right="0"/>
              <w:jc w:val="left"/>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 xml:space="preserve">（二）评审标准： </w:t>
            </w:r>
          </w:p>
          <w:p>
            <w:pPr>
              <w:pStyle w:val="25"/>
              <w:keepNext w:val="0"/>
              <w:keepLines w:val="0"/>
              <w:widowControl w:val="0"/>
              <w:suppressLineNumbers w:val="0"/>
              <w:shd w:val="clear" w:color="auto" w:fill="auto"/>
              <w:adjustRightInd/>
              <w:snapToGrid/>
              <w:spacing w:before="72" w:beforeLines="30" w:beforeAutospacing="0" w:after="72" w:afterLines="30" w:afterAutospacing="0" w:line="240" w:lineRule="auto"/>
              <w:ind w:left="0" w:right="0" w:firstLine="105" w:firstLineChars="50"/>
              <w:jc w:val="both"/>
              <w:rPr>
                <w:rFonts w:hint="eastAsia"/>
                <w:color w:val="000000" w:themeColor="text1"/>
                <w:szCs w:val="21"/>
                <w:highlight w:val="none"/>
                <w:lang w:val="zh-CN"/>
                <w14:textFill>
                  <w14:solidFill>
                    <w14:schemeClr w14:val="tx1"/>
                  </w14:solidFill>
                </w14:textFill>
              </w:rPr>
            </w:pPr>
            <w:r>
              <w:rPr>
                <w:rFonts w:hint="eastAsia"/>
                <w:color w:val="000000" w:themeColor="text1"/>
                <w:szCs w:val="21"/>
                <w:highlight w:val="none"/>
                <w:lang w:val="zh-CN"/>
                <w14:textFill>
                  <w14:solidFill>
                    <w14:schemeClr w14:val="tx1"/>
                  </w14:solidFill>
                </w14:textFill>
              </w:rPr>
              <w:t>1.满足任意三点得</w:t>
            </w:r>
            <w:r>
              <w:rPr>
                <w:rFonts w:hint="eastAsia"/>
                <w:color w:val="000000" w:themeColor="text1"/>
                <w:szCs w:val="21"/>
                <w:highlight w:val="none"/>
                <w:lang w:val="en-US" w:eastAsia="zh-CN"/>
                <w14:textFill>
                  <w14:solidFill>
                    <w14:schemeClr w14:val="tx1"/>
                  </w14:solidFill>
                </w14:textFill>
              </w:rPr>
              <w:t>3</w:t>
            </w:r>
            <w:r>
              <w:rPr>
                <w:rFonts w:hint="eastAsia"/>
                <w:color w:val="000000" w:themeColor="text1"/>
                <w:szCs w:val="21"/>
                <w:highlight w:val="none"/>
                <w:lang w:val="zh-CN"/>
                <w14:textFill>
                  <w14:solidFill>
                    <w14:schemeClr w14:val="tx1"/>
                  </w14:solidFill>
                </w14:textFill>
              </w:rPr>
              <w:t>分，满足任意两点得</w:t>
            </w:r>
            <w:r>
              <w:rPr>
                <w:rFonts w:hint="eastAsia"/>
                <w:color w:val="000000" w:themeColor="text1"/>
                <w:szCs w:val="21"/>
                <w:highlight w:val="none"/>
                <w:lang w:val="en-US" w:eastAsia="zh-CN"/>
                <w14:textFill>
                  <w14:solidFill>
                    <w14:schemeClr w14:val="tx1"/>
                  </w14:solidFill>
                </w14:textFill>
              </w:rPr>
              <w:t>2</w:t>
            </w:r>
            <w:r>
              <w:rPr>
                <w:rFonts w:hint="eastAsia"/>
                <w:color w:val="000000" w:themeColor="text1"/>
                <w:szCs w:val="21"/>
                <w:highlight w:val="none"/>
                <w:lang w:val="zh-CN"/>
                <w14:textFill>
                  <w14:solidFill>
                    <w14:schemeClr w14:val="tx1"/>
                  </w14:solidFill>
                </w14:textFill>
              </w:rPr>
              <w:t>分，满足任意一点得</w:t>
            </w:r>
            <w:r>
              <w:rPr>
                <w:rFonts w:hint="eastAsia"/>
                <w:color w:val="000000" w:themeColor="text1"/>
                <w:szCs w:val="21"/>
                <w:highlight w:val="none"/>
                <w:lang w:val="en-US" w:eastAsia="zh-CN"/>
                <w14:textFill>
                  <w14:solidFill>
                    <w14:schemeClr w14:val="tx1"/>
                  </w14:solidFill>
                </w14:textFill>
              </w:rPr>
              <w:t>1</w:t>
            </w:r>
            <w:r>
              <w:rPr>
                <w:rFonts w:hint="eastAsia"/>
                <w:color w:val="000000" w:themeColor="text1"/>
                <w:szCs w:val="21"/>
                <w:highlight w:val="none"/>
                <w:lang w:val="zh-CN"/>
                <w14:textFill>
                  <w14:solidFill>
                    <w14:schemeClr w14:val="tx1"/>
                  </w14:solidFill>
                </w14:textFill>
              </w:rPr>
              <w:t xml:space="preserve">分，未满足不得分。 </w:t>
            </w:r>
          </w:p>
          <w:p>
            <w:pPr>
              <w:pStyle w:val="25"/>
              <w:keepNext w:val="0"/>
              <w:keepLines w:val="0"/>
              <w:widowControl w:val="0"/>
              <w:suppressLineNumbers w:val="0"/>
              <w:shd w:val="clear" w:color="auto" w:fill="auto"/>
              <w:adjustRightInd/>
              <w:snapToGrid/>
              <w:spacing w:before="72" w:beforeLines="30" w:beforeAutospacing="0" w:after="72" w:afterLines="30" w:afterAutospacing="0" w:line="240" w:lineRule="auto"/>
              <w:ind w:left="0" w:right="0" w:firstLine="105" w:firstLineChars="50"/>
              <w:jc w:val="both"/>
              <w:rPr>
                <w:rFonts w:hint="eastAsia"/>
                <w:color w:val="000000" w:themeColor="text1"/>
                <w:szCs w:val="21"/>
                <w:highlight w:val="none"/>
                <w:lang w:val="zh-CN"/>
                <w14:textFill>
                  <w14:solidFill>
                    <w14:schemeClr w14:val="tx1"/>
                  </w14:solidFill>
                </w14:textFill>
              </w:rPr>
            </w:pPr>
            <w:r>
              <w:rPr>
                <w:rFonts w:hint="eastAsia"/>
                <w:color w:val="000000" w:themeColor="text1"/>
                <w:szCs w:val="21"/>
                <w:highlight w:val="none"/>
                <w:lang w:val="zh-CN"/>
                <w14:textFill>
                  <w14:solidFill>
                    <w14:schemeClr w14:val="tx1"/>
                  </w14:solidFill>
                </w14:textFill>
              </w:rPr>
              <w:t xml:space="preserve">2.在此基础上，专家根据各供应商的具体响应内容按照量化的评审因素指标进一步评审； </w:t>
            </w:r>
          </w:p>
          <w:p>
            <w:pPr>
              <w:pStyle w:val="25"/>
              <w:keepNext w:val="0"/>
              <w:keepLines w:val="0"/>
              <w:widowControl w:val="0"/>
              <w:suppressLineNumbers w:val="0"/>
              <w:shd w:val="clear" w:color="auto" w:fill="auto"/>
              <w:adjustRightInd/>
              <w:snapToGrid/>
              <w:spacing w:before="72" w:beforeLines="30" w:beforeAutospacing="0" w:after="72" w:afterLines="30" w:afterAutospacing="0" w:line="240" w:lineRule="auto"/>
              <w:ind w:left="0" w:right="0" w:firstLine="105" w:firstLineChars="50"/>
              <w:jc w:val="both"/>
              <w:rPr>
                <w:rFonts w:hint="eastAsia"/>
                <w:color w:val="000000" w:themeColor="text1"/>
                <w:szCs w:val="21"/>
                <w:highlight w:val="none"/>
                <w:lang w:val="zh-CN"/>
                <w14:textFill>
                  <w14:solidFill>
                    <w14:schemeClr w14:val="tx1"/>
                  </w14:solidFill>
                </w14:textFill>
              </w:rPr>
            </w:pPr>
            <w:r>
              <w:rPr>
                <w:rFonts w:hint="eastAsia"/>
                <w:color w:val="000000" w:themeColor="text1"/>
                <w:szCs w:val="21"/>
                <w:highlight w:val="none"/>
                <w:lang w:val="zh-CN"/>
                <w14:textFill>
                  <w14:solidFill>
                    <w14:schemeClr w14:val="tx1"/>
                  </w14:solidFill>
                </w14:textFill>
              </w:rPr>
              <w:t xml:space="preserve">优：保障措施及方案科学合理且针对性强的； </w:t>
            </w:r>
          </w:p>
          <w:p>
            <w:pPr>
              <w:pStyle w:val="25"/>
              <w:keepNext w:val="0"/>
              <w:keepLines w:val="0"/>
              <w:widowControl w:val="0"/>
              <w:suppressLineNumbers w:val="0"/>
              <w:shd w:val="clear" w:color="auto" w:fill="auto"/>
              <w:adjustRightInd/>
              <w:snapToGrid/>
              <w:spacing w:before="72" w:beforeLines="30" w:beforeAutospacing="0" w:after="72" w:afterLines="30" w:afterAutospacing="0" w:line="240" w:lineRule="auto"/>
              <w:ind w:left="0" w:right="0" w:firstLine="105" w:firstLineChars="50"/>
              <w:jc w:val="both"/>
              <w:rPr>
                <w:rFonts w:hint="eastAsia"/>
                <w:color w:val="000000" w:themeColor="text1"/>
                <w:szCs w:val="21"/>
                <w:highlight w:val="none"/>
                <w:lang w:val="zh-CN"/>
                <w14:textFill>
                  <w14:solidFill>
                    <w14:schemeClr w14:val="tx1"/>
                  </w14:solidFill>
                </w14:textFill>
              </w:rPr>
            </w:pPr>
            <w:r>
              <w:rPr>
                <w:rFonts w:hint="eastAsia"/>
                <w:color w:val="000000" w:themeColor="text1"/>
                <w:szCs w:val="21"/>
                <w:highlight w:val="none"/>
                <w:lang w:val="zh-CN"/>
                <w14:textFill>
                  <w14:solidFill>
                    <w14:schemeClr w14:val="tx1"/>
                  </w14:solidFill>
                </w14:textFill>
              </w:rPr>
              <w:t xml:space="preserve">良：保障措施及方案科学合理但针对性较弱的； </w:t>
            </w:r>
          </w:p>
          <w:p>
            <w:pPr>
              <w:pStyle w:val="25"/>
              <w:keepNext w:val="0"/>
              <w:keepLines w:val="0"/>
              <w:widowControl w:val="0"/>
              <w:suppressLineNumbers w:val="0"/>
              <w:shd w:val="clear" w:color="auto" w:fill="auto"/>
              <w:adjustRightInd/>
              <w:snapToGrid/>
              <w:spacing w:before="72" w:beforeLines="30" w:beforeAutospacing="0" w:after="72" w:afterLines="30" w:afterAutospacing="0" w:line="240" w:lineRule="auto"/>
              <w:ind w:left="0" w:right="0" w:firstLine="105" w:firstLineChars="50"/>
              <w:jc w:val="both"/>
              <w:rPr>
                <w:rFonts w:hint="eastAsia"/>
                <w:color w:val="000000" w:themeColor="text1"/>
                <w:szCs w:val="21"/>
                <w:highlight w:val="none"/>
                <w:lang w:val="zh-CN"/>
                <w14:textFill>
                  <w14:solidFill>
                    <w14:schemeClr w14:val="tx1"/>
                  </w14:solidFill>
                </w14:textFill>
              </w:rPr>
            </w:pPr>
            <w:r>
              <w:rPr>
                <w:rFonts w:hint="eastAsia"/>
                <w:color w:val="000000" w:themeColor="text1"/>
                <w:szCs w:val="21"/>
                <w:highlight w:val="none"/>
                <w:lang w:val="zh-CN"/>
                <w14:textFill>
                  <w14:solidFill>
                    <w14:schemeClr w14:val="tx1"/>
                  </w14:solidFill>
                </w14:textFill>
              </w:rPr>
              <w:t>中：保障措施及方案科学合理但无针对性的；</w:t>
            </w:r>
          </w:p>
          <w:p>
            <w:pPr>
              <w:pStyle w:val="25"/>
              <w:keepNext w:val="0"/>
              <w:keepLines w:val="0"/>
              <w:widowControl w:val="0"/>
              <w:suppressLineNumbers w:val="0"/>
              <w:shd w:val="clear" w:color="auto" w:fill="auto"/>
              <w:adjustRightInd/>
              <w:snapToGrid/>
              <w:spacing w:before="72" w:beforeLines="30" w:beforeAutospacing="0" w:after="72" w:afterLines="30" w:afterAutospacing="0" w:line="240" w:lineRule="auto"/>
              <w:ind w:left="0" w:right="0" w:firstLine="105" w:firstLineChars="50"/>
              <w:jc w:val="both"/>
              <w:rPr>
                <w:rFonts w:hint="eastAsia"/>
                <w:color w:val="000000" w:themeColor="text1"/>
                <w:szCs w:val="21"/>
                <w:highlight w:val="none"/>
                <w:lang w:val="zh-CN"/>
                <w14:textFill>
                  <w14:solidFill>
                    <w14:schemeClr w14:val="tx1"/>
                  </w14:solidFill>
                </w14:textFill>
              </w:rPr>
            </w:pPr>
            <w:r>
              <w:rPr>
                <w:rFonts w:hint="eastAsia"/>
                <w:color w:val="000000" w:themeColor="text1"/>
                <w:szCs w:val="21"/>
                <w:highlight w:val="none"/>
                <w:lang w:val="zh-CN"/>
                <w14:textFill>
                  <w14:solidFill>
                    <w14:schemeClr w14:val="tx1"/>
                  </w14:solidFill>
                </w14:textFill>
              </w:rPr>
              <w:t>差：保障措施及方案不合理且无针对性的。</w:t>
            </w:r>
          </w:p>
          <w:p>
            <w:pPr>
              <w:pStyle w:val="25"/>
              <w:keepNext w:val="0"/>
              <w:keepLines w:val="0"/>
              <w:widowControl w:val="0"/>
              <w:suppressLineNumbers w:val="0"/>
              <w:shd w:val="clear" w:color="auto" w:fill="auto"/>
              <w:adjustRightInd/>
              <w:snapToGrid/>
              <w:spacing w:before="72" w:beforeLines="30" w:beforeAutospacing="0" w:after="72" w:afterLines="30" w:afterAutospacing="0" w:line="240" w:lineRule="auto"/>
              <w:ind w:left="0" w:right="0" w:firstLine="105" w:firstLineChars="50"/>
              <w:jc w:val="both"/>
              <w:rPr>
                <w:rFonts w:hint="eastAsia"/>
                <w:color w:val="000000" w:themeColor="text1"/>
                <w:szCs w:val="21"/>
                <w:highlight w:val="none"/>
                <w:lang w:val="zh-CN"/>
                <w14:textFill>
                  <w14:solidFill>
                    <w14:schemeClr w14:val="tx1"/>
                  </w14:solidFill>
                </w14:textFill>
              </w:rPr>
            </w:pPr>
            <w:r>
              <w:rPr>
                <w:rFonts w:hint="eastAsia"/>
                <w:color w:val="000000" w:themeColor="text1"/>
                <w:szCs w:val="21"/>
                <w:highlight w:val="none"/>
                <w:lang w:val="zh-CN"/>
                <w14:textFill>
                  <w14:solidFill>
                    <w14:schemeClr w14:val="tx1"/>
                  </w14:solidFill>
                </w14:textFill>
              </w:rPr>
              <w:t>评审为优的加</w:t>
            </w:r>
            <w:r>
              <w:rPr>
                <w:rFonts w:hint="eastAsia"/>
                <w:color w:val="000000" w:themeColor="text1"/>
                <w:szCs w:val="21"/>
                <w:highlight w:val="none"/>
                <w:lang w:val="en-US" w:eastAsia="zh-CN"/>
                <w14:textFill>
                  <w14:solidFill>
                    <w14:schemeClr w14:val="tx1"/>
                  </w14:solidFill>
                </w14:textFill>
              </w:rPr>
              <w:t>5</w:t>
            </w:r>
            <w:r>
              <w:rPr>
                <w:rFonts w:hint="eastAsia"/>
                <w:color w:val="000000" w:themeColor="text1"/>
                <w:szCs w:val="21"/>
                <w:highlight w:val="none"/>
                <w:lang w:val="zh-CN"/>
                <w14:textFill>
                  <w14:solidFill>
                    <w14:schemeClr w14:val="tx1"/>
                  </w14:solidFill>
                </w14:textFill>
              </w:rPr>
              <w:t>分；</w:t>
            </w:r>
          </w:p>
          <w:p>
            <w:pPr>
              <w:pStyle w:val="25"/>
              <w:keepNext w:val="0"/>
              <w:keepLines w:val="0"/>
              <w:widowControl w:val="0"/>
              <w:suppressLineNumbers w:val="0"/>
              <w:shd w:val="clear" w:color="auto" w:fill="auto"/>
              <w:adjustRightInd/>
              <w:snapToGrid/>
              <w:spacing w:before="72" w:beforeLines="30" w:beforeAutospacing="0" w:after="72" w:afterLines="30" w:afterAutospacing="0" w:line="240" w:lineRule="auto"/>
              <w:ind w:left="0" w:right="0" w:firstLine="105" w:firstLineChars="50"/>
              <w:jc w:val="both"/>
              <w:rPr>
                <w:rFonts w:hint="eastAsia"/>
                <w:color w:val="000000" w:themeColor="text1"/>
                <w:szCs w:val="21"/>
                <w:highlight w:val="none"/>
                <w:lang w:val="zh-CN"/>
                <w14:textFill>
                  <w14:solidFill>
                    <w14:schemeClr w14:val="tx1"/>
                  </w14:solidFill>
                </w14:textFill>
              </w:rPr>
            </w:pPr>
            <w:r>
              <w:rPr>
                <w:rFonts w:hint="eastAsia"/>
                <w:color w:val="000000" w:themeColor="text1"/>
                <w:szCs w:val="21"/>
                <w:highlight w:val="none"/>
                <w:lang w:val="zh-CN"/>
                <w14:textFill>
                  <w14:solidFill>
                    <w14:schemeClr w14:val="tx1"/>
                  </w14:solidFill>
                </w14:textFill>
              </w:rPr>
              <w:t>评审为良的加</w:t>
            </w:r>
            <w:r>
              <w:rPr>
                <w:rFonts w:hint="eastAsia"/>
                <w:color w:val="000000" w:themeColor="text1"/>
                <w:szCs w:val="21"/>
                <w:highlight w:val="none"/>
                <w:lang w:val="en-US" w:eastAsia="zh-CN"/>
                <w14:textFill>
                  <w14:solidFill>
                    <w14:schemeClr w14:val="tx1"/>
                  </w14:solidFill>
                </w14:textFill>
              </w:rPr>
              <w:t>3</w:t>
            </w:r>
            <w:r>
              <w:rPr>
                <w:rFonts w:hint="eastAsia"/>
                <w:color w:val="000000" w:themeColor="text1"/>
                <w:szCs w:val="21"/>
                <w:highlight w:val="none"/>
                <w:lang w:val="zh-CN"/>
                <w14:textFill>
                  <w14:solidFill>
                    <w14:schemeClr w14:val="tx1"/>
                  </w14:solidFill>
                </w14:textFill>
              </w:rPr>
              <w:t>分；</w:t>
            </w:r>
          </w:p>
          <w:p>
            <w:pPr>
              <w:pStyle w:val="25"/>
              <w:keepNext w:val="0"/>
              <w:keepLines w:val="0"/>
              <w:widowControl w:val="0"/>
              <w:suppressLineNumbers w:val="0"/>
              <w:shd w:val="clear" w:color="auto" w:fill="auto"/>
              <w:adjustRightInd/>
              <w:snapToGrid/>
              <w:spacing w:before="72" w:beforeLines="30" w:beforeAutospacing="0" w:after="72" w:afterLines="30" w:afterAutospacing="0" w:line="240" w:lineRule="auto"/>
              <w:ind w:left="0" w:right="0" w:firstLine="105" w:firstLineChars="50"/>
              <w:jc w:val="both"/>
              <w:rPr>
                <w:rFonts w:hint="eastAsia"/>
                <w:color w:val="000000" w:themeColor="text1"/>
                <w:szCs w:val="21"/>
                <w:highlight w:val="none"/>
                <w:lang w:val="zh-CN"/>
                <w14:textFill>
                  <w14:solidFill>
                    <w14:schemeClr w14:val="tx1"/>
                  </w14:solidFill>
                </w14:textFill>
              </w:rPr>
            </w:pPr>
            <w:r>
              <w:rPr>
                <w:rFonts w:hint="eastAsia"/>
                <w:color w:val="000000" w:themeColor="text1"/>
                <w:szCs w:val="21"/>
                <w:highlight w:val="none"/>
                <w:lang w:val="zh-CN"/>
                <w14:textFill>
                  <w14:solidFill>
                    <w14:schemeClr w14:val="tx1"/>
                  </w14:solidFill>
                </w14:textFill>
              </w:rPr>
              <w:t>评审为中的加</w:t>
            </w:r>
            <w:r>
              <w:rPr>
                <w:rFonts w:hint="eastAsia"/>
                <w:color w:val="000000" w:themeColor="text1"/>
                <w:szCs w:val="21"/>
                <w:highlight w:val="none"/>
                <w:lang w:val="en-US" w:eastAsia="zh-CN"/>
                <w14:textFill>
                  <w14:solidFill>
                    <w14:schemeClr w14:val="tx1"/>
                  </w14:solidFill>
                </w14:textFill>
              </w:rPr>
              <w:t>1</w:t>
            </w:r>
            <w:r>
              <w:rPr>
                <w:rFonts w:hint="eastAsia"/>
                <w:color w:val="000000" w:themeColor="text1"/>
                <w:szCs w:val="21"/>
                <w:highlight w:val="none"/>
                <w:lang w:val="zh-CN"/>
                <w14:textFill>
                  <w14:solidFill>
                    <w14:schemeClr w14:val="tx1"/>
                  </w14:solidFill>
                </w14:textFill>
              </w:rPr>
              <w:t>分；</w:t>
            </w:r>
          </w:p>
          <w:p>
            <w:pPr>
              <w:pStyle w:val="25"/>
              <w:keepNext w:val="0"/>
              <w:keepLines w:val="0"/>
              <w:widowControl w:val="0"/>
              <w:suppressLineNumbers w:val="0"/>
              <w:shd w:val="clear" w:color="auto" w:fill="auto"/>
              <w:adjustRightInd/>
              <w:snapToGrid/>
              <w:spacing w:before="72" w:beforeLines="30" w:beforeAutospacing="0" w:after="72" w:afterLines="30" w:afterAutospacing="0" w:line="240" w:lineRule="auto"/>
              <w:ind w:left="0" w:right="0" w:firstLine="105" w:firstLineChars="50"/>
              <w:jc w:val="both"/>
              <w:rPr>
                <w:rFonts w:hint="eastAsia"/>
                <w:color w:val="000000" w:themeColor="text1"/>
                <w:szCs w:val="21"/>
                <w:highlight w:val="none"/>
                <w:lang w:val="zh-CN"/>
                <w14:textFill>
                  <w14:solidFill>
                    <w14:schemeClr w14:val="tx1"/>
                  </w14:solidFill>
                </w14:textFill>
              </w:rPr>
            </w:pPr>
            <w:r>
              <w:rPr>
                <w:rFonts w:hint="eastAsia"/>
                <w:color w:val="000000" w:themeColor="text1"/>
                <w:szCs w:val="21"/>
                <w:highlight w:val="none"/>
                <w:lang w:val="zh-CN"/>
                <w14:textFill>
                  <w14:solidFill>
                    <w14:schemeClr w14:val="tx1"/>
                  </w14:solidFill>
                </w14:textFill>
              </w:rPr>
              <w:t>评审为差的</w:t>
            </w:r>
            <w:r>
              <w:rPr>
                <w:rFonts w:hint="eastAsia"/>
                <w:color w:val="000000" w:themeColor="text1"/>
                <w:szCs w:val="21"/>
                <w:highlight w:val="none"/>
                <w:lang w:val="en-US" w:eastAsia="zh-CN"/>
                <w14:textFill>
                  <w14:solidFill>
                    <w14:schemeClr w14:val="tx1"/>
                  </w14:solidFill>
                </w14:textFill>
              </w:rPr>
              <w:t>不加分</w:t>
            </w:r>
            <w:r>
              <w:rPr>
                <w:rFonts w:hint="eastAsia"/>
                <w:color w:val="000000" w:themeColor="text1"/>
                <w:szCs w:val="21"/>
                <w:highlight w:val="none"/>
                <w:lang w:val="zh-CN"/>
                <w14:textFill>
                  <w14:solidFill>
                    <w14:schemeClr w14:val="tx1"/>
                  </w14:solidFill>
                </w14:textFill>
              </w:rPr>
              <w:t>；</w:t>
            </w:r>
          </w:p>
          <w:p>
            <w:pPr>
              <w:pStyle w:val="25"/>
              <w:keepNext w:val="0"/>
              <w:keepLines w:val="0"/>
              <w:widowControl w:val="0"/>
              <w:suppressLineNumbers w:val="0"/>
              <w:shd w:val="clear" w:color="auto" w:fill="auto"/>
              <w:adjustRightInd/>
              <w:snapToGrid/>
              <w:spacing w:before="0" w:beforeLines="30" w:beforeAutospacing="0" w:after="0" w:afterLines="30" w:afterAutospacing="0" w:line="240" w:lineRule="auto"/>
              <w:ind w:left="0" w:right="0" w:firstLine="105" w:firstLineChars="50"/>
              <w:jc w:val="both"/>
              <w:rPr>
                <w:rFonts w:hint="eastAsia"/>
                <w:color w:val="000000" w:themeColor="text1"/>
                <w:szCs w:val="21"/>
                <w:lang w:val="zh-CN" w:eastAsia="zh-CN"/>
                <w14:textFill>
                  <w14:solidFill>
                    <w14:schemeClr w14:val="tx1"/>
                  </w14:solidFill>
                </w14:textFill>
              </w:rPr>
            </w:pPr>
            <w:r>
              <w:rPr>
                <w:rFonts w:hint="eastAsia"/>
                <w:color w:val="000000" w:themeColor="text1"/>
                <w:szCs w:val="21"/>
                <w:highlight w:val="none"/>
                <w:lang w:val="zh-CN"/>
                <w14:textFill>
                  <w14:solidFill>
                    <w14:schemeClr w14:val="tx1"/>
                  </w14:solidFill>
                </w14:textFill>
              </w:rPr>
              <w:t>如果评审为差，要求专家书面说明理由，并记录在档。</w:t>
            </w:r>
          </w:p>
        </w:tc>
        <w:tc>
          <w:tcPr>
            <w:tcW w:w="452"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eastAsia"/>
              </w:rPr>
            </w:pPr>
            <w:r>
              <w:rPr>
                <w:rFonts w:hint="eastAsia"/>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22" w:hRule="atLeast"/>
          <w:jc w:val="center"/>
        </w:trPr>
        <w:tc>
          <w:tcPr>
            <w:tcW w:w="409" w:type="pct"/>
            <w:shd w:val="clear" w:color="auto" w:fill="FFFFFF"/>
            <w:vAlign w:val="center"/>
          </w:tcPr>
          <w:p>
            <w:pPr>
              <w:keepNext w:val="0"/>
              <w:keepLines w:val="0"/>
              <w:suppressLineNumbers w:val="0"/>
              <w:tabs>
                <w:tab w:val="left" w:pos="426"/>
              </w:tabs>
              <w:spacing w:before="0" w:beforeLines="30" w:beforeAutospacing="0" w:after="0" w:afterLines="30" w:afterAutospacing="0" w:line="240" w:lineRule="auto"/>
              <w:ind w:left="0" w:right="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4</w:t>
            </w:r>
          </w:p>
        </w:tc>
        <w:tc>
          <w:tcPr>
            <w:tcW w:w="898"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default" w:ascii="Times New Roman" w:hAnsi="Times New Roman" w:eastAsia="宋体" w:cs="Times New Roman"/>
                <w:kern w:val="2"/>
                <w:sz w:val="21"/>
                <w:szCs w:val="24"/>
                <w:highlight w:val="none"/>
                <w:lang w:val="en-US" w:eastAsia="zh-CN" w:bidi="ar-SA"/>
              </w:rPr>
            </w:pPr>
            <w:r>
              <w:rPr>
                <w:rFonts w:hint="eastAsia" w:ascii="宋体" w:hAnsi="宋体" w:eastAsia="宋体" w:cs="宋体"/>
                <w:color w:val="auto"/>
                <w:sz w:val="21"/>
                <w:szCs w:val="21"/>
                <w:highlight w:val="none"/>
              </w:rPr>
              <w:t>项目完成（服务期满）后</w:t>
            </w:r>
            <w:r>
              <w:rPr>
                <w:rFonts w:hint="eastAsia"/>
                <w:szCs w:val="21"/>
                <w:highlight w:val="none"/>
                <w:lang w:val="zh-CN"/>
              </w:rPr>
              <w:t>保修阶段服务承诺</w:t>
            </w:r>
          </w:p>
        </w:tc>
        <w:tc>
          <w:tcPr>
            <w:tcW w:w="272"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eastAsia" w:ascii="Times New Roman" w:hAnsi="Times New Roman" w:eastAsia="宋体" w:cs="Times New Roman"/>
                <w:kern w:val="2"/>
                <w:sz w:val="21"/>
                <w:szCs w:val="21"/>
                <w:highlight w:val="none"/>
                <w:lang w:val="zh-CN" w:eastAsia="zh-CN" w:bidi="ar-SA"/>
              </w:rPr>
            </w:pPr>
            <w:r>
              <w:rPr>
                <w:rFonts w:hint="eastAsia"/>
                <w:szCs w:val="21"/>
                <w:highlight w:val="none"/>
                <w:lang w:val="en-US" w:eastAsia="zh-CN"/>
              </w:rPr>
              <w:t>6</w:t>
            </w:r>
          </w:p>
        </w:tc>
        <w:tc>
          <w:tcPr>
            <w:tcW w:w="2967" w:type="pct"/>
            <w:shd w:val="clear" w:color="auto" w:fill="FFFFFF"/>
            <w:vAlign w:val="center"/>
          </w:tcPr>
          <w:p>
            <w:pPr>
              <w:keepNext w:val="0"/>
              <w:keepLines w:val="0"/>
              <w:suppressLineNumbers w:val="0"/>
              <w:shd w:val="clear"/>
              <w:tabs>
                <w:tab w:val="left" w:pos="426"/>
              </w:tabs>
              <w:adjustRightInd w:val="0"/>
              <w:snapToGrid w:val="0"/>
              <w:spacing w:before="0" w:beforeAutospacing="0" w:after="0" w:afterAutospacing="0" w:line="240" w:lineRule="auto"/>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（一）评审内容： </w:t>
            </w:r>
          </w:p>
          <w:p>
            <w:pPr>
              <w:keepNext w:val="0"/>
              <w:keepLines w:val="0"/>
              <w:suppressLineNumbers w:val="0"/>
              <w:shd w:val="clear"/>
              <w:tabs>
                <w:tab w:val="left" w:pos="426"/>
              </w:tabs>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投标人提供项目完成（服务期满）后的服务承诺（格式自定），要求包括</w:t>
            </w:r>
            <w:r>
              <w:rPr>
                <w:rFonts w:hint="eastAsia" w:ascii="宋体" w:hAnsi="宋体" w:cs="宋体"/>
                <w:color w:val="auto"/>
                <w:sz w:val="21"/>
                <w:szCs w:val="21"/>
                <w:highlight w:val="none"/>
                <w:lang w:val="en-US" w:eastAsia="zh-CN"/>
              </w:rPr>
              <w:t>但不限于以下内容</w:t>
            </w:r>
            <w:r>
              <w:rPr>
                <w:rFonts w:hint="eastAsia" w:ascii="宋体" w:hAnsi="宋体" w:eastAsia="宋体" w:cs="宋体"/>
                <w:color w:val="auto"/>
                <w:sz w:val="21"/>
                <w:szCs w:val="21"/>
                <w:highlight w:val="none"/>
              </w:rPr>
              <w:t>：</w:t>
            </w:r>
          </w:p>
          <w:p>
            <w:pPr>
              <w:keepNext w:val="0"/>
              <w:keepLines w:val="0"/>
              <w:suppressLineNumbers w:val="0"/>
              <w:shd w:val="clear"/>
              <w:tabs>
                <w:tab w:val="left" w:pos="426"/>
              </w:tabs>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1.保修阶段的时间响应情况，包括</w:t>
            </w:r>
            <w:r>
              <w:rPr>
                <w:rFonts w:hint="eastAsia" w:ascii="宋体" w:hAnsi="宋体" w:eastAsia="宋体" w:cs="宋体"/>
                <w:color w:val="auto"/>
                <w:sz w:val="21"/>
                <w:szCs w:val="21"/>
                <w:highlight w:val="none"/>
              </w:rPr>
              <w:t>项目后续支持时间、主动交接手续办理时间等。</w:t>
            </w:r>
          </w:p>
          <w:p>
            <w:pPr>
              <w:keepNext w:val="0"/>
              <w:keepLines w:val="0"/>
              <w:suppressLineNumbers w:val="0"/>
              <w:tabs>
                <w:tab w:val="left" w:pos="426"/>
              </w:tabs>
              <w:adjustRightInd w:val="0"/>
              <w:snapToGrid w:val="0"/>
              <w:spacing w:before="0" w:beforeAutospacing="0" w:after="0" w:afterAutospacing="0"/>
              <w:ind w:left="0" w:right="0"/>
              <w:rPr>
                <w:rFonts w:hint="default"/>
                <w:highlight w:val="none"/>
                <w:lang w:val="en-US"/>
              </w:rPr>
            </w:pPr>
            <w:r>
              <w:rPr>
                <w:rFonts w:hint="eastAsia" w:ascii="宋体" w:hAnsi="宋体" w:cs="宋体"/>
                <w:color w:val="auto"/>
                <w:sz w:val="21"/>
                <w:szCs w:val="21"/>
                <w:highlight w:val="none"/>
                <w:lang w:val="en-US" w:eastAsia="zh-CN"/>
              </w:rPr>
              <w:t>2.保修阶段监理工作计划和方案。</w:t>
            </w:r>
          </w:p>
          <w:p>
            <w:pPr>
              <w:keepNext w:val="0"/>
              <w:keepLines w:val="0"/>
              <w:suppressLineNumbers w:val="0"/>
              <w:shd w:val="clear"/>
              <w:tabs>
                <w:tab w:val="left" w:pos="426"/>
              </w:tabs>
              <w:adjustRightInd w:val="0"/>
              <w:snapToGrid w:val="0"/>
              <w:spacing w:before="0" w:beforeAutospacing="0" w:after="0" w:afterAutospacing="0" w:line="240" w:lineRule="auto"/>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（二）评审标准： </w:t>
            </w:r>
          </w:p>
          <w:p>
            <w:pPr>
              <w:keepNext w:val="0"/>
              <w:keepLines w:val="0"/>
              <w:suppressLineNumbers w:val="0"/>
              <w:shd w:val="clear"/>
              <w:tabs>
                <w:tab w:val="left" w:pos="426"/>
              </w:tabs>
              <w:autoSpaceDE w:val="0"/>
              <w:autoSpaceDN w:val="0"/>
              <w:spacing w:before="72" w:beforeLines="30" w:beforeAutospacing="0" w:after="72" w:afterLines="30" w:afterAutospacing="0" w:line="240" w:lineRule="auto"/>
              <w:ind w:left="0" w:right="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1.满足</w:t>
            </w:r>
            <w:r>
              <w:rPr>
                <w:rFonts w:hint="eastAsia" w:ascii="宋体" w:hAnsi="宋体" w:cs="宋体"/>
                <w:bCs/>
                <w:color w:val="auto"/>
                <w:sz w:val="21"/>
                <w:szCs w:val="21"/>
                <w:highlight w:val="none"/>
                <w:lang w:val="en-US" w:eastAsia="zh-CN"/>
              </w:rPr>
              <w:t>两</w:t>
            </w:r>
            <w:r>
              <w:rPr>
                <w:rFonts w:hint="eastAsia" w:ascii="宋体" w:hAnsi="宋体" w:eastAsia="宋体" w:cs="宋体"/>
                <w:bCs/>
                <w:color w:val="auto"/>
                <w:sz w:val="21"/>
                <w:szCs w:val="21"/>
                <w:highlight w:val="none"/>
              </w:rPr>
              <w:t>点得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分，满足任意一点得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 xml:space="preserve">分，未满足不得分。 </w:t>
            </w:r>
          </w:p>
          <w:p>
            <w:pPr>
              <w:keepNext w:val="0"/>
              <w:keepLines w:val="0"/>
              <w:widowControl w:val="0"/>
              <w:suppressLineNumbers w:val="0"/>
              <w:shd w:val="clear" w:color="auto" w:fill="auto"/>
              <w:tabs>
                <w:tab w:val="left" w:pos="426"/>
              </w:tabs>
              <w:adjustRightInd w:val="0"/>
              <w:snapToGrid w:val="0"/>
              <w:spacing w:before="72" w:beforeLines="30" w:beforeAutospacing="0" w:after="72" w:afterLines="30" w:afterAutospacing="0" w:line="240" w:lineRule="auto"/>
              <w:ind w:left="0"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2.在此基础上，专家根据各供应商的具体响应内容按照量化的评审因素指标进一步评审；</w:t>
            </w:r>
          </w:p>
          <w:p>
            <w:pPr>
              <w:pStyle w:val="25"/>
              <w:keepNext w:val="0"/>
              <w:keepLines w:val="0"/>
              <w:widowControl w:val="0"/>
              <w:suppressLineNumbers w:val="0"/>
              <w:shd w:val="clear" w:color="auto" w:fill="auto"/>
              <w:adjustRightInd/>
              <w:snapToGrid/>
              <w:spacing w:before="72" w:beforeLines="30" w:beforeAutospacing="0" w:after="72" w:afterLines="30" w:afterAutospacing="0" w:line="240" w:lineRule="auto"/>
              <w:ind w:left="0" w:right="0" w:firstLine="0" w:firstLineChars="0"/>
              <w:jc w:val="both"/>
              <w:rPr>
                <w:rFonts w:hint="eastAsia"/>
                <w:color w:val="auto"/>
                <w:szCs w:val="21"/>
                <w:highlight w:val="none"/>
                <w:lang w:val="zh-CN"/>
              </w:rPr>
            </w:pPr>
            <w:r>
              <w:rPr>
                <w:rFonts w:hint="eastAsia"/>
                <w:color w:val="auto"/>
                <w:szCs w:val="21"/>
                <w:highlight w:val="none"/>
                <w:lang w:val="zh-CN"/>
              </w:rPr>
              <w:t>优：</w:t>
            </w:r>
            <w:r>
              <w:rPr>
                <w:rFonts w:hint="eastAsia"/>
                <w:color w:val="auto"/>
                <w:szCs w:val="21"/>
                <w:highlight w:val="none"/>
                <w:lang w:val="en-US" w:eastAsia="zh-CN"/>
              </w:rPr>
              <w:t>服务承诺满足项目需求且工作计划和方案</w:t>
            </w:r>
            <w:r>
              <w:rPr>
                <w:rFonts w:hint="eastAsia"/>
                <w:color w:val="auto"/>
                <w:szCs w:val="21"/>
                <w:highlight w:val="none"/>
                <w:lang w:val="zh-CN"/>
              </w:rPr>
              <w:t xml:space="preserve">科学合理且针对性强的； </w:t>
            </w:r>
          </w:p>
          <w:p>
            <w:pPr>
              <w:pStyle w:val="25"/>
              <w:keepNext w:val="0"/>
              <w:keepLines w:val="0"/>
              <w:widowControl w:val="0"/>
              <w:suppressLineNumbers w:val="0"/>
              <w:shd w:val="clear" w:color="auto" w:fill="auto"/>
              <w:adjustRightInd/>
              <w:snapToGrid/>
              <w:spacing w:before="72" w:beforeLines="30" w:beforeAutospacing="0" w:after="72" w:afterLines="30" w:afterAutospacing="0" w:line="240" w:lineRule="auto"/>
              <w:ind w:left="0" w:right="0" w:firstLine="0" w:firstLineChars="0"/>
              <w:jc w:val="both"/>
              <w:rPr>
                <w:rFonts w:hint="eastAsia"/>
                <w:color w:val="auto"/>
                <w:szCs w:val="21"/>
                <w:highlight w:val="none"/>
                <w:lang w:val="zh-CN"/>
              </w:rPr>
            </w:pPr>
            <w:r>
              <w:rPr>
                <w:rFonts w:hint="eastAsia"/>
                <w:color w:val="auto"/>
                <w:szCs w:val="21"/>
                <w:highlight w:val="none"/>
                <w:lang w:val="zh-CN"/>
              </w:rPr>
              <w:t>良：</w:t>
            </w:r>
            <w:r>
              <w:rPr>
                <w:rFonts w:hint="eastAsia"/>
                <w:color w:val="auto"/>
                <w:szCs w:val="21"/>
                <w:highlight w:val="none"/>
                <w:lang w:val="en-US" w:eastAsia="zh-CN"/>
              </w:rPr>
              <w:t>服务承诺满足项目需求且工作计划和方案</w:t>
            </w:r>
            <w:r>
              <w:rPr>
                <w:rFonts w:hint="eastAsia"/>
                <w:color w:val="auto"/>
                <w:szCs w:val="21"/>
                <w:highlight w:val="none"/>
                <w:lang w:val="zh-CN"/>
              </w:rPr>
              <w:t xml:space="preserve">科学合理但针对性较弱的； </w:t>
            </w:r>
          </w:p>
          <w:p>
            <w:pPr>
              <w:pStyle w:val="25"/>
              <w:keepNext w:val="0"/>
              <w:keepLines w:val="0"/>
              <w:widowControl w:val="0"/>
              <w:suppressLineNumbers w:val="0"/>
              <w:shd w:val="clear" w:color="auto" w:fill="auto"/>
              <w:adjustRightInd/>
              <w:snapToGrid/>
              <w:spacing w:before="72" w:beforeLines="30" w:beforeAutospacing="0" w:after="72" w:afterLines="30" w:afterAutospacing="0" w:line="240" w:lineRule="auto"/>
              <w:ind w:left="0" w:right="0" w:firstLine="0" w:firstLineChars="0"/>
              <w:jc w:val="both"/>
              <w:rPr>
                <w:rFonts w:hint="eastAsia"/>
                <w:color w:val="auto"/>
                <w:szCs w:val="21"/>
                <w:highlight w:val="none"/>
                <w:lang w:val="zh-CN"/>
              </w:rPr>
            </w:pPr>
            <w:r>
              <w:rPr>
                <w:rFonts w:hint="eastAsia"/>
                <w:color w:val="auto"/>
                <w:szCs w:val="21"/>
                <w:highlight w:val="none"/>
                <w:lang w:val="zh-CN"/>
              </w:rPr>
              <w:t>中：</w:t>
            </w:r>
            <w:r>
              <w:rPr>
                <w:rFonts w:hint="eastAsia"/>
                <w:color w:val="auto"/>
                <w:szCs w:val="21"/>
                <w:highlight w:val="none"/>
                <w:lang w:val="en-US" w:eastAsia="zh-CN"/>
              </w:rPr>
              <w:t>服务承诺满足项目需求且工作计划和方案</w:t>
            </w:r>
            <w:r>
              <w:rPr>
                <w:rFonts w:hint="eastAsia"/>
                <w:color w:val="auto"/>
                <w:szCs w:val="21"/>
                <w:highlight w:val="none"/>
                <w:lang w:val="zh-CN"/>
              </w:rPr>
              <w:t>科学合理但无针对性的；</w:t>
            </w:r>
          </w:p>
          <w:p>
            <w:pPr>
              <w:pStyle w:val="25"/>
              <w:keepNext w:val="0"/>
              <w:keepLines w:val="0"/>
              <w:widowControl w:val="0"/>
              <w:suppressLineNumbers w:val="0"/>
              <w:shd w:val="clear" w:color="auto" w:fill="auto"/>
              <w:adjustRightInd/>
              <w:snapToGrid/>
              <w:spacing w:before="72" w:beforeLines="30" w:beforeAutospacing="0" w:after="72" w:afterLines="30" w:afterAutospacing="0" w:line="240" w:lineRule="auto"/>
              <w:ind w:left="0" w:right="0" w:firstLine="0" w:firstLineChars="0"/>
              <w:jc w:val="both"/>
              <w:rPr>
                <w:rFonts w:hint="eastAsia"/>
                <w:color w:val="auto"/>
                <w:szCs w:val="21"/>
                <w:highlight w:val="none"/>
                <w:lang w:val="zh-CN"/>
              </w:rPr>
            </w:pPr>
            <w:r>
              <w:rPr>
                <w:rFonts w:hint="eastAsia"/>
                <w:color w:val="auto"/>
                <w:szCs w:val="21"/>
                <w:highlight w:val="none"/>
                <w:lang w:val="zh-CN"/>
              </w:rPr>
              <w:t>差：</w:t>
            </w:r>
            <w:r>
              <w:rPr>
                <w:rFonts w:hint="eastAsia"/>
                <w:color w:val="auto"/>
                <w:szCs w:val="21"/>
                <w:highlight w:val="none"/>
                <w:lang w:val="en-US" w:eastAsia="zh-CN"/>
              </w:rPr>
              <w:t>服务承诺不满足项目需求且工作计划和方案</w:t>
            </w:r>
            <w:r>
              <w:rPr>
                <w:rFonts w:hint="eastAsia"/>
                <w:color w:val="auto"/>
                <w:szCs w:val="21"/>
                <w:highlight w:val="none"/>
                <w:lang w:val="zh-CN"/>
              </w:rPr>
              <w:t>不合理且无针对性的。</w:t>
            </w:r>
          </w:p>
          <w:p>
            <w:pPr>
              <w:pStyle w:val="25"/>
              <w:keepNext w:val="0"/>
              <w:keepLines w:val="0"/>
              <w:widowControl w:val="0"/>
              <w:suppressLineNumbers w:val="0"/>
              <w:shd w:val="clear" w:color="auto" w:fill="auto"/>
              <w:adjustRightInd/>
              <w:snapToGrid/>
              <w:spacing w:before="72" w:beforeLines="30" w:beforeAutospacing="0" w:after="72" w:afterLines="30" w:afterAutospacing="0" w:line="240" w:lineRule="auto"/>
              <w:ind w:left="0" w:right="0" w:firstLine="105" w:firstLineChars="50"/>
              <w:jc w:val="both"/>
              <w:rPr>
                <w:rFonts w:hint="eastAsia"/>
                <w:color w:val="auto"/>
                <w:szCs w:val="21"/>
                <w:highlight w:val="none"/>
                <w:lang w:val="zh-CN"/>
              </w:rPr>
            </w:pPr>
            <w:r>
              <w:rPr>
                <w:rFonts w:hint="eastAsia"/>
                <w:color w:val="auto"/>
                <w:szCs w:val="21"/>
                <w:highlight w:val="none"/>
                <w:lang w:val="zh-CN"/>
              </w:rPr>
              <w:t>评审为优的加</w:t>
            </w:r>
            <w:r>
              <w:rPr>
                <w:rFonts w:hint="eastAsia"/>
                <w:color w:val="auto"/>
                <w:szCs w:val="21"/>
                <w:highlight w:val="none"/>
                <w:lang w:val="en-US" w:eastAsia="zh-CN"/>
              </w:rPr>
              <w:t>4</w:t>
            </w:r>
            <w:r>
              <w:rPr>
                <w:rFonts w:hint="eastAsia"/>
                <w:color w:val="auto"/>
                <w:szCs w:val="21"/>
                <w:highlight w:val="none"/>
                <w:lang w:val="zh-CN"/>
              </w:rPr>
              <w:t>分；</w:t>
            </w:r>
          </w:p>
          <w:p>
            <w:pPr>
              <w:pStyle w:val="25"/>
              <w:keepNext w:val="0"/>
              <w:keepLines w:val="0"/>
              <w:widowControl w:val="0"/>
              <w:suppressLineNumbers w:val="0"/>
              <w:shd w:val="clear" w:color="auto" w:fill="auto"/>
              <w:adjustRightInd/>
              <w:snapToGrid/>
              <w:spacing w:before="72" w:beforeLines="30" w:beforeAutospacing="0" w:after="72" w:afterLines="30" w:afterAutospacing="0" w:line="240" w:lineRule="auto"/>
              <w:ind w:left="0" w:right="0" w:firstLine="105" w:firstLineChars="50"/>
              <w:jc w:val="both"/>
              <w:rPr>
                <w:rFonts w:hint="eastAsia"/>
                <w:color w:val="auto"/>
                <w:szCs w:val="21"/>
                <w:highlight w:val="none"/>
                <w:lang w:val="zh-CN"/>
              </w:rPr>
            </w:pPr>
            <w:r>
              <w:rPr>
                <w:rFonts w:hint="eastAsia"/>
                <w:color w:val="auto"/>
                <w:szCs w:val="21"/>
                <w:highlight w:val="none"/>
                <w:lang w:val="zh-CN"/>
              </w:rPr>
              <w:t>评审为良的加</w:t>
            </w:r>
            <w:r>
              <w:rPr>
                <w:rFonts w:hint="eastAsia"/>
                <w:color w:val="auto"/>
                <w:szCs w:val="21"/>
                <w:highlight w:val="none"/>
                <w:lang w:val="en-US" w:eastAsia="zh-CN"/>
              </w:rPr>
              <w:t>2</w:t>
            </w:r>
            <w:r>
              <w:rPr>
                <w:rFonts w:hint="eastAsia"/>
                <w:color w:val="auto"/>
                <w:szCs w:val="21"/>
                <w:highlight w:val="none"/>
                <w:lang w:val="zh-CN"/>
              </w:rPr>
              <w:t>分；</w:t>
            </w:r>
          </w:p>
          <w:p>
            <w:pPr>
              <w:pStyle w:val="25"/>
              <w:keepNext w:val="0"/>
              <w:keepLines w:val="0"/>
              <w:widowControl w:val="0"/>
              <w:suppressLineNumbers w:val="0"/>
              <w:shd w:val="clear" w:color="auto" w:fill="auto"/>
              <w:adjustRightInd/>
              <w:snapToGrid/>
              <w:spacing w:before="72" w:beforeLines="30" w:beforeAutospacing="0" w:after="72" w:afterLines="30" w:afterAutospacing="0" w:line="240" w:lineRule="auto"/>
              <w:ind w:left="0" w:right="0" w:firstLine="105" w:firstLineChars="50"/>
              <w:jc w:val="both"/>
              <w:rPr>
                <w:rFonts w:hint="eastAsia"/>
                <w:color w:val="auto"/>
                <w:szCs w:val="21"/>
                <w:highlight w:val="none"/>
                <w:lang w:val="zh-CN"/>
              </w:rPr>
            </w:pPr>
            <w:r>
              <w:rPr>
                <w:rFonts w:hint="eastAsia"/>
                <w:color w:val="auto"/>
                <w:szCs w:val="21"/>
                <w:highlight w:val="none"/>
                <w:lang w:val="zh-CN"/>
              </w:rPr>
              <w:t>评审为中的加</w:t>
            </w:r>
            <w:r>
              <w:rPr>
                <w:rFonts w:hint="eastAsia"/>
                <w:color w:val="auto"/>
                <w:szCs w:val="21"/>
                <w:highlight w:val="none"/>
                <w:lang w:val="en-US" w:eastAsia="zh-CN"/>
              </w:rPr>
              <w:t>1</w:t>
            </w:r>
            <w:r>
              <w:rPr>
                <w:rFonts w:hint="eastAsia"/>
                <w:color w:val="auto"/>
                <w:szCs w:val="21"/>
                <w:highlight w:val="none"/>
                <w:lang w:val="zh-CN"/>
              </w:rPr>
              <w:t>分；</w:t>
            </w:r>
          </w:p>
          <w:p>
            <w:pPr>
              <w:pStyle w:val="25"/>
              <w:keepNext w:val="0"/>
              <w:keepLines w:val="0"/>
              <w:widowControl w:val="0"/>
              <w:suppressLineNumbers w:val="0"/>
              <w:shd w:val="clear" w:color="auto" w:fill="auto"/>
              <w:adjustRightInd/>
              <w:snapToGrid/>
              <w:spacing w:before="72" w:beforeLines="30" w:beforeAutospacing="0" w:after="72" w:afterLines="30" w:afterAutospacing="0" w:line="240" w:lineRule="auto"/>
              <w:ind w:left="0" w:right="0" w:firstLine="105" w:firstLineChars="50"/>
              <w:jc w:val="both"/>
              <w:rPr>
                <w:rFonts w:hint="eastAsia"/>
                <w:color w:val="auto"/>
                <w:szCs w:val="21"/>
                <w:highlight w:val="none"/>
                <w:lang w:val="zh-CN"/>
              </w:rPr>
            </w:pPr>
            <w:r>
              <w:rPr>
                <w:rFonts w:hint="eastAsia"/>
                <w:color w:val="auto"/>
                <w:szCs w:val="21"/>
                <w:highlight w:val="none"/>
                <w:lang w:val="zh-CN"/>
              </w:rPr>
              <w:t>评审为差的</w:t>
            </w:r>
            <w:r>
              <w:rPr>
                <w:rFonts w:hint="eastAsia"/>
                <w:color w:val="auto"/>
                <w:szCs w:val="21"/>
                <w:highlight w:val="none"/>
                <w:lang w:val="en-US" w:eastAsia="zh-CN"/>
              </w:rPr>
              <w:t>不加分</w:t>
            </w:r>
            <w:r>
              <w:rPr>
                <w:rFonts w:hint="eastAsia"/>
                <w:color w:val="auto"/>
                <w:szCs w:val="21"/>
                <w:highlight w:val="none"/>
                <w:lang w:val="zh-CN"/>
              </w:rPr>
              <w:t>；</w:t>
            </w:r>
          </w:p>
          <w:p>
            <w:pPr>
              <w:keepNext w:val="0"/>
              <w:keepLines w:val="0"/>
              <w:suppressLineNumbers w:val="0"/>
              <w:tabs>
                <w:tab w:val="left" w:pos="426"/>
              </w:tabs>
              <w:autoSpaceDE w:val="0"/>
              <w:autoSpaceDN w:val="0"/>
              <w:spacing w:before="0" w:beforeLines="30" w:beforeAutospacing="0" w:after="0" w:afterLines="30" w:afterAutospacing="0" w:line="240" w:lineRule="auto"/>
              <w:ind w:left="0" w:right="0"/>
              <w:rPr>
                <w:rFonts w:hint="default" w:ascii="Times New Roman" w:hAnsi="Times New Roman" w:eastAsia="宋体" w:cs="Times New Roman"/>
                <w:kern w:val="2"/>
                <w:sz w:val="21"/>
                <w:szCs w:val="21"/>
                <w:highlight w:val="none"/>
                <w:lang w:val="zh-CN" w:eastAsia="zh-CN" w:bidi="ar-SA"/>
              </w:rPr>
            </w:pPr>
            <w:r>
              <w:rPr>
                <w:rFonts w:hint="eastAsia"/>
                <w:color w:val="auto"/>
                <w:szCs w:val="21"/>
                <w:highlight w:val="none"/>
                <w:lang w:val="zh-CN"/>
              </w:rPr>
              <w:t>如果评审为差，要求专家书面说明理由，并记录在档。</w:t>
            </w:r>
          </w:p>
        </w:tc>
        <w:tc>
          <w:tcPr>
            <w:tcW w:w="452" w:type="pct"/>
            <w:shd w:val="clear" w:color="auto" w:fill="FFFFFF"/>
            <w:vAlign w:val="center"/>
          </w:tcPr>
          <w:p>
            <w:pPr>
              <w:keepNext w:val="0"/>
              <w:keepLines w:val="0"/>
              <w:suppressLineNumbers w:val="0"/>
              <w:tabs>
                <w:tab w:val="left" w:pos="426"/>
              </w:tabs>
              <w:autoSpaceDE w:val="0"/>
              <w:autoSpaceDN w:val="0"/>
              <w:spacing w:before="0" w:beforeLines="30" w:beforeAutospacing="0" w:after="0" w:afterLines="30" w:afterAutospacing="0" w:line="240" w:lineRule="auto"/>
              <w:ind w:left="0" w:right="0"/>
              <w:jc w:val="center"/>
              <w:rPr>
                <w:rFonts w:hint="default" w:ascii="Times New Roman" w:hAnsi="Times New Roman" w:eastAsia="宋体" w:cs="Times New Roman"/>
                <w:kern w:val="2"/>
                <w:sz w:val="21"/>
                <w:szCs w:val="21"/>
                <w:lang w:val="zh-CN" w:eastAsia="zh-CN" w:bidi="ar-SA"/>
              </w:rPr>
            </w:pPr>
            <w:r>
              <w:rPr>
                <w:rFonts w:hint="eastAsia"/>
                <w:szCs w:val="21"/>
                <w:lang w:val="zh-CN"/>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22" w:hRule="atLeast"/>
          <w:jc w:val="center"/>
        </w:trPr>
        <w:tc>
          <w:tcPr>
            <w:tcW w:w="4547" w:type="pct"/>
            <w:gridSpan w:val="4"/>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b/>
                <w:bCs/>
                <w:color w:val="auto"/>
                <w:szCs w:val="21"/>
                <w:highlight w:val="none"/>
                <w:lang w:val="zh-CN"/>
              </w:rPr>
            </w:pPr>
            <w:r>
              <w:rPr>
                <w:rFonts w:hint="eastAsia"/>
                <w:b/>
                <w:bCs/>
                <w:color w:val="auto"/>
                <w:szCs w:val="21"/>
                <w:highlight w:val="none"/>
                <w:lang w:val="zh-CN"/>
              </w:rPr>
              <w:t>四、诚信部分</w:t>
            </w:r>
          </w:p>
        </w:tc>
        <w:tc>
          <w:tcPr>
            <w:tcW w:w="452"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b/>
                <w:bCs/>
                <w:color w:val="auto"/>
                <w:szCs w:val="21"/>
                <w:highlight w:val="none"/>
                <w:lang w:val="zh-CN"/>
              </w:rPr>
            </w:pPr>
            <w:r>
              <w:rPr>
                <w:rFonts w:hint="eastAsia"/>
                <w:b/>
                <w:bCs/>
                <w:color w:val="auto"/>
                <w:szCs w:val="21"/>
                <w:highlight w:val="none"/>
                <w:lang w:val="zh-CN"/>
              </w:rPr>
              <w:t>5</w:t>
            </w:r>
          </w:p>
        </w:tc>
      </w:tr>
      <w:tr>
        <w:tblPrEx>
          <w:shd w:val="clear" w:color="auto" w:fill="FFFFFF"/>
        </w:tblPrEx>
        <w:trPr>
          <w:trHeight w:val="522" w:hRule="atLeast"/>
          <w:jc w:val="center"/>
        </w:trPr>
        <w:tc>
          <w:tcPr>
            <w:tcW w:w="409"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b/>
                <w:color w:val="auto"/>
                <w:szCs w:val="21"/>
                <w:highlight w:val="none"/>
              </w:rPr>
            </w:pPr>
            <w:r>
              <w:rPr>
                <w:rFonts w:hint="eastAsia"/>
                <w:b/>
                <w:color w:val="auto"/>
                <w:szCs w:val="21"/>
                <w:highlight w:val="none"/>
                <w:lang w:val="zh-CN"/>
              </w:rPr>
              <w:t>序号</w:t>
            </w:r>
          </w:p>
        </w:tc>
        <w:tc>
          <w:tcPr>
            <w:tcW w:w="898"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b/>
                <w:color w:val="auto"/>
                <w:szCs w:val="21"/>
                <w:highlight w:val="none"/>
              </w:rPr>
            </w:pPr>
            <w:r>
              <w:rPr>
                <w:rFonts w:hint="eastAsia"/>
                <w:b/>
                <w:color w:val="auto"/>
                <w:szCs w:val="21"/>
                <w:highlight w:val="none"/>
                <w:lang w:val="zh-CN"/>
              </w:rPr>
              <w:t>内容</w:t>
            </w:r>
          </w:p>
        </w:tc>
        <w:tc>
          <w:tcPr>
            <w:tcW w:w="272"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b/>
                <w:color w:val="auto"/>
                <w:szCs w:val="21"/>
                <w:highlight w:val="none"/>
              </w:rPr>
            </w:pPr>
            <w:r>
              <w:rPr>
                <w:rFonts w:hint="eastAsia"/>
                <w:b/>
                <w:color w:val="auto"/>
                <w:szCs w:val="21"/>
                <w:highlight w:val="none"/>
                <w:lang w:val="zh-CN"/>
              </w:rPr>
              <w:t>分数</w:t>
            </w:r>
          </w:p>
        </w:tc>
        <w:tc>
          <w:tcPr>
            <w:tcW w:w="2967"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b/>
                <w:color w:val="auto"/>
                <w:szCs w:val="21"/>
                <w:highlight w:val="none"/>
                <w:lang w:val="zh-CN"/>
              </w:rPr>
            </w:pPr>
            <w:r>
              <w:rPr>
                <w:rFonts w:hint="eastAsia"/>
                <w:b/>
                <w:color w:val="auto"/>
                <w:szCs w:val="21"/>
                <w:highlight w:val="none"/>
                <w:lang w:val="zh-CN"/>
              </w:rPr>
              <w:t>评分规则</w:t>
            </w:r>
          </w:p>
        </w:tc>
        <w:tc>
          <w:tcPr>
            <w:tcW w:w="452"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b/>
                <w:color w:val="auto"/>
                <w:szCs w:val="21"/>
                <w:highlight w:val="none"/>
              </w:rPr>
            </w:pPr>
            <w:r>
              <w:rPr>
                <w:rFonts w:hint="eastAsia"/>
                <w:b/>
                <w:color w:val="auto"/>
                <w:szCs w:val="21"/>
                <w:highlight w:val="none"/>
              </w:rPr>
              <w:t>评分方式</w:t>
            </w:r>
          </w:p>
        </w:tc>
      </w:tr>
      <w:tr>
        <w:tblPrEx>
          <w:shd w:val="clear" w:color="auto" w:fill="FFFFFF"/>
        </w:tblPrEx>
        <w:trPr>
          <w:trHeight w:val="522" w:hRule="atLeast"/>
          <w:jc w:val="center"/>
        </w:trPr>
        <w:tc>
          <w:tcPr>
            <w:tcW w:w="409" w:type="pct"/>
            <w:shd w:val="clear" w:color="auto" w:fill="FFFFFF"/>
            <w:vAlign w:val="center"/>
          </w:tcPr>
          <w:p>
            <w:pPr>
              <w:keepNext w:val="0"/>
              <w:keepLines w:val="0"/>
              <w:suppressLineNumbers w:val="0"/>
              <w:tabs>
                <w:tab w:val="left" w:pos="426"/>
              </w:tabs>
              <w:spacing w:before="72" w:beforeLines="30" w:beforeAutospacing="0" w:after="72" w:afterLines="30" w:afterAutospacing="0" w:line="240" w:lineRule="auto"/>
              <w:ind w:left="0" w:right="0"/>
              <w:jc w:val="center"/>
              <w:rPr>
                <w:rFonts w:hint="eastAsia" w:eastAsia="宋体"/>
                <w:color w:val="auto"/>
                <w:szCs w:val="21"/>
                <w:highlight w:val="none"/>
                <w:lang w:val="en-US" w:eastAsia="zh-CN"/>
              </w:rPr>
            </w:pPr>
            <w:r>
              <w:rPr>
                <w:rFonts w:hint="eastAsia"/>
                <w:color w:val="auto"/>
                <w:szCs w:val="21"/>
                <w:highlight w:val="none"/>
                <w:lang w:val="en-US" w:eastAsia="zh-CN"/>
              </w:rPr>
              <w:t>1</w:t>
            </w:r>
          </w:p>
        </w:tc>
        <w:tc>
          <w:tcPr>
            <w:tcW w:w="898" w:type="pct"/>
            <w:shd w:val="clear" w:color="auto" w:fill="FFFFFF"/>
            <w:vAlign w:val="center"/>
          </w:tcPr>
          <w:p>
            <w:pPr>
              <w:keepNext w:val="0"/>
              <w:keepLines w:val="0"/>
              <w:suppressLineNumbers w:val="0"/>
              <w:tabs>
                <w:tab w:val="left" w:pos="426"/>
              </w:tabs>
              <w:spacing w:before="0" w:beforeAutospacing="0" w:after="0" w:afterAutospacing="0" w:line="240" w:lineRule="exact"/>
              <w:ind w:left="0" w:right="0"/>
              <w:jc w:val="center"/>
              <w:rPr>
                <w:rFonts w:hint="default"/>
                <w:color w:val="auto"/>
                <w:szCs w:val="21"/>
                <w:highlight w:val="none"/>
              </w:rPr>
            </w:pPr>
            <w:r>
              <w:rPr>
                <w:rFonts w:hint="eastAsia"/>
                <w:color w:val="auto"/>
                <w:szCs w:val="21"/>
                <w:highlight w:val="none"/>
              </w:rPr>
              <w:t>诚信管理情况</w:t>
            </w:r>
          </w:p>
        </w:tc>
        <w:tc>
          <w:tcPr>
            <w:tcW w:w="272" w:type="pct"/>
            <w:shd w:val="clear" w:color="auto" w:fill="FFFFFF"/>
            <w:vAlign w:val="center"/>
          </w:tcPr>
          <w:p>
            <w:pPr>
              <w:keepNext w:val="0"/>
              <w:keepLines w:val="0"/>
              <w:suppressLineNumbers w:val="0"/>
              <w:tabs>
                <w:tab w:val="left" w:pos="426"/>
              </w:tabs>
              <w:spacing w:before="0" w:beforeAutospacing="0" w:after="0" w:afterAutospacing="0" w:line="240" w:lineRule="exact"/>
              <w:ind w:left="0" w:right="0"/>
              <w:jc w:val="center"/>
              <w:rPr>
                <w:rFonts w:hint="default"/>
                <w:color w:val="auto"/>
                <w:szCs w:val="21"/>
                <w:highlight w:val="none"/>
              </w:rPr>
            </w:pPr>
            <w:r>
              <w:rPr>
                <w:rFonts w:hint="default"/>
                <w:color w:val="auto"/>
                <w:szCs w:val="21"/>
                <w:highlight w:val="none"/>
              </w:rPr>
              <w:t>5</w:t>
            </w:r>
          </w:p>
        </w:tc>
        <w:tc>
          <w:tcPr>
            <w:tcW w:w="2967"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firstLine="420" w:firstLineChars="200"/>
              <w:rPr>
                <w:rFonts w:hint="eastAsia"/>
                <w:color w:val="auto"/>
                <w:szCs w:val="21"/>
                <w:highlight w:val="none"/>
                <w:lang w:val="zh-CN"/>
              </w:rPr>
            </w:pPr>
            <w:r>
              <w:rPr>
                <w:rFonts w:hint="eastAsia"/>
                <w:color w:val="auto"/>
                <w:szCs w:val="21"/>
                <w:highlight w:val="none"/>
                <w:lang w:val="zh-CN"/>
              </w:rPr>
              <w:t>由投标人提供《投标人诚信承诺书》得5分。出现违法违规已被记入供应商诚信档案，且仍在记录有效期的供应商，其诚信分一律为0分，对于受过行政处罚供应商，行政处罚期及记录期满后，可参与政府采购活动，其诚信分不再扣减。</w:t>
            </w:r>
          </w:p>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firstLine="420" w:firstLineChars="200"/>
              <w:rPr>
                <w:rFonts w:hint="default"/>
                <w:color w:val="auto"/>
                <w:szCs w:val="21"/>
                <w:highlight w:val="none"/>
                <w:lang w:val="zh-CN"/>
              </w:rPr>
            </w:pPr>
            <w:r>
              <w:rPr>
                <w:rFonts w:hint="eastAsia"/>
                <w:color w:val="auto"/>
                <w:szCs w:val="21"/>
                <w:highlight w:val="none"/>
                <w:lang w:val="zh-CN"/>
              </w:rPr>
              <w:t>投标人须提供《投标人诚信承诺书》原件并加盖公章，如若投标人承诺与实际情况不相符，将按照虚假投标的情况报相关主管部门处理，承诺书应按招标文件格式填写原件并加盖投标人公章。</w:t>
            </w:r>
          </w:p>
        </w:tc>
        <w:tc>
          <w:tcPr>
            <w:tcW w:w="452" w:type="pct"/>
            <w:shd w:val="clear" w:color="auto" w:fill="FFFFFF"/>
            <w:vAlign w:val="center"/>
          </w:tcPr>
          <w:p>
            <w:pPr>
              <w:keepNext w:val="0"/>
              <w:keepLines w:val="0"/>
              <w:suppressLineNumbers w:val="0"/>
              <w:tabs>
                <w:tab w:val="left" w:pos="426"/>
              </w:tabs>
              <w:autoSpaceDE w:val="0"/>
              <w:autoSpaceDN w:val="0"/>
              <w:spacing w:before="72" w:beforeLines="30" w:beforeAutospacing="0" w:after="72" w:afterLines="30" w:afterAutospacing="0" w:line="240" w:lineRule="auto"/>
              <w:ind w:left="0" w:right="0"/>
              <w:jc w:val="center"/>
              <w:rPr>
                <w:rFonts w:hint="default"/>
                <w:color w:val="auto"/>
                <w:szCs w:val="21"/>
                <w:highlight w:val="none"/>
                <w:lang w:val="zh-CN"/>
              </w:rPr>
            </w:pPr>
            <w:r>
              <w:rPr>
                <w:rFonts w:hint="eastAsia"/>
                <w:color w:val="auto"/>
                <w:szCs w:val="21"/>
                <w:highlight w:val="none"/>
                <w:lang w:val="zh-CN"/>
              </w:rPr>
              <w:t>专家打分</w:t>
            </w:r>
          </w:p>
        </w:tc>
      </w:tr>
    </w:tbl>
    <w:p>
      <w:pPr>
        <w:rPr>
          <w:color w:val="auto"/>
          <w:highlight w:val="none"/>
        </w:rPr>
      </w:pPr>
    </w:p>
    <w:p>
      <w:pPr>
        <w:rPr>
          <w:color w:val="auto"/>
          <w:highlight w:val="none"/>
        </w:rPr>
      </w:pPr>
    </w:p>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panose1 w:val="02010600030101010101"/>
    <w:charset w:val="7A"/>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Calibri Light">
    <w:altName w:val="Helvetica Neue"/>
    <w:panose1 w:val="020F0302020204030204"/>
    <w:charset w:val="00"/>
    <w:family w:val="swiss"/>
    <w:pitch w:val="default"/>
    <w:sig w:usb0="00000000" w:usb1="00000000" w:usb2="00000009" w:usb3="00000000" w:csb0="200001FF" w:csb1="00000000"/>
  </w:font>
  <w:font w:name="Cambria">
    <w:altName w:val="苹方-简"/>
    <w:panose1 w:val="02040503050406030204"/>
    <w:charset w:val="00"/>
    <w:family w:val="roman"/>
    <w:pitch w:val="default"/>
    <w:sig w:usb0="00000000" w:usb1="00000000" w:usb2="02000000" w:usb3="00000000" w:csb0="2000019F" w:csb1="00000000"/>
  </w:font>
  <w:font w:name="苹方-简">
    <w:panose1 w:val="020B0400000000000000"/>
    <w:charset w:val="86"/>
    <w:family w:val="auto"/>
    <w:pitch w:val="default"/>
    <w:sig w:usb0="00000000" w:usb1="00000000" w:usb2="00000000" w:usb3="00000000" w:csb0="00160000" w:csb1="00000000"/>
  </w:font>
  <w:font w:name="隶书">
    <w:altName w:val="宋体"/>
    <w:panose1 w:val="02010509060101010101"/>
    <w:charset w:val="86"/>
    <w:family w:val="modern"/>
    <w:pitch w:val="default"/>
    <w:sig w:usb0="00000000" w:usb1="00000000" w:usb2="00000000" w:usb3="00000000" w:csb0="00040000" w:csb1="00000000"/>
  </w:font>
  <w:font w:name="长城仿宋">
    <w:altName w:val="方正仿宋_GBK"/>
    <w:panose1 w:val="00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仿宋_GB2312">
    <w:panose1 w:val="02010609030101010101"/>
    <w:charset w:val="86"/>
    <w:family w:val="modern"/>
    <w:pitch w:val="default"/>
    <w:sig w:usb0="00000000" w:usb1="00000000" w:usb2="00000000" w:usb3="00000000" w:csb0="00060000" w:csb1="00000000"/>
  </w:font>
  <w:font w:name="仿宋">
    <w:altName w:val="方正仿宋_GBK"/>
    <w:panose1 w:val="02010609060101010101"/>
    <w:charset w:val="86"/>
    <w:family w:val="auto"/>
    <w:pitch w:val="default"/>
    <w:sig w:usb0="00000000" w:usb1="00000000" w:usb2="00000016" w:usb3="00000000" w:csb0="00040001" w:csb1="00000000"/>
  </w:font>
  <w:font w:name="PMingLiU">
    <w:altName w:val="宋体-繁"/>
    <w:panose1 w:val="02020500000000000000"/>
    <w:charset w:val="88"/>
    <w:family w:val="roman"/>
    <w:pitch w:val="default"/>
    <w:sig w:usb0="00000000" w:usb1="00000000" w:usb2="00000016" w:usb3="00000000" w:csb0="00100001" w:csb1="00000000"/>
  </w:font>
  <w:font w:name="宋体-繁">
    <w:panose1 w:val="02010600040101010101"/>
    <w:charset w:val="86"/>
    <w:family w:val="auto"/>
    <w:pitch w:val="default"/>
    <w:sig w:usb0="00000000" w:usb1="00000000" w:usb2="00000000" w:usb3="00000000" w:csb0="00160000" w:csb1="00000000"/>
  </w:font>
  <w:font w:name="Wingdings 2">
    <w:panose1 w:val="05020102010507070707"/>
    <w:charset w:val="02"/>
    <w:family w:val="roman"/>
    <w:pitch w:val="default"/>
    <w:sig w:usb0="00000000" w:usb1="00000000" w:usb2="00000000" w:usb3="00000000" w:csb0="00000000" w:csb1="00000000"/>
  </w:font>
  <w:font w:name="Helvetica">
    <w:panose1 w:val="00000000000000000000"/>
    <w:charset w:val="00"/>
    <w:family w:val="auto"/>
    <w:pitch w:val="default"/>
    <w:sig w:usb0="00000000" w:usb1="00000000" w:usb2="00000000" w:usb3="00000000" w:csb0="00000000"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ˎ̥">
    <w:altName w:val="苹方-简"/>
    <w:panose1 w:val="00000000000000000000"/>
    <w:charset w:val="00"/>
    <w:family w:val="roman"/>
    <w:pitch w:val="default"/>
    <w:sig w:usb0="00000000" w:usb1="00000000" w:usb2="00000000" w:usb3="00000000" w:csb0="00040001" w:csb1="00000000"/>
  </w:font>
  <w:font w:name="Kingsoft Sign">
    <w:panose1 w:val="05050102010706020507"/>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fldChar w:fldCharType="begin"/>
                          </w:r>
                          <w:r>
                            <w:instrText xml:space="preserve"> PAGE   \* MERGEFORMAT </w:instrText>
                          </w:r>
                          <w:r>
                            <w:fldChar w:fldCharType="separate"/>
                          </w:r>
                          <w:r>
                            <w:rPr>
                              <w:lang w:val="zh-CN"/>
                            </w:rPr>
                            <w:t>40</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12"/>
                      <w:jc w:val="center"/>
                    </w:pPr>
                    <w:r>
                      <w:fldChar w:fldCharType="begin"/>
                    </w:r>
                    <w:r>
                      <w:instrText xml:space="preserve"> PAGE   \* MERGEFORMAT </w:instrText>
                    </w:r>
                    <w:r>
                      <w:fldChar w:fldCharType="separate"/>
                    </w:r>
                    <w:r>
                      <w:rPr>
                        <w:lang w:val="zh-CN"/>
                      </w:rPr>
                      <w:t>40</w:t>
                    </w:r>
                    <w:r>
                      <w:rPr>
                        <w:lang w:val="zh-CN"/>
                      </w:rPr>
                      <w:fldChar w:fldCharType="end"/>
                    </w:r>
                  </w:p>
                </w:txbxContent>
              </v:textbox>
            </v:shape>
          </w:pict>
        </mc:Fallback>
      </mc:AlternateContent>
    </w:r>
  </w:p>
  <w:p>
    <w:pPr>
      <w:pStyle w:val="12"/>
      <w:jc w:val="right"/>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ACCE2F"/>
    <w:multiLevelType w:val="singleLevel"/>
    <w:tmpl w:val="CDACCE2F"/>
    <w:lvl w:ilvl="0" w:tentative="0">
      <w:start w:val="5"/>
      <w:numFmt w:val="chineseCounting"/>
      <w:suff w:val="space"/>
      <w:lvlText w:val="第%1章"/>
      <w:lvlJc w:val="left"/>
      <w:rPr>
        <w:rFonts w:hint="eastAsia"/>
        <w:sz w:val="32"/>
        <w:szCs w:val="32"/>
      </w:rPr>
    </w:lvl>
  </w:abstractNum>
  <w:abstractNum w:abstractNumId="1">
    <w:nsid w:val="013C7C07"/>
    <w:multiLevelType w:val="multilevel"/>
    <w:tmpl w:val="013C7C07"/>
    <w:lvl w:ilvl="0" w:tentative="0">
      <w:start w:val="1"/>
      <w:numFmt w:val="decimal"/>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06D54DEB"/>
    <w:multiLevelType w:val="multilevel"/>
    <w:tmpl w:val="06D54DEB"/>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4FC15FC"/>
    <w:multiLevelType w:val="multilevel"/>
    <w:tmpl w:val="24FC15F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Paren"/>
      <w:lvlText w:val="%3"/>
      <w:lvlJc w:val="left"/>
      <w:pPr>
        <w:ind w:left="1200" w:hanging="360"/>
      </w:pPr>
      <w:rPr>
        <w:rFonts w:hint="default" w:hAnsi="宋体"/>
        <w:b/>
        <w:bCs/>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7A1894F"/>
    <w:multiLevelType w:val="singleLevel"/>
    <w:tmpl w:val="37A1894F"/>
    <w:lvl w:ilvl="0" w:tentative="0">
      <w:start w:val="4"/>
      <w:numFmt w:val="chineseCounting"/>
      <w:suff w:val="space"/>
      <w:lvlText w:val="第%1章"/>
      <w:lvlJc w:val="left"/>
      <w:rPr>
        <w:rFonts w:hint="eastAsia"/>
        <w:b/>
        <w:bCs/>
        <w:sz w:val="32"/>
        <w:szCs w:val="32"/>
      </w:rPr>
    </w:lvl>
  </w:abstractNum>
  <w:abstractNum w:abstractNumId="5">
    <w:nsid w:val="3A8C4C78"/>
    <w:multiLevelType w:val="multilevel"/>
    <w:tmpl w:val="3A8C4C78"/>
    <w:lvl w:ilvl="0" w:tentative="0">
      <w:start w:val="1"/>
      <w:numFmt w:val="decimal"/>
      <w:lvlText w:val="格式%1"/>
      <w:lvlJc w:val="left"/>
      <w:pPr>
        <w:tabs>
          <w:tab w:val="left" w:pos="425"/>
        </w:tabs>
        <w:ind w:left="425" w:hanging="425"/>
      </w:pPr>
      <w:rPr>
        <w:rFonts w:hint="eastAsia" w:ascii="黑体" w:eastAsia="黑体"/>
        <w:b w:val="0"/>
        <w:color w:val="auto"/>
        <w:sz w:val="28"/>
        <w:szCs w:val="28"/>
      </w:rPr>
    </w:lvl>
    <w:lvl w:ilvl="1" w:tentative="0">
      <w:start w:val="1"/>
      <w:numFmt w:val="decimal"/>
      <w:lvlText w:val="%1.%2"/>
      <w:lvlJc w:val="left"/>
      <w:pPr>
        <w:tabs>
          <w:tab w:val="left" w:pos="-142"/>
        </w:tabs>
        <w:ind w:left="-142" w:hanging="567"/>
      </w:pPr>
      <w:rPr>
        <w:rFonts w:hint="eastAsia"/>
      </w:rPr>
    </w:lvl>
    <w:lvl w:ilvl="2" w:tentative="0">
      <w:start w:val="1"/>
      <w:numFmt w:val="decimal"/>
      <w:lvlText w:val="%1.%2.%3"/>
      <w:lvlJc w:val="left"/>
      <w:pPr>
        <w:tabs>
          <w:tab w:val="left" w:pos="284"/>
        </w:tabs>
        <w:ind w:left="284" w:hanging="567"/>
      </w:pPr>
      <w:rPr>
        <w:rFonts w:hint="eastAsia"/>
      </w:rPr>
    </w:lvl>
    <w:lvl w:ilvl="3" w:tentative="0">
      <w:start w:val="1"/>
      <w:numFmt w:val="decimal"/>
      <w:lvlText w:val="%1.%2.%3.%4"/>
      <w:lvlJc w:val="left"/>
      <w:pPr>
        <w:tabs>
          <w:tab w:val="left" w:pos="1222"/>
        </w:tabs>
        <w:ind w:left="850" w:hanging="708"/>
      </w:pPr>
      <w:rPr>
        <w:rFonts w:hint="eastAsia"/>
      </w:rPr>
    </w:lvl>
    <w:lvl w:ilvl="4" w:tentative="0">
      <w:start w:val="1"/>
      <w:numFmt w:val="decimal"/>
      <w:lvlText w:val="%1.%2.%3.%4.%5"/>
      <w:lvlJc w:val="left"/>
      <w:pPr>
        <w:tabs>
          <w:tab w:val="left" w:pos="1647"/>
        </w:tabs>
        <w:ind w:left="1417" w:hanging="850"/>
      </w:pPr>
      <w:rPr>
        <w:rFonts w:hint="eastAsia"/>
      </w:rPr>
    </w:lvl>
    <w:lvl w:ilvl="5" w:tentative="0">
      <w:start w:val="1"/>
      <w:numFmt w:val="decimal"/>
      <w:lvlText w:val="%1.%2.%3.%4.%5.%6"/>
      <w:lvlJc w:val="left"/>
      <w:pPr>
        <w:tabs>
          <w:tab w:val="left" w:pos="2432"/>
        </w:tabs>
        <w:ind w:left="2126" w:hanging="1134"/>
      </w:pPr>
      <w:rPr>
        <w:rFonts w:hint="eastAsia"/>
      </w:rPr>
    </w:lvl>
    <w:lvl w:ilvl="6" w:tentative="0">
      <w:start w:val="1"/>
      <w:numFmt w:val="decimal"/>
      <w:lvlText w:val="%1.%2.%3.%4.%5.%6.%7"/>
      <w:lvlJc w:val="left"/>
      <w:pPr>
        <w:tabs>
          <w:tab w:val="left" w:pos="2857"/>
        </w:tabs>
        <w:ind w:left="2693" w:hanging="1276"/>
      </w:pPr>
      <w:rPr>
        <w:rFonts w:hint="eastAsia"/>
      </w:rPr>
    </w:lvl>
    <w:lvl w:ilvl="7" w:tentative="0">
      <w:start w:val="1"/>
      <w:numFmt w:val="decimal"/>
      <w:lvlText w:val="%1.%2.%3.%4.%5.%6.%7.%8"/>
      <w:lvlJc w:val="left"/>
      <w:pPr>
        <w:tabs>
          <w:tab w:val="left" w:pos="3642"/>
        </w:tabs>
        <w:ind w:left="3260" w:hanging="1418"/>
      </w:pPr>
      <w:rPr>
        <w:rFonts w:hint="eastAsia"/>
      </w:rPr>
    </w:lvl>
    <w:lvl w:ilvl="8" w:tentative="0">
      <w:start w:val="1"/>
      <w:numFmt w:val="decimal"/>
      <w:lvlText w:val="%1.%2.%3.%4.%5.%6.%7.%8.%9"/>
      <w:lvlJc w:val="left"/>
      <w:pPr>
        <w:tabs>
          <w:tab w:val="left" w:pos="4068"/>
        </w:tabs>
        <w:ind w:left="3968" w:hanging="1700"/>
      </w:pPr>
      <w:rPr>
        <w:rFonts w:hint="eastAsia"/>
      </w:rPr>
    </w:lvl>
  </w:abstractNum>
  <w:abstractNum w:abstractNumId="6">
    <w:nsid w:val="5C36B359"/>
    <w:multiLevelType w:val="singleLevel"/>
    <w:tmpl w:val="5C36B359"/>
    <w:lvl w:ilvl="0" w:tentative="0">
      <w:start w:val="1"/>
      <w:numFmt w:val="decimal"/>
      <w:suff w:val="nothing"/>
      <w:lvlText w:val="%1．"/>
      <w:lvlJc w:val="left"/>
      <w:pPr>
        <w:ind w:left="0" w:firstLine="400"/>
      </w:pPr>
      <w:rPr>
        <w:rFonts w:hint="default"/>
      </w:rPr>
    </w:lvl>
  </w:abstractNum>
  <w:abstractNum w:abstractNumId="7">
    <w:nsid w:val="779A2F44"/>
    <w:multiLevelType w:val="multilevel"/>
    <w:tmpl w:val="779A2F44"/>
    <w:lvl w:ilvl="0" w:tentative="0">
      <w:start w:val="1"/>
      <w:numFmt w:val="chineseCountingThousand"/>
      <w:lvlText w:val="%1、"/>
      <w:lvlJc w:val="left"/>
      <w:pPr>
        <w:tabs>
          <w:tab w:val="left" w:pos="945"/>
        </w:tabs>
        <w:ind w:left="945" w:hanging="420"/>
      </w:p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8">
    <w:nsid w:val="7804AD9E"/>
    <w:multiLevelType w:val="singleLevel"/>
    <w:tmpl w:val="7804AD9E"/>
    <w:lvl w:ilvl="0" w:tentative="0">
      <w:start w:val="1"/>
      <w:numFmt w:val="decimal"/>
      <w:lvlText w:val="%1."/>
      <w:lvlJc w:val="left"/>
      <w:pPr>
        <w:ind w:left="425" w:hanging="425"/>
      </w:pPr>
      <w:rPr>
        <w:rFonts w:hint="default"/>
      </w:rPr>
    </w:lvl>
  </w:abstractNum>
  <w:num w:numId="1">
    <w:abstractNumId w:val="4"/>
  </w:num>
  <w:num w:numId="2">
    <w:abstractNumId w:val="1"/>
  </w:num>
  <w:num w:numId="3">
    <w:abstractNumId w:val="3"/>
  </w:num>
  <w:num w:numId="4">
    <w:abstractNumId w:val="0"/>
  </w:num>
  <w:num w:numId="5">
    <w:abstractNumId w:val="8"/>
  </w:num>
  <w:num w:numId="6">
    <w:abstractNumId w:val="5"/>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YTBkMmRiYWU4ODM1YTczNTM1ZGVmMTYzNjFiOTIifQ=="/>
  </w:docVars>
  <w:rsids>
    <w:rsidRoot w:val="00000000"/>
    <w:rsid w:val="00417301"/>
    <w:rsid w:val="0091280D"/>
    <w:rsid w:val="00A35388"/>
    <w:rsid w:val="00BA10AB"/>
    <w:rsid w:val="033843C4"/>
    <w:rsid w:val="08031F33"/>
    <w:rsid w:val="088A47EF"/>
    <w:rsid w:val="092E2FE0"/>
    <w:rsid w:val="0940373D"/>
    <w:rsid w:val="09966287"/>
    <w:rsid w:val="0A1176EF"/>
    <w:rsid w:val="0A4D0A3D"/>
    <w:rsid w:val="0A597392"/>
    <w:rsid w:val="0B975A77"/>
    <w:rsid w:val="0D6F4953"/>
    <w:rsid w:val="0DB00467"/>
    <w:rsid w:val="0E26072A"/>
    <w:rsid w:val="0EFF71F1"/>
    <w:rsid w:val="11147E4C"/>
    <w:rsid w:val="111D41BA"/>
    <w:rsid w:val="1242618B"/>
    <w:rsid w:val="136E6DFB"/>
    <w:rsid w:val="13953804"/>
    <w:rsid w:val="13CC1A30"/>
    <w:rsid w:val="145442A9"/>
    <w:rsid w:val="145F6743"/>
    <w:rsid w:val="156313FF"/>
    <w:rsid w:val="16526560"/>
    <w:rsid w:val="166938A9"/>
    <w:rsid w:val="179828DB"/>
    <w:rsid w:val="1C291A30"/>
    <w:rsid w:val="1C417326"/>
    <w:rsid w:val="1CBA7554"/>
    <w:rsid w:val="1CE6371B"/>
    <w:rsid w:val="1CEB5018"/>
    <w:rsid w:val="1CEC0D90"/>
    <w:rsid w:val="1EE048C2"/>
    <w:rsid w:val="1F416307"/>
    <w:rsid w:val="1FFE1461"/>
    <w:rsid w:val="22283F0A"/>
    <w:rsid w:val="226002D5"/>
    <w:rsid w:val="235B6E8E"/>
    <w:rsid w:val="236F51A4"/>
    <w:rsid w:val="25136F03"/>
    <w:rsid w:val="25AF60E0"/>
    <w:rsid w:val="27857098"/>
    <w:rsid w:val="28D05EF1"/>
    <w:rsid w:val="2A9008B9"/>
    <w:rsid w:val="2AD25A69"/>
    <w:rsid w:val="2BF81500"/>
    <w:rsid w:val="2D8E38E6"/>
    <w:rsid w:val="2DEE020F"/>
    <w:rsid w:val="2EC35DF5"/>
    <w:rsid w:val="2FE00F8F"/>
    <w:rsid w:val="30861CF0"/>
    <w:rsid w:val="316273B9"/>
    <w:rsid w:val="3198265A"/>
    <w:rsid w:val="31F716F4"/>
    <w:rsid w:val="329518F0"/>
    <w:rsid w:val="330564BA"/>
    <w:rsid w:val="36A4126F"/>
    <w:rsid w:val="37A5619E"/>
    <w:rsid w:val="38AF0C1B"/>
    <w:rsid w:val="38DE0A81"/>
    <w:rsid w:val="391E7172"/>
    <w:rsid w:val="39924D42"/>
    <w:rsid w:val="39CB3BFF"/>
    <w:rsid w:val="39FC21BB"/>
    <w:rsid w:val="3A7D563D"/>
    <w:rsid w:val="3A803D25"/>
    <w:rsid w:val="3A8D72B7"/>
    <w:rsid w:val="3B935F42"/>
    <w:rsid w:val="3D3C56EA"/>
    <w:rsid w:val="3E734052"/>
    <w:rsid w:val="3EE611E2"/>
    <w:rsid w:val="40D53766"/>
    <w:rsid w:val="41566D2F"/>
    <w:rsid w:val="42162B4B"/>
    <w:rsid w:val="421B3DA2"/>
    <w:rsid w:val="430159A0"/>
    <w:rsid w:val="43A563AB"/>
    <w:rsid w:val="442A5682"/>
    <w:rsid w:val="4465554C"/>
    <w:rsid w:val="44E53515"/>
    <w:rsid w:val="469037DA"/>
    <w:rsid w:val="47762566"/>
    <w:rsid w:val="47F620CA"/>
    <w:rsid w:val="48B94158"/>
    <w:rsid w:val="49DE368B"/>
    <w:rsid w:val="4B940D69"/>
    <w:rsid w:val="4C3B0583"/>
    <w:rsid w:val="4D104DBF"/>
    <w:rsid w:val="4F8810AF"/>
    <w:rsid w:val="4FF134F8"/>
    <w:rsid w:val="504B43F2"/>
    <w:rsid w:val="508D0E61"/>
    <w:rsid w:val="50A70D51"/>
    <w:rsid w:val="51137D03"/>
    <w:rsid w:val="51FA7D9C"/>
    <w:rsid w:val="528648C0"/>
    <w:rsid w:val="52BD44B8"/>
    <w:rsid w:val="52C8137C"/>
    <w:rsid w:val="54A14058"/>
    <w:rsid w:val="5551361A"/>
    <w:rsid w:val="556233C2"/>
    <w:rsid w:val="5652111E"/>
    <w:rsid w:val="569F0898"/>
    <w:rsid w:val="571133B8"/>
    <w:rsid w:val="572D32F4"/>
    <w:rsid w:val="59AC5611"/>
    <w:rsid w:val="5A0F0A87"/>
    <w:rsid w:val="5C5D596D"/>
    <w:rsid w:val="5E0E300E"/>
    <w:rsid w:val="5E8E40F2"/>
    <w:rsid w:val="5EF7613F"/>
    <w:rsid w:val="60AE4CFE"/>
    <w:rsid w:val="62916B09"/>
    <w:rsid w:val="647C7B14"/>
    <w:rsid w:val="64DE67DD"/>
    <w:rsid w:val="6558733B"/>
    <w:rsid w:val="670D183E"/>
    <w:rsid w:val="67394662"/>
    <w:rsid w:val="673F4998"/>
    <w:rsid w:val="67755D57"/>
    <w:rsid w:val="67AC658B"/>
    <w:rsid w:val="69D97861"/>
    <w:rsid w:val="71B7463E"/>
    <w:rsid w:val="728C751D"/>
    <w:rsid w:val="73DC672F"/>
    <w:rsid w:val="74872AED"/>
    <w:rsid w:val="762817A1"/>
    <w:rsid w:val="77133BC1"/>
    <w:rsid w:val="77205C9F"/>
    <w:rsid w:val="776B57DF"/>
    <w:rsid w:val="785637A0"/>
    <w:rsid w:val="78F32E60"/>
    <w:rsid w:val="7C4A1CAF"/>
    <w:rsid w:val="7C4D2E06"/>
    <w:rsid w:val="7CB43C54"/>
    <w:rsid w:val="7D482171"/>
    <w:rsid w:val="7E113999"/>
    <w:rsid w:val="7FE61555"/>
    <w:rsid w:val="83F7CA49"/>
    <w:rsid w:val="A6BF8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val="0"/>
      <w:keepLines w:val="0"/>
      <w:tabs>
        <w:tab w:val="left" w:pos="426"/>
      </w:tabs>
      <w:spacing w:before="340" w:after="330" w:line="300" w:lineRule="auto"/>
      <w:jc w:val="center"/>
      <w:outlineLvl w:val="0"/>
    </w:pPr>
    <w:rPr>
      <w:rFonts w:eastAsia="黑体"/>
      <w:kern w:val="44"/>
      <w:sz w:val="28"/>
      <w:szCs w:val="28"/>
    </w:rPr>
  </w:style>
  <w:style w:type="paragraph" w:styleId="6">
    <w:name w:val="heading 2"/>
    <w:basedOn w:val="1"/>
    <w:next w:val="1"/>
    <w:qFormat/>
    <w:uiPriority w:val="0"/>
    <w:pPr>
      <w:spacing w:line="360" w:lineRule="auto"/>
      <w:jc w:val="center"/>
      <w:outlineLvl w:val="1"/>
    </w:pPr>
    <w:rPr>
      <w:rFonts w:ascii="黑体" w:hAnsi="宋体" w:eastAsia="黑体"/>
      <w:sz w:val="28"/>
      <w:szCs w:val="21"/>
    </w:rPr>
  </w:style>
  <w:style w:type="paragraph" w:styleId="4">
    <w:name w:val="heading 3"/>
    <w:basedOn w:val="5"/>
    <w:next w:val="1"/>
    <w:qFormat/>
    <w:uiPriority w:val="0"/>
    <w:pPr>
      <w:keepNext/>
      <w:keepLines/>
      <w:spacing w:before="260" w:after="260" w:line="416" w:lineRule="auto"/>
      <w:outlineLvl w:val="2"/>
    </w:pPr>
    <w:rPr>
      <w:kern w:val="0"/>
      <w:sz w:val="32"/>
      <w:szCs w:val="32"/>
    </w:rPr>
  </w:style>
  <w:style w:type="paragraph" w:styleId="5">
    <w:name w:val="heading 4"/>
    <w:basedOn w:val="1"/>
    <w:next w:val="1"/>
    <w:qFormat/>
    <w:uiPriority w:val="9"/>
    <w:pPr>
      <w:keepNext/>
      <w:keepLines/>
      <w:spacing w:before="280" w:after="290" w:line="376" w:lineRule="auto"/>
      <w:outlineLvl w:val="3"/>
    </w:pPr>
    <w:rPr>
      <w:rFonts w:ascii="Calibri Light" w:hAnsi="Calibri Light"/>
      <w:b/>
      <w:bCs/>
      <w:kern w:val="0"/>
      <w:sz w:val="28"/>
      <w:szCs w:val="28"/>
    </w:rPr>
  </w:style>
  <w:style w:type="character" w:default="1" w:styleId="20">
    <w:name w:val="Default Paragraph Font"/>
    <w:semiHidden/>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szCs w:val="22"/>
    </w:rPr>
  </w:style>
  <w:style w:type="paragraph" w:styleId="7">
    <w:name w:val="Normal Indent"/>
    <w:basedOn w:val="1"/>
    <w:qFormat/>
    <w:uiPriority w:val="0"/>
    <w:pPr>
      <w:ind w:firstLine="420" w:firstLineChars="200"/>
    </w:pPr>
    <w:rPr>
      <w:szCs w:val="20"/>
    </w:rPr>
  </w:style>
  <w:style w:type="paragraph" w:styleId="8">
    <w:name w:val="annotation text"/>
    <w:basedOn w:val="1"/>
    <w:qFormat/>
    <w:uiPriority w:val="0"/>
    <w:pPr>
      <w:jc w:val="left"/>
    </w:pPr>
  </w:style>
  <w:style w:type="paragraph" w:styleId="9">
    <w:name w:val="toc 3"/>
    <w:basedOn w:val="1"/>
    <w:next w:val="1"/>
    <w:unhideWhenUsed/>
    <w:qFormat/>
    <w:uiPriority w:val="39"/>
    <w:pPr>
      <w:ind w:left="840" w:leftChars="400"/>
    </w:pPr>
  </w:style>
  <w:style w:type="paragraph" w:styleId="10">
    <w:name w:val="Plain Text"/>
    <w:basedOn w:val="1"/>
    <w:unhideWhenUsed/>
    <w:qFormat/>
    <w:uiPriority w:val="99"/>
    <w:rPr>
      <w:rFonts w:ascii="宋体" w:hAnsi="Courier New"/>
      <w:szCs w:val="20"/>
    </w:rPr>
  </w:style>
  <w:style w:type="paragraph" w:styleId="11">
    <w:name w:val="Balloon Text"/>
    <w:basedOn w:val="1"/>
    <w:qFormat/>
    <w:uiPriority w:val="99"/>
    <w:rPr>
      <w:sz w:val="18"/>
      <w:szCs w:val="18"/>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unhideWhenUsed/>
    <w:qFormat/>
    <w:uiPriority w:val="39"/>
    <w:pPr>
      <w:tabs>
        <w:tab w:val="right" w:leader="dot" w:pos="8296"/>
      </w:tabs>
      <w:jc w:val="center"/>
    </w:pPr>
    <w:rPr>
      <w:b/>
      <w:sz w:val="30"/>
      <w:szCs w:val="30"/>
    </w:rPr>
  </w:style>
  <w:style w:type="paragraph" w:styleId="15">
    <w:name w:val="Subtitle"/>
    <w:basedOn w:val="1"/>
    <w:next w:val="1"/>
    <w:qFormat/>
    <w:uiPriority w:val="0"/>
    <w:pPr>
      <w:tabs>
        <w:tab w:val="left" w:pos="426"/>
      </w:tabs>
      <w:spacing w:before="240" w:after="60" w:line="312" w:lineRule="auto"/>
      <w:jc w:val="center"/>
      <w:outlineLvl w:val="1"/>
    </w:pPr>
    <w:rPr>
      <w:rFonts w:ascii="Cambria" w:hAnsi="Cambria" w:cs="Times New Roman"/>
      <w:b/>
      <w:bCs/>
      <w:kern w:val="28"/>
      <w:sz w:val="28"/>
      <w:szCs w:val="32"/>
    </w:rPr>
  </w:style>
  <w:style w:type="paragraph" w:styleId="16">
    <w:name w:val="toc 2"/>
    <w:basedOn w:val="1"/>
    <w:next w:val="1"/>
    <w:unhideWhenUsed/>
    <w:qFormat/>
    <w:uiPriority w:val="39"/>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spacing w:before="240" w:after="60"/>
      <w:jc w:val="center"/>
      <w:outlineLvl w:val="0"/>
    </w:pPr>
    <w:rPr>
      <w:rFonts w:ascii="Arial" w:hAnsi="Arial" w:eastAsia="隶书"/>
      <w:b/>
      <w:bCs/>
      <w:sz w:val="32"/>
      <w:szCs w:val="32"/>
    </w:rPr>
  </w:style>
  <w:style w:type="character" w:styleId="21">
    <w:name w:val="page number"/>
    <w:basedOn w:val="20"/>
    <w:qFormat/>
    <w:uiPriority w:val="0"/>
  </w:style>
  <w:style w:type="character" w:customStyle="1" w:styleId="22">
    <w:name w:val="Hyperlink.0"/>
    <w:qFormat/>
    <w:uiPriority w:val="0"/>
    <w:rPr>
      <w:rFonts w:ascii="宋体" w:hAnsi="宋体" w:eastAsia="宋体" w:cs="宋体"/>
      <w:lang w:val="en-US" w:eastAsia="zh-TW"/>
    </w:rPr>
  </w:style>
  <w:style w:type="paragraph" w:customStyle="1" w:styleId="23">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24">
    <w:name w:val="表格文字"/>
    <w:basedOn w:val="1"/>
    <w:qFormat/>
    <w:uiPriority w:val="0"/>
    <w:pPr>
      <w:tabs>
        <w:tab w:val="left" w:pos="426"/>
      </w:tabs>
      <w:spacing w:before="25" w:after="25"/>
      <w:jc w:val="left"/>
    </w:pPr>
    <w:rPr>
      <w:spacing w:val="10"/>
      <w:kern w:val="0"/>
      <w:sz w:val="24"/>
    </w:rPr>
  </w:style>
  <w:style w:type="paragraph" w:customStyle="1" w:styleId="25">
    <w:name w:val="列出段落1"/>
    <w:basedOn w:val="1"/>
    <w:qFormat/>
    <w:uiPriority w:val="34"/>
    <w:pPr>
      <w:ind w:firstLine="420" w:firstLineChars="200"/>
    </w:pPr>
    <w:rPr>
      <w:rFonts w:ascii="Calibri" w:hAnsi="Calibri"/>
    </w:rPr>
  </w:style>
  <w:style w:type="paragraph" w:customStyle="1" w:styleId="26">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27">
    <w:name w:val="初步设计 正文"/>
    <w:qFormat/>
    <w:uiPriority w:val="0"/>
    <w:rPr>
      <w:rFonts w:ascii="宋体" w:hAnsi="宋体"/>
      <w:color w:val="000000"/>
    </w:rPr>
  </w:style>
  <w:style w:type="paragraph" w:customStyle="1" w:styleId="28">
    <w:name w:val="USE 1"/>
    <w:basedOn w:val="1"/>
    <w:qFormat/>
    <w:uiPriority w:val="0"/>
    <w:pPr>
      <w:spacing w:line="200" w:lineRule="atLeast"/>
      <w:jc w:val="left"/>
    </w:pPr>
    <w:rPr>
      <w:rFonts w:ascii="宋体" w:hAnsi="宋体"/>
      <w:b/>
      <w:sz w:val="24"/>
      <w:szCs w:val="28"/>
    </w:rPr>
  </w:style>
  <w:style w:type="paragraph" w:customStyle="1" w:styleId="29">
    <w:name w:val="z-窗体顶端1"/>
    <w:basedOn w:val="1"/>
    <w:next w:val="1"/>
    <w:qFormat/>
    <w:uiPriority w:val="0"/>
    <w:pPr>
      <w:widowControl/>
      <w:spacing w:line="360" w:lineRule="auto"/>
      <w:jc w:val="center"/>
    </w:pPr>
    <w:rPr>
      <w:rFonts w:ascii="宋体"/>
      <w:b/>
      <w:bCs/>
      <w:kern w:val="0"/>
      <w:sz w:val="28"/>
      <w:szCs w:val="20"/>
    </w:rPr>
  </w:style>
  <w:style w:type="paragraph" w:customStyle="1" w:styleId="30">
    <w:name w:val="Table Paragraph"/>
    <w:basedOn w:val="1"/>
    <w:qFormat/>
    <w:uiPriority w:val="0"/>
    <w:pPr>
      <w:autoSpaceDE w:val="0"/>
      <w:autoSpaceDN w:val="0"/>
      <w:jc w:val="left"/>
    </w:pPr>
    <w:rPr>
      <w:rFonts w:ascii="宋体" w:hAnsi="宋体" w:cs="宋体"/>
      <w:kern w:val="0"/>
      <w:sz w:val="22"/>
      <w:szCs w:val="22"/>
    </w:rPr>
  </w:style>
  <w:style w:type="paragraph" w:customStyle="1" w:styleId="31">
    <w:name w:val="x-scop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2">
    <w:name w:val="qowt-font5-gb2312"/>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74741</Words>
  <Characters>77827</Characters>
  <Lines>0</Lines>
  <Paragraphs>0</Paragraphs>
  <TotalTime>6</TotalTime>
  <ScaleCrop>false</ScaleCrop>
  <LinksUpToDate>false</LinksUpToDate>
  <CharactersWithSpaces>82592</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2021-11-03T23:22:00Z</dcterms:created>
  <dc:creator>admin</dc:creator>
  <cp:lastModifiedBy>tangtangtang</cp:lastModifiedBy>
  <dcterms:modified xsi:type="dcterms:W3CDTF">2023-02-27T14:12:03Z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4B6AA173D88BAB46B349FC63D75A0903_43</vt:lpwstr>
  </property>
</Properties>
</file>