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bookmarkStart w:id="28" w:name="_GoBack"/>
      <w:bookmarkEnd w:id="28"/>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w:t>
      </w:r>
      <w:r>
        <w:rPr>
          <w:rFonts w:ascii="宋体" w:hAnsi="宋体" w:cs="宋体"/>
          <w:b/>
          <w:sz w:val="36"/>
          <w:szCs w:val="36"/>
        </w:rPr>
        <w:t>QH2022054</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9"/>
        <w:ind w:firstLine="420"/>
        <w:rPr>
          <w:rFonts w:ascii="宋体" w:hAnsi="宋体" w:cs="宋体"/>
        </w:rPr>
      </w:pPr>
    </w:p>
    <w:p>
      <w:pPr>
        <w:pStyle w:val="29"/>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b/>
          <w:sz w:val="36"/>
          <w:szCs w:val="36"/>
        </w:rPr>
        <w:t>对标香港营商规则研究咨询项目</w:t>
      </w:r>
    </w:p>
    <w:p>
      <w:pPr>
        <w:ind w:firstLine="3264" w:firstLineChars="739"/>
        <w:rPr>
          <w:rFonts w:ascii="宋体" w:hAnsi="宋体" w:cs="宋体"/>
          <w:b/>
          <w:sz w:val="44"/>
        </w:rPr>
      </w:pPr>
    </w:p>
    <w:p>
      <w:pPr>
        <w:pStyle w:val="29"/>
        <w:ind w:firstLine="0" w:firstLineChars="0"/>
        <w:rPr>
          <w:rFonts w:ascii="宋体" w:hAnsi="宋体" w:cs="宋体"/>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2022年11月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rPr>
        <w:t>对标香港营商环境规则咨询项目（招标编号：</w:t>
      </w:r>
      <w:r>
        <w:rPr>
          <w:rFonts w:ascii="宋体" w:hAnsi="宋体" w:cs="宋体"/>
          <w:sz w:val="24"/>
        </w:rPr>
        <w:t>QH2022054</w:t>
      </w:r>
      <w:r>
        <w:rPr>
          <w:rFonts w:hint="eastAsia" w:ascii="宋体" w:hAnsi="宋体" w:cs="宋体"/>
          <w:sz w:val="24"/>
        </w:rPr>
        <w:t>）采用简易招标方式采购，欢迎符合投标人资格要求的专业供应商积极参加投标。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ascii="宋体" w:hAnsi="宋体" w:cs="宋体"/>
                <w:sz w:val="24"/>
              </w:rPr>
              <w:t>QH2022054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对标香港营商环境规则咨询项目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29"/>
              <w:ind w:firstLine="0" w:firstLineChars="0"/>
              <w:rPr>
                <w:b/>
                <w:bCs/>
                <w:sz w:val="24"/>
                <w:szCs w:val="24"/>
              </w:rPr>
            </w:pPr>
            <w:r>
              <w:rPr>
                <w:rFonts w:hint="eastAsia"/>
                <w:b/>
                <w:bCs/>
                <w:sz w:val="24"/>
                <w:szCs w:val="24"/>
              </w:rPr>
              <w:t>项目背景：</w:t>
            </w:r>
          </w:p>
          <w:p>
            <w:pPr>
              <w:pStyle w:val="29"/>
              <w:ind w:firstLine="480"/>
              <w:rPr>
                <w:bCs/>
                <w:sz w:val="24"/>
                <w:szCs w:val="24"/>
              </w:rPr>
            </w:pPr>
            <w:r>
              <w:rPr>
                <w:rFonts w:hint="eastAsia"/>
                <w:bCs/>
                <w:sz w:val="24"/>
                <w:szCs w:val="24"/>
              </w:rPr>
              <w:t xml:space="preserve"> 《前海方案》要求前海“推进与港澳跨境政务服务便利化，研究加强在交通、通信、信息、支付等领域与港澳标准和规则衔接”，明确了前海“到2025年，初步形成具有全球竞争力的营商环境，到2035年，营商环境达到世界一流水平”的发展目标。近年来，前海坚持“依托香港、服务内地、面向世界”，以现代服务业为重点，大力推进与港澳的规则衔接和机制对接，加快营商环境建设得积极进展，德勤按世行标准模拟评估，2021年前海营商环境位列全球第一梯队，但同时在营商规则方面与国际一流水平相比仍有较大差距。</w:t>
            </w:r>
          </w:p>
          <w:p>
            <w:pPr>
              <w:pStyle w:val="29"/>
              <w:ind w:firstLine="480"/>
              <w:rPr>
                <w:bCs/>
                <w:sz w:val="24"/>
                <w:szCs w:val="24"/>
              </w:rPr>
            </w:pPr>
            <w:r>
              <w:rPr>
                <w:rFonts w:hint="eastAsia"/>
                <w:bCs/>
                <w:sz w:val="24"/>
                <w:szCs w:val="24"/>
              </w:rPr>
              <w:t>香港是全球最自由经济体之一，拥有高度国际化、法治化的营商环境以及遍布全球的商业网络，拥有与国际规则高度衔接的营商环境体系。在世界银行发布的2020年《全球营商环境报告》中，香港排名第3位，属于全球前沿水平。选取熟悉香港营商规则、了解前海发展实际、具备较高研究水平的专业研究咨询机构，“以点带面、点面结合”地对标香港开展营商规则研究，将有利于前海找准营商环境的短板和发展方向，研究提出一批可操作、可落地的工作举措，加快打造市场化、国际化、法治化的营商环境，将《前海方案》的具体要求落到实处，更好地支持香港融入内地发展。</w:t>
            </w:r>
          </w:p>
          <w:p>
            <w:pPr>
              <w:pStyle w:val="29"/>
              <w:ind w:firstLine="0" w:firstLineChars="0"/>
              <w:rPr>
                <w:b/>
                <w:bCs/>
                <w:sz w:val="24"/>
                <w:szCs w:val="24"/>
              </w:rPr>
            </w:pPr>
            <w:r>
              <w:rPr>
                <w:rFonts w:hint="eastAsia"/>
                <w:b/>
                <w:bCs/>
                <w:sz w:val="24"/>
                <w:szCs w:val="24"/>
              </w:rPr>
              <w:t>项目内容：</w:t>
            </w:r>
          </w:p>
          <w:p>
            <w:pPr>
              <w:spacing w:line="560" w:lineRule="exact"/>
              <w:ind w:firstLine="480" w:firstLineChars="200"/>
              <w:rPr>
                <w:sz w:val="24"/>
              </w:rPr>
            </w:pPr>
            <w:r>
              <w:rPr>
                <w:rFonts w:hint="eastAsia" w:ascii="长城仿宋" w:hAnsi="Calibri"/>
                <w:bCs/>
                <w:kern w:val="0"/>
                <w:sz w:val="24"/>
              </w:rPr>
              <w:t>本项目要求中标人做好以下服务内容：对标香港营商环境规则，形成研究报告并总结提炼10条不突破法律制度框架、与香港营商规则对接、</w:t>
            </w:r>
            <w:r>
              <w:rPr>
                <w:rFonts w:ascii="长城仿宋" w:hAnsi="Calibri"/>
                <w:bCs/>
                <w:kern w:val="0"/>
                <w:sz w:val="24"/>
              </w:rPr>
              <w:t>可在前海率先落地</w:t>
            </w:r>
            <w:r>
              <w:rPr>
                <w:rFonts w:ascii="长城仿宋" w:hAnsi="Calibri"/>
                <w:bCs/>
                <w:kern w:val="0"/>
                <w:sz w:val="24"/>
              </w:rPr>
              <w:t>或</w:t>
            </w:r>
            <w:r>
              <w:rPr>
                <w:rFonts w:hint="eastAsia" w:ascii="长城仿宋" w:hAnsi="Calibri"/>
                <w:bCs/>
                <w:kern w:val="0"/>
                <w:sz w:val="24"/>
              </w:rPr>
              <w:t>在</w:t>
            </w:r>
            <w:r>
              <w:rPr>
                <w:rFonts w:ascii="长城仿宋" w:hAnsi="Calibri"/>
                <w:bCs/>
                <w:kern w:val="0"/>
                <w:sz w:val="24"/>
              </w:rPr>
              <w:t>广东省复制推广的改革举措。</w:t>
            </w:r>
            <w:r>
              <w:rPr>
                <w:rFonts w:hint="eastAsia" w:ascii="长城仿宋" w:hAnsi="Calibri"/>
                <w:bCs/>
                <w:kern w:val="0"/>
                <w:sz w:val="24"/>
              </w:rPr>
              <w:t>项目研究方向主要包括但不限于以下几个方面：</w:t>
            </w:r>
            <w:r>
              <w:rPr>
                <w:rFonts w:hint="eastAsia"/>
                <w:bCs/>
                <w:sz w:val="24"/>
              </w:rPr>
              <w:t>围绕市场环境、法治环境、开放环境、城市治理、政企沟通等领域，深入探究香港在城市治理、精明规管、市场监督、产权保护、高端人才服务、便利外商投资、跨境贸易通关效率、服务市场主体等措施，对广东、前海的营商环境改革现状进行对照，提出改革提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¥950000.00（人民币）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招标文件为电子版，投标人可在前海管理局官网（信息公开-招标公告栏目）(http://qh.sz.gov.cn/)和深圳市国际招标有限公司官网（https://new.sztc.com/)免费下载。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2022年</w:t>
            </w:r>
            <w:r>
              <w:rPr>
                <w:rFonts w:ascii="宋体" w:hAnsi="宋体" w:cs="宋体"/>
                <w:b/>
                <w:kern w:val="0"/>
                <w:sz w:val="24"/>
                <w:lang w:bidi="ar"/>
              </w:rPr>
              <w:t>12</w:t>
            </w:r>
            <w:r>
              <w:rPr>
                <w:rFonts w:hint="eastAsia" w:ascii="宋体" w:hAnsi="宋体" w:cs="宋体"/>
                <w:b/>
                <w:kern w:val="0"/>
                <w:sz w:val="24"/>
                <w:lang w:bidi="ar"/>
              </w:rPr>
              <w:t>月</w:t>
            </w:r>
            <w:r>
              <w:rPr>
                <w:rFonts w:ascii="宋体" w:hAnsi="宋体" w:cs="宋体"/>
                <w:b/>
                <w:kern w:val="0"/>
                <w:sz w:val="24"/>
                <w:lang w:bidi="ar"/>
              </w:rPr>
              <w:t>1</w:t>
            </w:r>
            <w:r>
              <w:rPr>
                <w:rFonts w:hint="default" w:ascii="宋体" w:hAnsi="宋体" w:cs="宋体"/>
                <w:b/>
                <w:kern w:val="0"/>
                <w:sz w:val="24"/>
                <w:lang w:bidi="ar"/>
              </w:rPr>
              <w:t>4</w:t>
            </w:r>
            <w:r>
              <w:rPr>
                <w:rFonts w:hint="eastAsia" w:ascii="宋体" w:hAnsi="宋体" w:cs="宋体"/>
                <w:b/>
                <w:kern w:val="0"/>
                <w:sz w:val="24"/>
                <w:lang w:bidi="ar"/>
              </w:rPr>
              <w:t>日上午09：30时（北京时间）前送达（现场递交或邮寄）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前海建设投资控股大厦（桂湾5路123号楼）2506会议室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联系人：胡工</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lang w:bidi="ar"/>
              </w:rPr>
              <w:t>15600606009</w:t>
            </w:r>
          </w:p>
          <w:p>
            <w:pPr>
              <w:widowControl/>
              <w:jc w:val="left"/>
              <w:rPr>
                <w:rFonts w:ascii="宋体" w:hAnsi="宋体" w:cs="宋体"/>
                <w:kern w:val="0"/>
                <w:sz w:val="24"/>
              </w:rPr>
            </w:pPr>
            <w:r>
              <w:rPr>
                <w:rFonts w:hint="eastAsia" w:ascii="宋体" w:hAnsi="宋体" w:cs="宋体"/>
                <w:sz w:val="24"/>
                <w:lang w:bidi="ar"/>
              </w:rPr>
              <w:t>注：如需现场谈判，投标人需在评标半小时内到达评标现场（投标人需持24小时核酸证明）。若因疫情等特殊原因，可进行视频谈判。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在中华人民共和国境内注册的具有独立法人资格或具有独立承担民事责任的能力的其它组织（提供营业证照或事业单位法人证等证明复印件加盖投标人公章）；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 xml:space="preserve">联  系  人：胡工 </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15600606009</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深圳市国际招标有限公司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人：黎先生、温先生</w:t>
            </w:r>
          </w:p>
          <w:p>
            <w:pPr>
              <w:spacing w:line="360" w:lineRule="auto"/>
              <w:rPr>
                <w:rFonts w:ascii="宋体" w:hAnsi="宋体" w:cs="宋体"/>
                <w:kern w:val="0"/>
                <w:sz w:val="24"/>
              </w:rPr>
            </w:pPr>
            <w:r>
              <w:rPr>
                <w:rFonts w:hint="eastAsia" w:ascii="宋体" w:hAnsi="宋体" w:cs="宋体"/>
                <w:kern w:val="0"/>
                <w:sz w:val="24"/>
              </w:rPr>
              <w:t>电      话：13018597667、13590182490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深圳市国际招标有限公司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2022年</w:t>
      </w:r>
      <w:r>
        <w:rPr>
          <w:rFonts w:hint="default" w:ascii="宋体" w:hAnsi="宋体" w:cs="宋体"/>
          <w:sz w:val="24"/>
          <w:lang w:val="en-US"/>
        </w:rPr>
        <w:t>12</w:t>
      </w:r>
      <w:r>
        <w:rPr>
          <w:rFonts w:hint="eastAsia" w:ascii="宋体" w:hAnsi="宋体" w:cs="宋体"/>
          <w:sz w:val="24"/>
        </w:rPr>
        <w:t>月</w:t>
      </w:r>
      <w:r>
        <w:rPr>
          <w:rFonts w:hint="default" w:ascii="宋体" w:hAnsi="宋体" w:cs="宋体"/>
          <w:sz w:val="24"/>
          <w:lang w:val="en-US"/>
        </w:rPr>
        <w:t>8</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1、本项目是深圳市前海深港现代服务业合作区管理局的对标香港营商环境规则咨询项目。</w:t>
      </w:r>
    </w:p>
    <w:p>
      <w:pPr>
        <w:spacing w:line="360" w:lineRule="auto"/>
        <w:ind w:firstLine="480" w:firstLineChars="200"/>
        <w:rPr>
          <w:rFonts w:ascii="宋体" w:hAnsi="宋体" w:cs="宋体"/>
          <w:sz w:val="24"/>
        </w:rPr>
      </w:pPr>
      <w:r>
        <w:rPr>
          <w:rFonts w:hint="eastAsia" w:ascii="宋体" w:hAnsi="宋体" w:cs="宋体"/>
          <w:sz w:val="24"/>
        </w:rPr>
        <w:t>2、本项目不属于深圳市2022年集中采购目录，根据《中华人民共和国政府采购法》、《深圳经济特区采购条例》的有关规定，深圳市国际招标有限公司受深圳市前海深港现代服务业合作区管理局委托组织采购，本次采购公开征集供应商，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深圳市国际招标有限公司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一、依法成立评审委员会。评审委员会由前海管理局相关工作人员以及委托招标代理机构从市政府采购专家库抽取的专家构成，人数要求为三人或三人以上的单数，评审委员会在开标开始前一天组成</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四、开标时间：2022年</w:t>
      </w:r>
      <w:r>
        <w:rPr>
          <w:rFonts w:ascii="宋体" w:hAnsi="宋体" w:cs="宋体"/>
          <w:sz w:val="24"/>
        </w:rPr>
        <w:t>12月14日</w:t>
      </w:r>
      <w:r>
        <w:rPr>
          <w:rFonts w:hint="eastAsia" w:ascii="宋体" w:hAnsi="宋体" w:cs="宋体"/>
          <w:sz w:val="24"/>
        </w:rPr>
        <w:t>上午09：30时（北京时间）。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五、投标文件的递交。投标人应将投标文件正本和副本密封，并标明项目编号、招标项目名称及“正本”或“副本”招标代理机构接收投标人递交的投标文件，在2022年</w:t>
      </w:r>
      <w:r>
        <w:rPr>
          <w:rFonts w:ascii="宋体" w:hAnsi="宋体" w:cs="宋体"/>
          <w:sz w:val="24"/>
        </w:rPr>
        <w:t>12月14日</w:t>
      </w:r>
      <w:r>
        <w:rPr>
          <w:rFonts w:hint="eastAsia" w:ascii="宋体" w:hAnsi="宋体" w:cs="宋体"/>
          <w:sz w:val="24"/>
        </w:rPr>
        <w:t>上午09：30时（北京时间）前送达（现场递交或邮寄）。截标后不再接收任何投标文件。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101074886"/>
      <w:bookmarkStart w:id="7" w:name="_Toc73517685"/>
      <w:bookmarkStart w:id="8" w:name="_Toc73521592"/>
      <w:bookmarkStart w:id="9" w:name="_Toc100052414"/>
      <w:bookmarkStart w:id="10" w:name="_Toc73521680"/>
      <w:bookmarkStart w:id="11" w:name="_Toc73518163"/>
      <w:bookmarkStart w:id="12" w:name="_Toc84303603"/>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对标香港营商环境规则咨询项目</w:t>
      </w:r>
    </w:p>
    <w:p>
      <w:pPr>
        <w:spacing w:line="360" w:lineRule="auto"/>
        <w:jc w:val="center"/>
        <w:rPr>
          <w:rFonts w:ascii="宋体" w:hAnsi="宋体" w:cs="宋体"/>
          <w:b/>
          <w:sz w:val="28"/>
          <w:szCs w:val="28"/>
        </w:rPr>
      </w:pP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对标香港营商环境规则咨询项目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二〇二二年  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w:t>
      </w:r>
      <w:r>
        <w:rPr>
          <w:rFonts w:ascii="宋体" w:hAnsi="宋体"/>
          <w:sz w:val="22"/>
          <w:szCs w:val="21"/>
        </w:rPr>
        <w:t>对标香港营商环境规则咨询项目</w:t>
      </w:r>
      <w:r>
        <w:rPr>
          <w:rFonts w:hint="eastAsia" w:ascii="宋体" w:hAnsi="宋体"/>
          <w:sz w:val="22"/>
          <w:szCs w:val="21"/>
        </w:rPr>
        <w:t>》（以下简称“本项目”）工作事宜达成一致，约定如下：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spacing w:line="360" w:lineRule="auto"/>
        <w:ind w:firstLine="442" w:firstLineChars="200"/>
        <w:jc w:val="left"/>
        <w:rPr>
          <w:rFonts w:ascii="宋体" w:hAnsi="宋体"/>
          <w:b/>
          <w:bCs/>
          <w:sz w:val="22"/>
          <w:szCs w:val="21"/>
          <w:lang w:val="zh-CN"/>
        </w:rPr>
      </w:pPr>
      <w:r>
        <w:rPr>
          <w:rFonts w:ascii="宋体" w:hAnsi="宋体"/>
          <w:b/>
          <w:bCs/>
          <w:sz w:val="22"/>
          <w:szCs w:val="21"/>
          <w:lang w:val="zh-CN"/>
        </w:rPr>
        <w:t>（一）成果内容要求</w:t>
      </w:r>
    </w:p>
    <w:p>
      <w:pPr>
        <w:spacing w:line="360" w:lineRule="auto"/>
        <w:ind w:firstLine="440" w:firstLineChars="200"/>
        <w:rPr>
          <w:rFonts w:ascii="宋体" w:hAnsi="宋体"/>
          <w:sz w:val="22"/>
          <w:szCs w:val="21"/>
          <w:lang w:val="zh-CN"/>
        </w:rPr>
      </w:pPr>
      <w:r>
        <w:rPr>
          <w:rFonts w:hint="eastAsia" w:ascii="宋体" w:hAnsi="宋体"/>
          <w:sz w:val="22"/>
          <w:szCs w:val="21"/>
        </w:rPr>
        <w:t>本项目要求中标人做好以下服务内容：对标香港营商环境规则，形成研究报告并总结提炼10条不突破法律制度框架、与香港营商规则对接、</w:t>
      </w:r>
      <w:r>
        <w:rPr>
          <w:rFonts w:ascii="宋体" w:hAnsi="宋体"/>
          <w:sz w:val="22"/>
          <w:szCs w:val="21"/>
        </w:rPr>
        <w:t>可在前海率先落地</w:t>
      </w:r>
      <w:r>
        <w:rPr>
          <w:rFonts w:ascii="宋体" w:hAnsi="宋体"/>
          <w:sz w:val="22"/>
          <w:szCs w:val="21"/>
        </w:rPr>
        <w:t>或</w:t>
      </w:r>
      <w:r>
        <w:rPr>
          <w:rFonts w:hint="eastAsia" w:ascii="宋体" w:hAnsi="宋体"/>
          <w:sz w:val="22"/>
          <w:szCs w:val="21"/>
        </w:rPr>
        <w:t>在</w:t>
      </w:r>
      <w:r>
        <w:rPr>
          <w:rFonts w:ascii="宋体" w:hAnsi="宋体"/>
          <w:sz w:val="22"/>
          <w:szCs w:val="21"/>
        </w:rPr>
        <w:t>广东省复制推广的改革举措。</w:t>
      </w:r>
      <w:r>
        <w:rPr>
          <w:rFonts w:hint="eastAsia" w:ascii="宋体" w:hAnsi="宋体"/>
          <w:sz w:val="22"/>
          <w:szCs w:val="21"/>
        </w:rPr>
        <w:t>项目研究方向主要包括但不限于以下几个方面：</w:t>
      </w:r>
      <w:r>
        <w:rPr>
          <w:rFonts w:hint="eastAsia" w:ascii="宋体" w:hAnsi="宋体"/>
          <w:sz w:val="22"/>
          <w:szCs w:val="21"/>
          <w:lang w:val="zh-CN"/>
        </w:rPr>
        <w:t>围绕市场环境、法治环境、开放环境、城市治理、政企沟通等领域，深入探究香港在城市治理、精明规管、市场监督、产权保护、高端人才服务、便利外商投资、跨境贸易通关效率、服务市场主体等措施，对广东、前海的营商环境改革现状进行对照，提出改革提升措施。</w:t>
      </w:r>
    </w:p>
    <w:p>
      <w:pPr>
        <w:numPr>
          <w:ilvl w:val="255"/>
          <w:numId w:val="0"/>
        </w:numPr>
        <w:spacing w:line="360" w:lineRule="auto"/>
        <w:ind w:firstLine="442" w:firstLineChars="200"/>
        <w:jc w:val="left"/>
        <w:rPr>
          <w:rFonts w:ascii="宋体" w:hAnsi="宋体"/>
          <w:b/>
          <w:bCs/>
          <w:sz w:val="22"/>
          <w:szCs w:val="21"/>
          <w:lang w:val="zh-CN"/>
        </w:rPr>
      </w:pPr>
      <w:r>
        <w:rPr>
          <w:rFonts w:ascii="宋体" w:hAnsi="宋体"/>
          <w:b/>
          <w:bCs/>
          <w:sz w:val="22"/>
          <w:szCs w:val="21"/>
        </w:rPr>
        <w:t>（二）</w:t>
      </w:r>
      <w:r>
        <w:rPr>
          <w:rFonts w:hint="eastAsia" w:ascii="宋体" w:hAnsi="宋体"/>
          <w:b/>
          <w:bCs/>
          <w:sz w:val="22"/>
          <w:szCs w:val="21"/>
          <w:lang w:val="zh-CN"/>
        </w:rPr>
        <w:t>成果形式要求</w:t>
      </w:r>
    </w:p>
    <w:p>
      <w:pPr>
        <w:spacing w:line="360" w:lineRule="auto"/>
        <w:ind w:firstLine="440" w:firstLineChars="200"/>
        <w:rPr>
          <w:rFonts w:ascii="宋体" w:hAnsi="宋体"/>
          <w:sz w:val="22"/>
          <w:szCs w:val="21"/>
          <w:lang w:val="zh-CN"/>
        </w:rPr>
      </w:pPr>
      <w:r>
        <w:rPr>
          <w:rFonts w:hint="eastAsia" w:ascii="宋体" w:hAnsi="宋体"/>
          <w:sz w:val="22"/>
          <w:szCs w:val="21"/>
          <w:lang w:val="zh-CN"/>
        </w:rPr>
        <w:t>本项目最终成果为两份报告，包括主报告《广东对标香港营商规则研究及优化提升建议》和子报告《前海营商环境创新实践及对标提升建议》。</w:t>
      </w:r>
    </w:p>
    <w:p>
      <w:pPr>
        <w:spacing w:line="360" w:lineRule="auto"/>
        <w:ind w:firstLine="442" w:firstLineChars="200"/>
        <w:rPr>
          <w:rFonts w:ascii="宋体" w:hAnsi="宋体"/>
          <w:b/>
          <w:bCs/>
          <w:sz w:val="22"/>
          <w:szCs w:val="21"/>
        </w:rPr>
      </w:pPr>
      <w:r>
        <w:rPr>
          <w:rFonts w:hint="eastAsia" w:ascii="宋体" w:hAnsi="宋体"/>
          <w:b/>
          <w:bCs/>
          <w:sz w:val="22"/>
          <w:szCs w:val="21"/>
        </w:rPr>
        <w:t>（三）成果评估要求（包括但不限于）</w:t>
      </w:r>
    </w:p>
    <w:p>
      <w:pPr>
        <w:spacing w:line="360" w:lineRule="auto"/>
        <w:ind w:firstLine="440" w:firstLineChars="200"/>
        <w:rPr>
          <w:rFonts w:ascii="宋体" w:hAnsi="宋体"/>
          <w:bCs/>
          <w:sz w:val="22"/>
          <w:szCs w:val="21"/>
        </w:rPr>
      </w:pPr>
      <w:bookmarkStart w:id="13" w:name="_Hlk73025632"/>
      <w:r>
        <w:rPr>
          <w:rFonts w:hint="eastAsia" w:ascii="宋体" w:hAnsi="宋体"/>
          <w:bCs/>
          <w:sz w:val="22"/>
          <w:szCs w:val="21"/>
        </w:rPr>
        <w:t>1. 按项目要求时间节点准时提交主报告和子报告。</w:t>
      </w:r>
    </w:p>
    <w:p>
      <w:pPr>
        <w:spacing w:line="360" w:lineRule="auto"/>
        <w:ind w:firstLine="440" w:firstLineChars="200"/>
        <w:rPr>
          <w:rFonts w:ascii="宋体" w:hAnsi="宋体"/>
          <w:bCs/>
          <w:sz w:val="22"/>
          <w:szCs w:val="21"/>
        </w:rPr>
      </w:pPr>
      <w:r>
        <w:rPr>
          <w:rFonts w:hint="eastAsia" w:ascii="宋体" w:hAnsi="宋体"/>
          <w:bCs/>
          <w:sz w:val="22"/>
          <w:szCs w:val="21"/>
        </w:rPr>
        <w:t>2. 报告编制要遵循科学性、客观性、可读性原则。</w:t>
      </w:r>
    </w:p>
    <w:p>
      <w:pPr>
        <w:spacing w:line="360" w:lineRule="auto"/>
        <w:ind w:firstLine="440" w:firstLineChars="200"/>
        <w:rPr>
          <w:rFonts w:ascii="宋体" w:hAnsi="宋体"/>
          <w:bCs/>
          <w:sz w:val="22"/>
          <w:szCs w:val="21"/>
        </w:rPr>
      </w:pPr>
      <w:r>
        <w:rPr>
          <w:rFonts w:hint="eastAsia" w:ascii="宋体" w:hAnsi="宋体"/>
          <w:bCs/>
          <w:sz w:val="22"/>
          <w:szCs w:val="21"/>
        </w:rPr>
        <w:t>3. 政策建议要考虑合规性、合理性、可操作性原则。</w:t>
      </w:r>
    </w:p>
    <w:p>
      <w:pPr>
        <w:spacing w:line="360" w:lineRule="auto"/>
        <w:ind w:firstLine="440" w:firstLineChars="200"/>
        <w:rPr>
          <w:rFonts w:ascii="宋体" w:hAnsi="宋体"/>
          <w:bCs/>
          <w:sz w:val="22"/>
          <w:szCs w:val="21"/>
        </w:rPr>
      </w:pPr>
      <w:r>
        <w:rPr>
          <w:rFonts w:hint="eastAsia" w:ascii="宋体" w:hAnsi="宋体"/>
          <w:bCs/>
          <w:sz w:val="22"/>
          <w:szCs w:val="21"/>
        </w:rPr>
        <w:t>4.乙方须按甲方规定时间要求，完成相应工作成果并提交，工作成果包括主报告《广东对标香港营商规则研究及优化提升建议》和子报告《前海营商环境创新实践及对标提升建议》。</w:t>
      </w:r>
    </w:p>
    <w:bookmarkEnd w:id="13"/>
    <w:p>
      <w:pPr>
        <w:spacing w:line="360" w:lineRule="auto"/>
        <w:ind w:firstLine="442" w:firstLineChars="200"/>
        <w:jc w:val="left"/>
        <w:rPr>
          <w:rFonts w:ascii="宋体" w:hAnsi="宋体"/>
          <w:b/>
          <w:bCs/>
          <w:sz w:val="22"/>
          <w:szCs w:val="21"/>
          <w:lang w:val="zh-CN"/>
        </w:rPr>
      </w:pPr>
      <w:r>
        <w:rPr>
          <w:rFonts w:hint="eastAsia" w:ascii="宋体" w:hAnsi="宋体"/>
          <w:b/>
          <w:bCs/>
          <w:sz w:val="22"/>
          <w:szCs w:val="21"/>
          <w:lang w:val="zh-CN"/>
        </w:rPr>
        <w:t>二、项目服务期限</w:t>
      </w:r>
    </w:p>
    <w:p>
      <w:pPr>
        <w:spacing w:line="360" w:lineRule="auto"/>
        <w:ind w:firstLine="540"/>
        <w:rPr>
          <w:rFonts w:ascii="宋体" w:hAnsi="宋体"/>
          <w:bCs/>
          <w:sz w:val="22"/>
          <w:szCs w:val="21"/>
        </w:rPr>
      </w:pPr>
      <w:r>
        <w:rPr>
          <w:rFonts w:hint="eastAsia" w:ascii="宋体" w:hAnsi="宋体"/>
          <w:bCs/>
          <w:sz w:val="22"/>
          <w:szCs w:val="21"/>
          <w:lang w:val="zh-CN"/>
        </w:rPr>
        <w:t>本项目服务期限为自合同签订之日起到</w:t>
      </w:r>
      <w:r>
        <w:rPr>
          <w:rFonts w:ascii="宋体" w:hAnsi="宋体"/>
          <w:bCs/>
          <w:sz w:val="22"/>
          <w:szCs w:val="21"/>
        </w:rPr>
        <w:t>2023</w:t>
      </w:r>
      <w:r>
        <w:rPr>
          <w:rFonts w:hint="eastAsia" w:ascii="宋体" w:hAnsi="宋体"/>
          <w:bCs/>
          <w:sz w:val="22"/>
          <w:szCs w:val="21"/>
          <w:lang w:val="zh-CN"/>
        </w:rPr>
        <w:t>年</w:t>
      </w:r>
      <w:r>
        <w:rPr>
          <w:rFonts w:hint="eastAsia" w:ascii="宋体" w:hAnsi="宋体"/>
          <w:bCs/>
          <w:sz w:val="22"/>
          <w:szCs w:val="21"/>
        </w:rPr>
        <w:t>6</w:t>
      </w:r>
      <w:r>
        <w:rPr>
          <w:rFonts w:hint="eastAsia" w:ascii="宋体" w:hAnsi="宋体"/>
          <w:bCs/>
          <w:sz w:val="22"/>
          <w:szCs w:val="21"/>
          <w:lang w:val="zh-CN"/>
        </w:rPr>
        <w:t>月</w:t>
      </w:r>
      <w:r>
        <w:rPr>
          <w:rFonts w:ascii="宋体" w:hAnsi="宋体"/>
          <w:bCs/>
          <w:sz w:val="22"/>
          <w:szCs w:val="21"/>
        </w:rPr>
        <w:t>3</w:t>
      </w:r>
      <w:r>
        <w:rPr>
          <w:rFonts w:hint="eastAsia" w:ascii="宋体" w:hAnsi="宋体"/>
          <w:bCs/>
          <w:sz w:val="22"/>
          <w:szCs w:val="21"/>
        </w:rPr>
        <w:t>0</w:t>
      </w:r>
      <w:r>
        <w:rPr>
          <w:rFonts w:hint="eastAsia" w:ascii="宋体" w:hAnsi="宋体"/>
          <w:bCs/>
          <w:sz w:val="22"/>
          <w:szCs w:val="21"/>
          <w:lang w:val="zh-CN"/>
        </w:rPr>
        <w:t>日止。</w:t>
      </w:r>
    </w:p>
    <w:p>
      <w:pPr>
        <w:spacing w:line="360" w:lineRule="auto"/>
        <w:ind w:firstLine="442" w:firstLineChars="200"/>
        <w:rPr>
          <w:rFonts w:ascii="宋体" w:hAnsi="宋体"/>
          <w:b/>
          <w:bCs/>
          <w:sz w:val="22"/>
          <w:szCs w:val="21"/>
        </w:rPr>
      </w:pPr>
      <w:r>
        <w:rPr>
          <w:rFonts w:hint="eastAsia" w:ascii="宋体" w:hAnsi="宋体"/>
          <w:b/>
          <w:bCs/>
          <w:sz w:val="22"/>
          <w:szCs w:val="21"/>
        </w:rPr>
        <w:t>三、双方的权利义务</w:t>
      </w:r>
    </w:p>
    <w:p>
      <w:pPr>
        <w:spacing w:line="360" w:lineRule="auto"/>
        <w:ind w:firstLine="440" w:firstLineChars="200"/>
        <w:rPr>
          <w:rFonts w:ascii="宋体" w:hAnsi="宋体"/>
          <w:sz w:val="22"/>
          <w:szCs w:val="21"/>
        </w:rPr>
      </w:pPr>
      <w:r>
        <w:rPr>
          <w:rFonts w:hint="eastAsia" w:ascii="宋体" w:hAnsi="宋体"/>
          <w:sz w:val="22"/>
          <w:szCs w:val="21"/>
        </w:rPr>
        <w:t>（一）甲方的权利义务</w:t>
      </w:r>
    </w:p>
    <w:p>
      <w:pPr>
        <w:spacing w:line="360" w:lineRule="auto"/>
        <w:ind w:firstLine="440" w:firstLineChars="200"/>
        <w:rPr>
          <w:rFonts w:ascii="宋体" w:hAnsi="宋体"/>
          <w:sz w:val="22"/>
          <w:szCs w:val="21"/>
        </w:rPr>
      </w:pPr>
      <w:r>
        <w:rPr>
          <w:rFonts w:hint="eastAsia" w:ascii="宋体" w:hAnsi="宋体"/>
          <w:sz w:val="22"/>
          <w:szCs w:val="21"/>
        </w:rPr>
        <w:t>1.甲方有权向乙方询问项目工作进展及相关情况，并要求乙方在指定时间内做出答复。</w:t>
      </w:r>
    </w:p>
    <w:p>
      <w:pPr>
        <w:spacing w:line="360" w:lineRule="auto"/>
        <w:ind w:firstLine="440" w:firstLineChars="200"/>
        <w:rPr>
          <w:rFonts w:ascii="宋体" w:hAnsi="宋体"/>
          <w:sz w:val="22"/>
          <w:szCs w:val="21"/>
        </w:rPr>
      </w:pPr>
      <w:r>
        <w:rPr>
          <w:rFonts w:hint="eastAsia" w:ascii="宋体" w:hAnsi="宋体"/>
          <w:sz w:val="22"/>
          <w:szCs w:val="21"/>
        </w:rPr>
        <w:t>2.甲方有权对乙方提交的阶段性成果、最终成果送审稿等相关文件进行审核并提出修改意见。</w:t>
      </w:r>
    </w:p>
    <w:p>
      <w:pPr>
        <w:spacing w:line="360" w:lineRule="auto"/>
        <w:ind w:firstLine="440" w:firstLineChars="200"/>
        <w:rPr>
          <w:rFonts w:ascii="宋体" w:hAnsi="宋体"/>
          <w:sz w:val="22"/>
          <w:szCs w:val="21"/>
        </w:rPr>
      </w:pPr>
      <w:r>
        <w:rPr>
          <w:rFonts w:hint="eastAsia" w:ascii="宋体" w:hAnsi="宋体"/>
          <w:sz w:val="22"/>
          <w:szCs w:val="21"/>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360" w:lineRule="auto"/>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360" w:lineRule="auto"/>
        <w:ind w:firstLine="440" w:firstLineChars="200"/>
        <w:rPr>
          <w:rFonts w:ascii="宋体" w:hAnsi="宋体"/>
          <w:sz w:val="22"/>
          <w:szCs w:val="21"/>
        </w:rPr>
      </w:pPr>
      <w:r>
        <w:rPr>
          <w:rFonts w:hint="eastAsia" w:ascii="宋体" w:hAnsi="宋体"/>
          <w:sz w:val="22"/>
          <w:szCs w:val="21"/>
        </w:rPr>
        <w:t>10.甲方指定项目联系人：</w:t>
      </w:r>
    </w:p>
    <w:p>
      <w:pPr>
        <w:spacing w:line="360" w:lineRule="auto"/>
        <w:ind w:firstLine="440" w:firstLineChars="200"/>
        <w:rPr>
          <w:rFonts w:ascii="宋体" w:hAnsi="宋体"/>
          <w:sz w:val="22"/>
          <w:szCs w:val="21"/>
        </w:rPr>
      </w:pPr>
      <w:r>
        <w:rPr>
          <w:rFonts w:hint="eastAsia" w:ascii="宋体" w:hAnsi="宋体"/>
          <w:sz w:val="22"/>
          <w:szCs w:val="21"/>
        </w:rPr>
        <w:t>姓名：胡</w:t>
      </w:r>
      <w:r>
        <w:rPr>
          <w:rFonts w:ascii="宋体" w:hAnsi="宋体"/>
          <w:sz w:val="22"/>
          <w:szCs w:val="21"/>
        </w:rPr>
        <w:t>工</w:t>
      </w:r>
      <w:r>
        <w:rPr>
          <w:rFonts w:hint="eastAsia" w:ascii="宋体" w:hAnsi="宋体"/>
          <w:sz w:val="22"/>
          <w:szCs w:val="21"/>
        </w:rPr>
        <w:t xml:space="preserve">                  </w:t>
      </w:r>
    </w:p>
    <w:p>
      <w:pPr>
        <w:spacing w:line="360" w:lineRule="auto"/>
        <w:ind w:firstLine="440" w:firstLineChars="200"/>
        <w:rPr>
          <w:rFonts w:ascii="宋体" w:hAnsi="宋体"/>
          <w:sz w:val="22"/>
          <w:szCs w:val="21"/>
        </w:rPr>
      </w:pPr>
      <w:r>
        <w:rPr>
          <w:rFonts w:hint="eastAsia" w:ascii="宋体" w:hAnsi="宋体"/>
          <w:sz w:val="22"/>
          <w:szCs w:val="21"/>
        </w:rPr>
        <w:t>联系方式：</w:t>
      </w:r>
      <w:r>
        <w:rPr>
          <w:rFonts w:ascii="宋体" w:hAnsi="宋体"/>
          <w:sz w:val="22"/>
          <w:szCs w:val="21"/>
        </w:rPr>
        <w:t>15600606009</w:t>
      </w:r>
    </w:p>
    <w:p>
      <w:pPr>
        <w:spacing w:line="360" w:lineRule="auto"/>
        <w:ind w:firstLine="440" w:firstLineChars="200"/>
        <w:rPr>
          <w:rFonts w:ascii="宋体" w:hAnsi="宋体"/>
          <w:sz w:val="22"/>
          <w:szCs w:val="21"/>
        </w:rPr>
      </w:pPr>
      <w:r>
        <w:rPr>
          <w:rFonts w:ascii="宋体" w:hAnsi="宋体"/>
          <w:sz w:val="22"/>
          <w:szCs w:val="21"/>
        </w:rPr>
        <w:t xml:space="preserve">  </w:t>
      </w:r>
      <w:r>
        <w:rPr>
          <w:rFonts w:hint="eastAsia" w:ascii="宋体" w:hAnsi="宋体"/>
          <w:sz w:val="22"/>
          <w:szCs w:val="21"/>
        </w:rPr>
        <w:t>（二）乙方的权利义务</w:t>
      </w:r>
    </w:p>
    <w:p>
      <w:pPr>
        <w:spacing w:line="360" w:lineRule="auto"/>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sz w:val="22"/>
          <w:szCs w:val="21"/>
        </w:rPr>
      </w:pPr>
      <w:r>
        <w:rPr>
          <w:rFonts w:hint="eastAsia" w:ascii="宋体" w:hAnsi="宋体"/>
          <w:sz w:val="22"/>
          <w:szCs w:val="21"/>
        </w:rPr>
        <w:t>11.乙方指定项目联系人</w:t>
      </w:r>
    </w:p>
    <w:p>
      <w:pPr>
        <w:spacing w:line="360" w:lineRule="auto"/>
        <w:ind w:firstLine="440" w:firstLineChars="200"/>
        <w:rPr>
          <w:rFonts w:ascii="宋体" w:hAnsi="宋体"/>
          <w:sz w:val="22"/>
          <w:szCs w:val="21"/>
        </w:rPr>
      </w:pPr>
      <w:r>
        <w:rPr>
          <w:rFonts w:hint="eastAsia" w:ascii="宋体" w:hAnsi="宋体"/>
          <w:sz w:val="22"/>
          <w:szCs w:val="21"/>
        </w:rPr>
        <w:t>姓名：</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2" w:firstLineChars="200"/>
        <w:rPr>
          <w:rFonts w:ascii="宋体" w:hAnsi="宋体"/>
          <w:b/>
          <w:bCs/>
          <w:sz w:val="22"/>
          <w:szCs w:val="21"/>
        </w:rPr>
      </w:pPr>
      <w:r>
        <w:rPr>
          <w:rFonts w:hint="eastAsia" w:ascii="宋体" w:hAnsi="宋体"/>
          <w:b/>
          <w:bCs/>
          <w:sz w:val="22"/>
          <w:szCs w:val="21"/>
        </w:rPr>
        <w:t>四、项目服务费用及付款方式</w:t>
      </w:r>
    </w:p>
    <w:p>
      <w:pPr>
        <w:spacing w:line="360" w:lineRule="auto"/>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r>
        <w:rPr>
          <w:rFonts w:ascii="宋体" w:hAnsi="宋体"/>
          <w:sz w:val="22"/>
          <w:szCs w:val="21"/>
        </w:rPr>
        <w:t>1.</w:t>
      </w:r>
      <w:r>
        <w:rPr>
          <w:rFonts w:hint="eastAsia" w:ascii="宋体" w:hAnsi="宋体"/>
          <w:sz w:val="22"/>
          <w:szCs w:val="21"/>
        </w:rPr>
        <w:t>乙方为甲方所提供的所有服务和技术支持费用；</w:t>
      </w:r>
      <w:r>
        <w:rPr>
          <w:rFonts w:ascii="宋体" w:hAnsi="宋体"/>
          <w:sz w:val="22"/>
          <w:szCs w:val="21"/>
        </w:rPr>
        <w:t>2.</w:t>
      </w:r>
      <w:r>
        <w:rPr>
          <w:rFonts w:hint="eastAsia" w:ascii="宋体" w:hAnsi="宋体"/>
          <w:sz w:val="22"/>
          <w:szCs w:val="21"/>
        </w:rPr>
        <w:t>项目研讨会费用；</w:t>
      </w:r>
      <w:r>
        <w:rPr>
          <w:rFonts w:ascii="宋体" w:hAnsi="宋体"/>
          <w:sz w:val="22"/>
          <w:szCs w:val="21"/>
        </w:rPr>
        <w:t>3.</w:t>
      </w:r>
      <w:r>
        <w:rPr>
          <w:rFonts w:hint="eastAsia" w:ascii="宋体" w:hAnsi="宋体"/>
          <w:sz w:val="22"/>
          <w:szCs w:val="21"/>
        </w:rPr>
        <w:t>项目产生的专家费用；</w:t>
      </w:r>
      <w:r>
        <w:rPr>
          <w:rFonts w:ascii="宋体" w:hAnsi="宋体"/>
          <w:sz w:val="22"/>
          <w:szCs w:val="21"/>
        </w:rPr>
        <w:t>4.</w:t>
      </w:r>
      <w:r>
        <w:rPr>
          <w:rFonts w:hint="eastAsia" w:ascii="宋体" w:hAnsi="宋体"/>
          <w:sz w:val="22"/>
          <w:szCs w:val="21"/>
        </w:rPr>
        <w:t>乙方工作人员工资、差旅费；</w:t>
      </w:r>
      <w:r>
        <w:rPr>
          <w:rFonts w:ascii="宋体" w:hAnsi="宋体"/>
          <w:sz w:val="22"/>
          <w:szCs w:val="21"/>
        </w:rPr>
        <w:t>5.</w:t>
      </w:r>
      <w:r>
        <w:rPr>
          <w:rFonts w:hint="eastAsia" w:ascii="宋体" w:hAnsi="宋体"/>
          <w:sz w:val="22"/>
          <w:szCs w:val="21"/>
        </w:rPr>
        <w:t>乙方的办公、通讯、交通费用；</w:t>
      </w:r>
      <w:r>
        <w:rPr>
          <w:rFonts w:ascii="宋体" w:hAnsi="宋体"/>
          <w:sz w:val="22"/>
          <w:szCs w:val="21"/>
        </w:rPr>
        <w:t>6.</w:t>
      </w:r>
      <w:r>
        <w:rPr>
          <w:rFonts w:hint="eastAsia" w:ascii="宋体" w:hAnsi="宋体"/>
          <w:sz w:val="22"/>
          <w:szCs w:val="21"/>
        </w:rPr>
        <w:t>项目材料统计、分析费用；</w:t>
      </w:r>
      <w:r>
        <w:rPr>
          <w:rFonts w:ascii="宋体" w:hAnsi="宋体"/>
          <w:sz w:val="22"/>
          <w:szCs w:val="21"/>
        </w:rPr>
        <w:t>7.</w:t>
      </w:r>
      <w:r>
        <w:rPr>
          <w:rFonts w:hint="eastAsia" w:ascii="宋体" w:hAnsi="宋体"/>
          <w:sz w:val="22"/>
          <w:szCs w:val="21"/>
        </w:rPr>
        <w:t>项目成果文本印刷费用；</w:t>
      </w:r>
      <w:r>
        <w:rPr>
          <w:rFonts w:ascii="宋体" w:hAnsi="宋体"/>
          <w:sz w:val="22"/>
          <w:szCs w:val="21"/>
        </w:rPr>
        <w:t>8.</w:t>
      </w:r>
      <w:r>
        <w:rPr>
          <w:rFonts w:hint="eastAsia" w:ascii="宋体" w:hAnsi="宋体"/>
          <w:sz w:val="22"/>
          <w:szCs w:val="21"/>
        </w:rPr>
        <w:t>乙方以各种方式将文件资料发送至甲方的费用；</w:t>
      </w:r>
      <w:r>
        <w:rPr>
          <w:rFonts w:ascii="宋体" w:hAnsi="宋体"/>
          <w:sz w:val="22"/>
          <w:szCs w:val="21"/>
        </w:rPr>
        <w:t>9.</w:t>
      </w:r>
      <w:r>
        <w:rPr>
          <w:rFonts w:hint="eastAsia" w:ascii="宋体" w:hAnsi="宋体"/>
          <w:sz w:val="22"/>
          <w:szCs w:val="21"/>
        </w:rPr>
        <w:t>本合同项下产生的一切税费。</w:t>
      </w:r>
    </w:p>
    <w:p>
      <w:pPr>
        <w:spacing w:line="360" w:lineRule="auto"/>
        <w:ind w:firstLine="440" w:firstLineChars="200"/>
        <w:rPr>
          <w:rFonts w:ascii="宋体" w:hAnsi="宋体"/>
          <w:sz w:val="22"/>
          <w:szCs w:val="21"/>
        </w:rPr>
      </w:pPr>
      <w:r>
        <w:rPr>
          <w:rFonts w:hint="eastAsia" w:ascii="宋体" w:hAnsi="宋体"/>
          <w:sz w:val="22"/>
          <w:szCs w:val="21"/>
        </w:rPr>
        <w:t>（二）付款方式：</w:t>
      </w:r>
    </w:p>
    <w:p>
      <w:pPr>
        <w:spacing w:line="360" w:lineRule="auto"/>
        <w:ind w:firstLine="440" w:firstLineChars="200"/>
        <w:rPr>
          <w:rFonts w:ascii="宋体" w:hAnsi="宋体"/>
          <w:sz w:val="22"/>
          <w:szCs w:val="21"/>
        </w:rPr>
      </w:pPr>
      <w:r>
        <w:rPr>
          <w:rFonts w:hint="eastAsia" w:ascii="宋体" w:hAnsi="宋体"/>
          <w:sz w:val="22"/>
          <w:szCs w:val="21"/>
        </w:rPr>
        <w:t>合同价款由甲方分</w:t>
      </w:r>
      <w:r>
        <w:rPr>
          <w:rFonts w:ascii="宋体" w:hAnsi="宋体"/>
          <w:sz w:val="22"/>
          <w:szCs w:val="21"/>
        </w:rPr>
        <w:t>2</w:t>
      </w:r>
      <w:r>
        <w:rPr>
          <w:rFonts w:hint="eastAsia" w:ascii="宋体" w:hAnsi="宋体"/>
          <w:sz w:val="22"/>
          <w:szCs w:val="21"/>
        </w:rPr>
        <w:t>期支付至乙方指定银行账户：</w:t>
      </w:r>
    </w:p>
    <w:p>
      <w:pPr>
        <w:spacing w:line="360" w:lineRule="auto"/>
        <w:ind w:firstLine="440" w:firstLineChars="200"/>
        <w:rPr>
          <w:rFonts w:ascii="宋体" w:hAnsi="宋体"/>
          <w:sz w:val="22"/>
          <w:szCs w:val="21"/>
        </w:rPr>
      </w:pPr>
      <w:r>
        <w:rPr>
          <w:rFonts w:hint="eastAsia" w:ascii="宋体" w:hAnsi="宋体"/>
          <w:sz w:val="22"/>
          <w:szCs w:val="21"/>
        </w:rPr>
        <w:t>首期：完成合同签订后</w:t>
      </w:r>
      <w:r>
        <w:rPr>
          <w:rFonts w:ascii="宋体" w:hAnsi="宋体"/>
          <w:sz w:val="22"/>
          <w:szCs w:val="21"/>
        </w:rPr>
        <w:t>20</w:t>
      </w:r>
      <w:r>
        <w:rPr>
          <w:rFonts w:hint="eastAsia" w:ascii="宋体" w:hAnsi="宋体"/>
          <w:sz w:val="22"/>
          <w:szCs w:val="21"/>
        </w:rPr>
        <w:t>个工作日内，根据乙方提出的付款申请，甲方向乙方支付总价款的</w:t>
      </w:r>
      <w:r>
        <w:rPr>
          <w:rFonts w:ascii="宋体" w:hAnsi="宋体"/>
          <w:sz w:val="22"/>
          <w:szCs w:val="21"/>
        </w:rPr>
        <w:t>40%</w:t>
      </w:r>
      <w:r>
        <w:rPr>
          <w:rFonts w:hint="eastAsia" w:ascii="宋体" w:hAnsi="宋体"/>
          <w:sz w:val="22"/>
          <w:szCs w:val="21"/>
        </w:rPr>
        <w:t>，即人民币（￥</w:t>
      </w:r>
      <w:r>
        <w:rPr>
          <w:rFonts w:ascii="宋体" w:hAnsi="宋体"/>
          <w:sz w:val="22"/>
          <w:szCs w:val="21"/>
        </w:rPr>
        <w:t xml:space="preserve">  .00</w:t>
      </w:r>
      <w:r>
        <w:rPr>
          <w:rFonts w:hint="eastAsia" w:ascii="宋体" w:hAnsi="宋体"/>
          <w:sz w:val="22"/>
          <w:szCs w:val="21"/>
        </w:rPr>
        <w:t>元）；</w:t>
      </w:r>
    </w:p>
    <w:p>
      <w:pPr>
        <w:spacing w:line="360" w:lineRule="auto"/>
        <w:ind w:firstLine="440" w:firstLineChars="200"/>
        <w:rPr>
          <w:rFonts w:ascii="宋体" w:hAnsi="宋体"/>
          <w:sz w:val="22"/>
          <w:szCs w:val="21"/>
        </w:rPr>
      </w:pPr>
      <w:r>
        <w:rPr>
          <w:rFonts w:hint="eastAsia" w:ascii="宋体" w:hAnsi="宋体"/>
          <w:sz w:val="22"/>
          <w:szCs w:val="21"/>
        </w:rPr>
        <w:t>第</w:t>
      </w:r>
      <w:r>
        <w:rPr>
          <w:rFonts w:ascii="宋体" w:hAnsi="宋体"/>
          <w:sz w:val="22"/>
          <w:szCs w:val="21"/>
        </w:rPr>
        <w:t>2</w:t>
      </w:r>
      <w:r>
        <w:rPr>
          <w:rFonts w:hint="eastAsia" w:ascii="宋体" w:hAnsi="宋体"/>
          <w:sz w:val="22"/>
          <w:szCs w:val="21"/>
        </w:rPr>
        <w:t>期：乙方完成</w:t>
      </w:r>
      <w:r>
        <w:rPr>
          <w:rFonts w:hint="eastAsia" w:ascii="宋体" w:hAnsi="宋体"/>
          <w:sz w:val="22"/>
          <w:szCs w:val="21"/>
          <w:lang w:val="zh-CN"/>
        </w:rPr>
        <w:t>主报告《广东对标香港营商规则研究及优化提升建议》和子报告《前海营商环境创新实践及对标提升建议》</w:t>
      </w:r>
      <w:r>
        <w:rPr>
          <w:rFonts w:hint="eastAsia" w:ascii="宋体" w:hAnsi="宋体"/>
          <w:sz w:val="22"/>
          <w:szCs w:val="21"/>
        </w:rPr>
        <w:t>，且报告通过甲方验收后20个工作日内，根据乙方提出的付款申请，甲方向乙方支付总价款的60%，即人民币（￥  .00元）。</w:t>
      </w:r>
    </w:p>
    <w:p>
      <w:pPr>
        <w:spacing w:line="360" w:lineRule="auto"/>
        <w:ind w:firstLine="440" w:firstLineChars="200"/>
        <w:rPr>
          <w:rFonts w:ascii="宋体" w:hAnsi="宋体"/>
          <w:sz w:val="22"/>
          <w:szCs w:val="21"/>
        </w:rPr>
      </w:pPr>
      <w:r>
        <w:rPr>
          <w:rFonts w:hint="eastAsia" w:ascii="宋体" w:hAnsi="宋体"/>
          <w:sz w:val="22"/>
          <w:szCs w:val="21"/>
        </w:rPr>
        <w:t>上述每期款项均在满足付款条件，且甲方收到乙方开具的载明相应金额的合格发票后付至乙方指定银行账户。如未及时收到发票，则甲方相应付款时间顺延。</w:t>
      </w:r>
    </w:p>
    <w:p>
      <w:pPr>
        <w:spacing w:line="360" w:lineRule="auto"/>
        <w:ind w:firstLine="440" w:firstLineChars="200"/>
        <w:rPr>
          <w:rFonts w:ascii="宋体" w:hAnsi="宋体"/>
          <w:sz w:val="22"/>
          <w:szCs w:val="21"/>
        </w:rPr>
      </w:pPr>
      <w:r>
        <w:rPr>
          <w:rFonts w:hint="eastAsia" w:ascii="宋体" w:hAnsi="宋体"/>
          <w:sz w:val="22"/>
          <w:szCs w:val="21"/>
        </w:rPr>
        <w:t>本项目明确合同款项支付至乙方账户，乙方内部款项分配自行协商，与甲方无关。</w:t>
      </w:r>
    </w:p>
    <w:p>
      <w:pPr>
        <w:spacing w:line="360" w:lineRule="auto"/>
        <w:ind w:firstLine="440" w:firstLineChars="200"/>
        <w:rPr>
          <w:rFonts w:ascii="宋体" w:hAnsi="宋体"/>
          <w:sz w:val="22"/>
          <w:szCs w:val="21"/>
        </w:rPr>
      </w:pPr>
      <w:r>
        <w:rPr>
          <w:rFonts w:hint="eastAsia" w:ascii="宋体" w:hAnsi="宋体"/>
          <w:sz w:val="22"/>
          <w:szCs w:val="21"/>
        </w:rPr>
        <w:t>乙方指定银行账户信息：</w:t>
      </w:r>
    </w:p>
    <w:p>
      <w:pPr>
        <w:spacing w:line="360" w:lineRule="auto"/>
        <w:ind w:firstLine="440" w:firstLineChars="200"/>
        <w:rPr>
          <w:rFonts w:ascii="宋体" w:hAnsi="宋体"/>
          <w:sz w:val="22"/>
          <w:szCs w:val="21"/>
        </w:rPr>
      </w:pPr>
      <w:r>
        <w:rPr>
          <w:rFonts w:hint="eastAsia" w:ascii="宋体" w:hAnsi="宋体"/>
          <w:sz w:val="22"/>
          <w:szCs w:val="21"/>
        </w:rPr>
        <w:t xml:space="preserve">开户银行：     </w:t>
      </w:r>
    </w:p>
    <w:p>
      <w:pPr>
        <w:spacing w:line="360" w:lineRule="auto"/>
        <w:ind w:firstLine="440" w:firstLineChars="200"/>
        <w:rPr>
          <w:rFonts w:ascii="宋体" w:hAnsi="宋体"/>
          <w:sz w:val="22"/>
          <w:szCs w:val="21"/>
        </w:rPr>
      </w:pPr>
      <w:r>
        <w:rPr>
          <w:rFonts w:hint="eastAsia" w:ascii="宋体" w:hAnsi="宋体"/>
          <w:sz w:val="22"/>
          <w:szCs w:val="21"/>
        </w:rPr>
        <w:t xml:space="preserve">户名：    </w:t>
      </w:r>
    </w:p>
    <w:p>
      <w:pPr>
        <w:spacing w:line="360" w:lineRule="auto"/>
        <w:ind w:firstLine="440" w:firstLineChars="200"/>
        <w:rPr>
          <w:rFonts w:ascii="宋体" w:hAnsi="宋体"/>
          <w:sz w:val="22"/>
          <w:szCs w:val="21"/>
        </w:rPr>
      </w:pPr>
      <w:r>
        <w:rPr>
          <w:rFonts w:hint="eastAsia" w:ascii="宋体" w:hAnsi="宋体"/>
          <w:sz w:val="22"/>
          <w:szCs w:val="21"/>
        </w:rPr>
        <w:t xml:space="preserve">账号： </w:t>
      </w:r>
    </w:p>
    <w:p>
      <w:pPr>
        <w:spacing w:line="360" w:lineRule="auto"/>
        <w:ind w:firstLine="442" w:firstLineChars="200"/>
        <w:rPr>
          <w:rFonts w:ascii="宋体" w:hAnsi="宋体"/>
          <w:b/>
          <w:bCs/>
          <w:sz w:val="22"/>
          <w:szCs w:val="21"/>
        </w:rPr>
      </w:pPr>
      <w:r>
        <w:rPr>
          <w:rFonts w:hint="eastAsia" w:ascii="宋体" w:hAnsi="宋体"/>
          <w:b/>
          <w:bCs/>
          <w:sz w:val="22"/>
          <w:szCs w:val="21"/>
        </w:rPr>
        <w:t>五、项目变更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b/>
          <w:bCs/>
          <w:sz w:val="22"/>
          <w:szCs w:val="21"/>
        </w:rPr>
      </w:pPr>
      <w:r>
        <w:rPr>
          <w:rFonts w:hint="eastAsia" w:ascii="宋体" w:hAnsi="宋体"/>
          <w:b/>
          <w:bCs/>
          <w:sz w:val="22"/>
          <w:szCs w:val="21"/>
        </w:rPr>
        <w:t>六、成果权属与知识产权</w:t>
      </w:r>
    </w:p>
    <w:p>
      <w:pPr>
        <w:spacing w:line="360" w:lineRule="auto"/>
        <w:ind w:firstLine="440" w:firstLineChars="200"/>
        <w:rPr>
          <w:rFonts w:ascii="宋体" w:hAnsi="宋体"/>
          <w:sz w:val="22"/>
          <w:szCs w:val="21"/>
        </w:rPr>
      </w:pPr>
      <w:r>
        <w:rPr>
          <w:rFonts w:hint="eastAsia" w:ascii="宋体" w:hAnsi="宋体"/>
          <w:sz w:val="22"/>
          <w:szCs w:val="21"/>
        </w:rPr>
        <w:t>（一）本项目全部阶段性成果和最终成果的所有权、知识产权以及与之相关的所有权利归甲方所有；本合同签署前双方已经拥有的知识产权权利，仍归各自所有。</w:t>
      </w:r>
    </w:p>
    <w:p>
      <w:pPr>
        <w:spacing w:line="360" w:lineRule="auto"/>
        <w:ind w:firstLine="440" w:firstLineChars="200"/>
        <w:rPr>
          <w:rFonts w:ascii="宋体" w:hAnsi="宋体"/>
          <w:sz w:val="22"/>
          <w:szCs w:val="21"/>
        </w:rPr>
      </w:pPr>
      <w:r>
        <w:rPr>
          <w:rFonts w:hint="eastAsia" w:ascii="宋体" w:hAnsi="宋体"/>
          <w:sz w:val="22"/>
          <w:szCs w:val="21"/>
        </w:rPr>
        <w:t>（二）双方确定，甲方有权对乙方按照本合同约定提供的成果进行后续改进。由此产生的具有实质性或创造性技术进步特征的新的技术成果及其权利全部由甲方享有。</w:t>
      </w:r>
    </w:p>
    <w:p>
      <w:pPr>
        <w:spacing w:line="360" w:lineRule="auto"/>
        <w:ind w:firstLine="440" w:firstLineChars="200"/>
        <w:rPr>
          <w:rFonts w:ascii="宋体" w:hAnsi="宋体"/>
          <w:sz w:val="22"/>
          <w:szCs w:val="21"/>
        </w:rPr>
      </w:pPr>
      <w:r>
        <w:rPr>
          <w:rFonts w:hint="eastAsia" w:ascii="宋体" w:hAnsi="宋体"/>
          <w:sz w:val="22"/>
          <w:szCs w:val="21"/>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同时，甲方保留要求乙方赔偿全部损失的权利。</w:t>
      </w:r>
    </w:p>
    <w:p>
      <w:pPr>
        <w:spacing w:line="360" w:lineRule="auto"/>
        <w:ind w:firstLine="440" w:firstLineChars="200"/>
        <w:rPr>
          <w:rFonts w:ascii="宋体" w:hAnsi="宋体"/>
          <w:sz w:val="22"/>
          <w:szCs w:val="21"/>
        </w:rPr>
      </w:pPr>
      <w:r>
        <w:rPr>
          <w:rFonts w:hint="eastAsia" w:ascii="宋体" w:hAnsi="宋体"/>
          <w:sz w:val="22"/>
          <w:szCs w:val="21"/>
        </w:rPr>
        <w:t>（五）乙方完成本项目的研究人员享有在有关技术成果文件上署名的权利和与甲方共同获得有关荣誉证书、奖励的权利。</w:t>
      </w:r>
    </w:p>
    <w:p>
      <w:pPr>
        <w:spacing w:line="360" w:lineRule="auto"/>
        <w:ind w:firstLine="442" w:firstLineChars="200"/>
        <w:rPr>
          <w:rFonts w:ascii="宋体" w:hAnsi="宋体"/>
          <w:b/>
          <w:bCs/>
          <w:sz w:val="22"/>
          <w:szCs w:val="21"/>
        </w:rPr>
      </w:pPr>
      <w:r>
        <w:rPr>
          <w:rFonts w:hint="eastAsia" w:ascii="宋体" w:hAnsi="宋体"/>
          <w:b/>
          <w:bCs/>
          <w:sz w:val="22"/>
          <w:szCs w:val="21"/>
        </w:rPr>
        <w:t>七、保密条款</w:t>
      </w:r>
    </w:p>
    <w:p>
      <w:pPr>
        <w:spacing w:line="360" w:lineRule="auto"/>
        <w:ind w:firstLine="440" w:firstLineChars="200"/>
        <w:rPr>
          <w:rFonts w:ascii="宋体" w:hAnsi="宋体"/>
          <w:sz w:val="22"/>
          <w:szCs w:val="21"/>
        </w:rPr>
      </w:pPr>
      <w:r>
        <w:rPr>
          <w:rFonts w:hint="eastAsia" w:ascii="宋体" w:hAnsi="宋体"/>
          <w:sz w:val="22"/>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rPr>
      </w:pPr>
      <w:r>
        <w:rPr>
          <w:rFonts w:hint="eastAsia" w:ascii="宋体" w:hAnsi="宋体"/>
          <w:sz w:val="22"/>
          <w:szCs w:val="21"/>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40" w:firstLineChars="200"/>
        <w:rPr>
          <w:rFonts w:ascii="宋体" w:hAnsi="宋体"/>
          <w:sz w:val="22"/>
          <w:szCs w:val="21"/>
        </w:rPr>
      </w:pPr>
      <w:r>
        <w:rPr>
          <w:rFonts w:hint="eastAsia" w:ascii="宋体" w:hAnsi="宋体"/>
          <w:sz w:val="22"/>
          <w:szCs w:val="21"/>
        </w:rPr>
        <w:t>（三）乙方实施项目的程序应符合国家安全、保密的有关规定和标准。</w:t>
      </w:r>
    </w:p>
    <w:p>
      <w:pPr>
        <w:spacing w:line="360" w:lineRule="auto"/>
        <w:ind w:firstLine="440" w:firstLineChars="200"/>
        <w:rPr>
          <w:rFonts w:ascii="宋体" w:hAnsi="宋体"/>
          <w:sz w:val="22"/>
          <w:szCs w:val="21"/>
        </w:rPr>
      </w:pPr>
      <w:r>
        <w:rPr>
          <w:rFonts w:hint="eastAsia" w:ascii="宋体" w:hAnsi="宋体"/>
          <w:sz w:val="22"/>
          <w:szCs w:val="21"/>
        </w:rPr>
        <w:t>（四）上述保密义务不适用以下情况：</w:t>
      </w:r>
    </w:p>
    <w:p>
      <w:pPr>
        <w:spacing w:line="360" w:lineRule="auto"/>
        <w:ind w:firstLine="440" w:firstLineChars="200"/>
        <w:rPr>
          <w:rFonts w:ascii="宋体" w:hAnsi="宋体"/>
          <w:sz w:val="22"/>
          <w:szCs w:val="21"/>
        </w:rPr>
      </w:pPr>
      <w:r>
        <w:rPr>
          <w:rFonts w:hint="eastAsia" w:ascii="宋体" w:hAnsi="宋体"/>
          <w:sz w:val="22"/>
          <w:szCs w:val="21"/>
        </w:rPr>
        <w:t>1.获取的信息已被合法公开；</w:t>
      </w:r>
    </w:p>
    <w:p>
      <w:pPr>
        <w:spacing w:line="360" w:lineRule="auto"/>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360" w:lineRule="auto"/>
        <w:ind w:firstLine="440" w:firstLineChars="200"/>
        <w:rPr>
          <w:rFonts w:ascii="宋体" w:hAnsi="宋体"/>
          <w:sz w:val="22"/>
          <w:szCs w:val="21"/>
        </w:rPr>
      </w:pPr>
      <w:r>
        <w:rPr>
          <w:rFonts w:hint="eastAsia" w:ascii="宋体" w:hAnsi="宋体"/>
          <w:sz w:val="22"/>
          <w:szCs w:val="21"/>
        </w:rPr>
        <w:t>3.国家法律、法规规定的情形。</w:t>
      </w:r>
    </w:p>
    <w:p>
      <w:pPr>
        <w:spacing w:line="360" w:lineRule="auto"/>
        <w:ind w:firstLine="440" w:firstLineChars="200"/>
        <w:rPr>
          <w:rFonts w:ascii="宋体" w:hAnsi="宋体"/>
          <w:sz w:val="22"/>
          <w:szCs w:val="21"/>
        </w:rPr>
      </w:pPr>
      <w:r>
        <w:rPr>
          <w:rFonts w:hint="eastAsia" w:ascii="宋体" w:hAnsi="宋体"/>
          <w:sz w:val="22"/>
          <w:szCs w:val="21"/>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sz w:val="22"/>
          <w:szCs w:val="21"/>
        </w:rPr>
      </w:pPr>
      <w:r>
        <w:rPr>
          <w:rFonts w:hint="eastAsia" w:ascii="宋体" w:hAnsi="宋体"/>
          <w:sz w:val="22"/>
          <w:szCs w:val="21"/>
        </w:rPr>
        <w:t>（六）无论本合同或本合同其他条款是否有效，本保密条款始终约束双方。国家秘密的保密期限由国家有关部门确定，工作秘密的保密期限由甲方确定。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rPr>
      </w:pPr>
      <w:r>
        <w:rPr>
          <w:rFonts w:hint="eastAsia" w:ascii="宋体" w:hAnsi="宋体"/>
          <w:b/>
          <w:bCs/>
          <w:sz w:val="22"/>
          <w:szCs w:val="21"/>
        </w:rPr>
        <w:t>八、合同提前终止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40" w:firstLineChars="200"/>
        <w:rPr>
          <w:rFonts w:ascii="宋体" w:hAnsi="宋体"/>
          <w:sz w:val="22"/>
          <w:szCs w:val="21"/>
        </w:rPr>
      </w:pPr>
      <w:r>
        <w:rPr>
          <w:rFonts w:hint="eastAsia" w:ascii="宋体" w:hAnsi="宋体"/>
          <w:sz w:val="22"/>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b/>
          <w:bCs/>
          <w:sz w:val="22"/>
          <w:szCs w:val="21"/>
        </w:rPr>
      </w:pPr>
      <w:r>
        <w:rPr>
          <w:rFonts w:hint="eastAsia" w:ascii="宋体" w:hAnsi="宋体"/>
          <w:b/>
          <w:bCs/>
          <w:sz w:val="22"/>
          <w:szCs w:val="21"/>
        </w:rPr>
        <w:t>九、违约责任</w:t>
      </w:r>
    </w:p>
    <w:p>
      <w:pPr>
        <w:spacing w:line="360" w:lineRule="auto"/>
        <w:ind w:firstLine="440" w:firstLineChars="200"/>
        <w:rPr>
          <w:rFonts w:ascii="宋体" w:hAnsi="宋体"/>
          <w:sz w:val="22"/>
          <w:szCs w:val="21"/>
        </w:rPr>
      </w:pPr>
      <w:r>
        <w:rPr>
          <w:rFonts w:hint="eastAsia" w:ascii="宋体" w:hAnsi="宋体"/>
          <w:sz w:val="22"/>
          <w:szCs w:val="21"/>
        </w:rPr>
        <w:t>（一）如乙方未按照本合同约定的时间完成本项目各阶段工作，每迟延一日，甲方有权从尚未支付的合同款项中扣除本合同服务费总金额的</w:t>
      </w:r>
      <w:r>
        <w:rPr>
          <w:rFonts w:ascii="宋体" w:hAnsi="宋体"/>
          <w:sz w:val="22"/>
          <w:szCs w:val="21"/>
        </w:rPr>
        <w:t>0.5</w:t>
      </w:r>
      <w:r>
        <w:rPr>
          <w:rFonts w:hint="eastAsia" w:ascii="宋体" w:hAnsi="宋体"/>
          <w:sz w:val="22"/>
          <w:szCs w:val="21"/>
        </w:rPr>
        <w:t>‰的逾期违约金。</w:t>
      </w:r>
    </w:p>
    <w:p>
      <w:pPr>
        <w:spacing w:line="360" w:lineRule="auto"/>
        <w:ind w:firstLine="440" w:firstLineChars="200"/>
        <w:rPr>
          <w:rFonts w:ascii="宋体" w:hAnsi="宋体"/>
          <w:sz w:val="22"/>
          <w:szCs w:val="21"/>
        </w:rPr>
      </w:pPr>
      <w:r>
        <w:rPr>
          <w:rFonts w:hint="eastAsia" w:ascii="宋体" w:hAnsi="宋体"/>
          <w:sz w:val="22"/>
          <w:szCs w:val="21"/>
        </w:rPr>
        <w:t>（二）本合同项下的工作内容不可分割，任一文件的迟延交付均视为整个项目的迟延交付。</w:t>
      </w:r>
    </w:p>
    <w:p>
      <w:pPr>
        <w:spacing w:line="360" w:lineRule="auto"/>
        <w:ind w:firstLine="440" w:firstLineChars="200"/>
        <w:rPr>
          <w:rFonts w:ascii="宋体" w:hAnsi="宋体"/>
          <w:sz w:val="22"/>
          <w:szCs w:val="21"/>
        </w:rPr>
      </w:pPr>
      <w:r>
        <w:rPr>
          <w:rFonts w:hint="eastAsia" w:ascii="宋体" w:hAnsi="宋体"/>
          <w:sz w:val="22"/>
          <w:szCs w:val="21"/>
        </w:rPr>
        <w:t>（三）本合同履行期间，发生下述情形时，甲方有权解除本合同，乙方除应退还甲方已支付的全部款项外</w:t>
      </w:r>
      <w:r>
        <w:rPr>
          <w:rFonts w:ascii="宋体" w:hAnsi="宋体"/>
          <w:sz w:val="22"/>
          <w:szCs w:val="21"/>
        </w:rPr>
        <w:t xml:space="preserve">, </w:t>
      </w:r>
      <w:r>
        <w:rPr>
          <w:rFonts w:hint="eastAsia" w:ascii="宋体" w:hAnsi="宋体"/>
          <w:sz w:val="22"/>
          <w:szCs w:val="21"/>
        </w:rPr>
        <w:t>还应在合同解除通知发出之日起</w:t>
      </w:r>
      <w:r>
        <w:rPr>
          <w:rFonts w:ascii="宋体" w:hAnsi="宋体"/>
          <w:sz w:val="22"/>
          <w:szCs w:val="21"/>
        </w:rPr>
        <w:t>10日内向甲方支付合同总价款20%的违约金。乙方应同时将已完成的项目成果移交给甲方，并将全部有关资料退还甲方：</w:t>
      </w:r>
    </w:p>
    <w:p>
      <w:pPr>
        <w:spacing w:line="360" w:lineRule="auto"/>
        <w:ind w:firstLine="440" w:firstLineChars="200"/>
        <w:rPr>
          <w:rFonts w:ascii="宋体" w:hAnsi="宋体"/>
          <w:sz w:val="22"/>
          <w:szCs w:val="21"/>
        </w:rPr>
      </w:pPr>
      <w:r>
        <w:rPr>
          <w:rFonts w:ascii="宋体" w:hAnsi="宋体"/>
          <w:sz w:val="22"/>
          <w:szCs w:val="21"/>
        </w:rPr>
        <w:t>1.乙方未能按合同约定的日期(含协商延缓的日期) 提交</w:t>
      </w:r>
      <w:r>
        <w:rPr>
          <w:rFonts w:hint="eastAsia" w:ascii="宋体" w:hAnsi="宋体"/>
          <w:sz w:val="22"/>
          <w:szCs w:val="21"/>
        </w:rPr>
        <w:t>各阶段成果或最终</w:t>
      </w:r>
      <w:r>
        <w:rPr>
          <w:rFonts w:ascii="宋体" w:hAnsi="宋体"/>
          <w:sz w:val="22"/>
          <w:szCs w:val="21"/>
        </w:rPr>
        <w:t>成果，延误时间超过5个工作日；</w:t>
      </w:r>
    </w:p>
    <w:p>
      <w:pPr>
        <w:spacing w:line="360" w:lineRule="auto"/>
        <w:ind w:firstLine="440" w:firstLineChars="200"/>
        <w:rPr>
          <w:rFonts w:ascii="宋体" w:hAnsi="宋体"/>
          <w:sz w:val="22"/>
          <w:szCs w:val="21"/>
        </w:rPr>
      </w:pPr>
      <w:r>
        <w:rPr>
          <w:rFonts w:ascii="宋体" w:hAnsi="宋体"/>
          <w:sz w:val="22"/>
          <w:szCs w:val="21"/>
        </w:rPr>
        <w:t>2.因乙方工作的错误或遗漏造成成果质量不符合本合同要求，且乙方未按甲方要求采取及时有效的补救措施的；</w:t>
      </w:r>
    </w:p>
    <w:p>
      <w:pPr>
        <w:spacing w:line="360" w:lineRule="auto"/>
        <w:ind w:firstLine="440" w:firstLineChars="200"/>
        <w:rPr>
          <w:rFonts w:ascii="宋体" w:hAnsi="宋体"/>
          <w:sz w:val="22"/>
          <w:szCs w:val="21"/>
        </w:rPr>
      </w:pPr>
      <w:r>
        <w:rPr>
          <w:rFonts w:ascii="宋体" w:hAnsi="宋体"/>
          <w:sz w:val="22"/>
          <w:szCs w:val="21"/>
        </w:rPr>
        <w:t>3.乙方虽如期提交阶段性成果和最终成果，但最终成果连续二次未能通过</w:t>
      </w:r>
      <w:r>
        <w:rPr>
          <w:rFonts w:hint="eastAsia" w:ascii="宋体" w:hAnsi="宋体"/>
          <w:sz w:val="22"/>
          <w:szCs w:val="21"/>
        </w:rPr>
        <w:t>甲方</w:t>
      </w:r>
      <w:r>
        <w:rPr>
          <w:rFonts w:ascii="宋体" w:hAnsi="宋体"/>
          <w:sz w:val="22"/>
          <w:szCs w:val="21"/>
        </w:rPr>
        <w:t>验收的；</w:t>
      </w:r>
    </w:p>
    <w:p>
      <w:pPr>
        <w:spacing w:line="360" w:lineRule="auto"/>
        <w:ind w:firstLine="440" w:firstLineChars="200"/>
        <w:rPr>
          <w:rFonts w:ascii="宋体" w:hAnsi="宋体"/>
          <w:sz w:val="22"/>
          <w:szCs w:val="21"/>
        </w:rPr>
      </w:pPr>
      <w:r>
        <w:rPr>
          <w:rFonts w:hint="eastAsia" w:ascii="宋体" w:hAnsi="宋体"/>
          <w:sz w:val="22"/>
          <w:szCs w:val="21"/>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40" w:firstLineChars="200"/>
        <w:rPr>
          <w:rFonts w:ascii="宋体" w:hAnsi="宋体"/>
          <w:sz w:val="22"/>
          <w:szCs w:val="21"/>
        </w:rPr>
      </w:pPr>
      <w:r>
        <w:rPr>
          <w:rFonts w:hint="eastAsia" w:ascii="宋体" w:hAnsi="宋体"/>
          <w:sz w:val="22"/>
          <w:szCs w:val="21"/>
        </w:rPr>
        <w:t>5. 项目负责人未承担本合同项目实质性工作，或未经甲方书面在先同意，乙方擅自更换项目负责人的；</w:t>
      </w:r>
    </w:p>
    <w:p>
      <w:pPr>
        <w:spacing w:line="360" w:lineRule="auto"/>
        <w:ind w:firstLine="440" w:firstLineChars="200"/>
        <w:rPr>
          <w:rFonts w:ascii="宋体" w:hAnsi="宋体"/>
          <w:sz w:val="22"/>
          <w:szCs w:val="21"/>
        </w:rPr>
      </w:pPr>
      <w:r>
        <w:rPr>
          <w:rFonts w:hint="eastAsia" w:ascii="宋体" w:hAnsi="宋体"/>
          <w:sz w:val="22"/>
          <w:szCs w:val="21"/>
        </w:rPr>
        <w:t>6.发现乙方或乙方工作人员出现全部或部分丧失履行委托服务能力的情况，甲方有权通知乙方限期整改或更换工作人员，期限届满乙方并未进行改善的；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rPr>
      </w:pPr>
      <w:r>
        <w:rPr>
          <w:rFonts w:hint="eastAsia" w:ascii="宋体" w:hAnsi="宋体"/>
          <w:sz w:val="22"/>
          <w:szCs w:val="21"/>
        </w:rPr>
        <w:t>7.乙方明确表示或者以自己的行为表明不履行本合同的。</w:t>
      </w:r>
    </w:p>
    <w:p>
      <w:pPr>
        <w:spacing w:line="360" w:lineRule="auto"/>
        <w:ind w:firstLine="440" w:firstLineChars="200"/>
        <w:rPr>
          <w:rFonts w:ascii="宋体" w:hAnsi="宋体"/>
          <w:sz w:val="22"/>
          <w:szCs w:val="21"/>
        </w:rPr>
      </w:pPr>
      <w:r>
        <w:rPr>
          <w:rFonts w:hint="eastAsia" w:ascii="宋体" w:hAnsi="宋体"/>
          <w:sz w:val="22"/>
          <w:szCs w:val="21"/>
        </w:rPr>
        <w:t>（四）除因甲方付款审批影响支付进度的情况外，如甲方未按照本合同约定的时间支付服务费，乙方书面催告甲方并给予不少于5个工作日的履行期限后甲方仍未支付的，乙方有权自该期限届满之日起要求甲方支付该阶段应付而未付合同价款每日</w:t>
      </w:r>
      <w:r>
        <w:rPr>
          <w:rFonts w:ascii="宋体" w:hAnsi="宋体"/>
          <w:sz w:val="22"/>
          <w:szCs w:val="21"/>
        </w:rPr>
        <w:t>0.5</w:t>
      </w:r>
      <w:r>
        <w:rPr>
          <w:rFonts w:hint="eastAsia" w:ascii="宋体" w:hAnsi="宋体"/>
          <w:sz w:val="22"/>
          <w:szCs w:val="21"/>
        </w:rPr>
        <w:t>‰的逾期违约金。如甲方无正当理由拒绝接受服务，到期明确表示拒付服务款项，乙方有权要求甲方支付合同项下服务费用总金额</w:t>
      </w:r>
      <w:r>
        <w:rPr>
          <w:rFonts w:ascii="宋体" w:hAnsi="宋体"/>
          <w:sz w:val="22"/>
          <w:szCs w:val="21"/>
        </w:rPr>
        <w:t>5%的违约金。</w:t>
      </w:r>
    </w:p>
    <w:p>
      <w:pPr>
        <w:spacing w:line="360" w:lineRule="auto"/>
        <w:ind w:firstLine="440" w:firstLineChars="200"/>
        <w:rPr>
          <w:rFonts w:ascii="宋体" w:hAnsi="宋体"/>
          <w:sz w:val="22"/>
          <w:szCs w:val="21"/>
        </w:rPr>
      </w:pPr>
      <w:r>
        <w:rPr>
          <w:rFonts w:hint="eastAsia" w:ascii="宋体" w:hAnsi="宋体"/>
          <w:sz w:val="22"/>
          <w:szCs w:val="21"/>
        </w:rPr>
        <w:t>（五）上述违约责任各自独立且可累加。如本合同所约定的违约金无法弥补因违约行为所造成的损失，违约方应补偿上述不足部分的损失。</w:t>
      </w:r>
    </w:p>
    <w:p>
      <w:pPr>
        <w:spacing w:line="360" w:lineRule="auto"/>
        <w:ind w:firstLine="442" w:firstLineChars="200"/>
        <w:rPr>
          <w:rFonts w:ascii="宋体" w:hAnsi="宋体"/>
          <w:b/>
          <w:bCs/>
          <w:sz w:val="22"/>
          <w:szCs w:val="21"/>
        </w:rPr>
      </w:pPr>
      <w:r>
        <w:rPr>
          <w:rFonts w:hint="eastAsia" w:ascii="宋体" w:hAnsi="宋体"/>
          <w:b/>
          <w:bCs/>
          <w:sz w:val="22"/>
          <w:szCs w:val="21"/>
        </w:rPr>
        <w:t>十、争议解决</w:t>
      </w:r>
    </w:p>
    <w:p>
      <w:pPr>
        <w:spacing w:line="360" w:lineRule="auto"/>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spacing w:line="360" w:lineRule="auto"/>
        <w:ind w:firstLine="442" w:firstLineChars="200"/>
        <w:rPr>
          <w:rFonts w:ascii="宋体" w:hAnsi="宋体"/>
          <w:b/>
          <w:bCs/>
          <w:sz w:val="22"/>
          <w:szCs w:val="21"/>
        </w:rPr>
      </w:pPr>
      <w:r>
        <w:rPr>
          <w:rFonts w:hint="eastAsia" w:ascii="宋体" w:hAnsi="宋体"/>
          <w:b/>
          <w:bCs/>
          <w:sz w:val="22"/>
          <w:szCs w:val="21"/>
        </w:rPr>
        <w:t>十一、其他约定</w:t>
      </w:r>
    </w:p>
    <w:p>
      <w:pPr>
        <w:spacing w:line="360" w:lineRule="auto"/>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sz w:val="22"/>
          <w:szCs w:val="21"/>
        </w:rPr>
      </w:pPr>
      <w:r>
        <w:rPr>
          <w:rFonts w:hint="eastAsia" w:ascii="宋体" w:hAnsi="宋体"/>
          <w:sz w:val="22"/>
          <w:szCs w:val="21"/>
        </w:rPr>
        <w:t>1.合同书及补充协议；</w:t>
      </w:r>
    </w:p>
    <w:p>
      <w:pPr>
        <w:spacing w:line="360" w:lineRule="auto"/>
        <w:ind w:firstLine="440" w:firstLineChars="200"/>
        <w:rPr>
          <w:rFonts w:ascii="宋体" w:hAnsi="宋体"/>
          <w:sz w:val="22"/>
          <w:szCs w:val="21"/>
        </w:rPr>
      </w:pPr>
      <w:r>
        <w:rPr>
          <w:rFonts w:hint="eastAsia" w:ascii="宋体" w:hAnsi="宋体"/>
          <w:sz w:val="22"/>
          <w:szCs w:val="21"/>
        </w:rPr>
        <w:t>2.中标通知书；</w:t>
      </w:r>
    </w:p>
    <w:p>
      <w:pPr>
        <w:spacing w:line="360" w:lineRule="auto"/>
        <w:ind w:firstLine="440" w:firstLineChars="200"/>
        <w:rPr>
          <w:rFonts w:ascii="宋体" w:hAnsi="宋体"/>
          <w:sz w:val="22"/>
          <w:szCs w:val="21"/>
        </w:rPr>
      </w:pPr>
      <w:r>
        <w:rPr>
          <w:rFonts w:hint="eastAsia" w:ascii="宋体" w:hAnsi="宋体"/>
          <w:sz w:val="22"/>
          <w:szCs w:val="21"/>
        </w:rPr>
        <w:t>3.招标文件（编号：       ）及其澄清、补正公告；</w:t>
      </w:r>
    </w:p>
    <w:p>
      <w:pPr>
        <w:spacing w:line="360" w:lineRule="auto"/>
        <w:ind w:firstLine="440" w:firstLineChars="200"/>
        <w:rPr>
          <w:rFonts w:ascii="宋体" w:hAnsi="宋体"/>
          <w:sz w:val="22"/>
          <w:szCs w:val="21"/>
        </w:rPr>
      </w:pPr>
      <w:r>
        <w:rPr>
          <w:rFonts w:hint="eastAsia" w:ascii="宋体" w:hAnsi="宋体"/>
          <w:sz w:val="22"/>
          <w:szCs w:val="21"/>
        </w:rPr>
        <w:t>4.投标书。</w:t>
      </w:r>
    </w:p>
    <w:p>
      <w:pPr>
        <w:spacing w:line="360" w:lineRule="auto"/>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360" w:lineRule="auto"/>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360" w:lineRule="auto"/>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w:t>
      </w:r>
      <w:r>
        <w:rPr>
          <w:rFonts w:hint="eastAsia" w:ascii="宋体" w:hAnsi="宋体"/>
          <w:sz w:val="22"/>
          <w:szCs w:val="21"/>
          <w:lang w:eastAsia="zh-CN"/>
        </w:rPr>
        <w:t>模仿</w:t>
      </w:r>
      <w:r>
        <w:rPr>
          <w:rFonts w:hint="eastAsia" w:ascii="宋体" w:hAnsi="宋体"/>
          <w:sz w:val="22"/>
          <w:szCs w:val="21"/>
        </w:rPr>
        <w:t>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360" w:lineRule="auto"/>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ascii="宋体" w:hAnsi="宋体"/>
          <w:sz w:val="22"/>
          <w:szCs w:val="21"/>
        </w:rPr>
      </w:pPr>
      <w:r>
        <w:rPr>
          <w:rFonts w:hint="eastAsia" w:ascii="宋体" w:hAnsi="宋体"/>
          <w:sz w:val="22"/>
          <w:szCs w:val="21"/>
        </w:rPr>
        <w:t>（十三）本合同自双方法定代表人或其授权代表签字、盖章之日起生效，有效期至服务期届满</w:t>
      </w:r>
      <w:r>
        <w:rPr>
          <w:rFonts w:hint="eastAsia" w:ascii="宋体" w:hAnsi="宋体"/>
          <w:sz w:val="22"/>
          <w:szCs w:val="21"/>
          <w:lang w:val="zh-CN"/>
        </w:rPr>
        <w:t>之日止。</w:t>
      </w:r>
    </w:p>
    <w:p>
      <w:pPr>
        <w:spacing w:line="360" w:lineRule="auto"/>
        <w:ind w:firstLine="440" w:firstLineChars="200"/>
        <w:rPr>
          <w:rFonts w:ascii="宋体" w:hAnsi="宋体"/>
          <w:sz w:val="22"/>
          <w:szCs w:val="21"/>
        </w:rPr>
      </w:pPr>
      <w:r>
        <w:rPr>
          <w:rFonts w:hint="eastAsia" w:ascii="宋体" w:hAnsi="宋体"/>
          <w:sz w:val="22"/>
          <w:szCs w:val="21"/>
        </w:rPr>
        <w:t>（十四）本合同一式六份正本，甲方与乙方各执三份，均具同等法律效力。（以下无正文，为签章栏）</w:t>
      </w:r>
    </w:p>
    <w:p>
      <w:pPr>
        <w:spacing w:line="360" w:lineRule="auto"/>
        <w:ind w:firstLine="440" w:firstLineChars="200"/>
        <w:rPr>
          <w:rFonts w:ascii="宋体" w:hAnsi="宋体"/>
          <w:sz w:val="22"/>
          <w:szCs w:val="21"/>
        </w:rPr>
      </w:pPr>
      <w:r>
        <w:rPr>
          <w:rFonts w:hint="eastAsia" w:ascii="宋体" w:hAnsi="宋体"/>
          <w:sz w:val="22"/>
          <w:szCs w:val="21"/>
        </w:rPr>
        <w:t>（以下无正文，为签章栏）</w:t>
      </w:r>
    </w:p>
    <w:p>
      <w:pPr>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日期：     年    月   日</w:t>
      </w:r>
    </w:p>
    <w:p>
      <w:pPr>
        <w:shd w:val="clear" w:color="auto" w:fill="FFFFFF"/>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4" w:name="_Toc793"/>
      <w:r>
        <w:rPr>
          <w:rFonts w:hint="eastAsia" w:ascii="宋体" w:hAnsi="宋体" w:cs="宋体"/>
          <w:b/>
          <w:bCs/>
          <w:sz w:val="24"/>
        </w:rPr>
        <w:t>用户需求书</w:t>
      </w:r>
      <w:bookmarkEnd w:id="14"/>
    </w:p>
    <w:p>
      <w:pPr>
        <w:spacing w:line="360" w:lineRule="auto"/>
        <w:ind w:firstLine="482" w:firstLineChars="200"/>
        <w:rPr>
          <w:rFonts w:ascii="宋体" w:hAnsi="宋体" w:cs="宋体"/>
          <w:b/>
          <w:bCs/>
          <w:kern w:val="0"/>
          <w:sz w:val="24"/>
          <w:szCs w:val="20"/>
        </w:rPr>
      </w:pPr>
      <w:bookmarkStart w:id="15" w:name="_Toc51746099"/>
    </w:p>
    <w:bookmarkEnd w:id="15"/>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一、项目概况</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（一）项目背景</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 xml:space="preserve"> </w:t>
      </w:r>
      <w:r>
        <w:rPr>
          <w:rFonts w:ascii="宋体" w:hAnsi="宋体" w:cs="宋体"/>
          <w:bCs/>
          <w:kern w:val="0"/>
          <w:sz w:val="24"/>
          <w:szCs w:val="20"/>
        </w:rPr>
        <w:t>《前海方案》要求前海“</w:t>
      </w:r>
      <w:r>
        <w:rPr>
          <w:rFonts w:hint="eastAsia" w:ascii="宋体" w:hAnsi="宋体" w:cs="宋体"/>
          <w:bCs/>
          <w:kern w:val="0"/>
          <w:sz w:val="24"/>
          <w:szCs w:val="20"/>
        </w:rPr>
        <w:t>推进与港澳跨境政务服务便利化，研究加强在交通、通信、信息、支付等领域与港澳标准和规则衔接</w:t>
      </w:r>
      <w:r>
        <w:rPr>
          <w:rFonts w:ascii="宋体" w:hAnsi="宋体" w:cs="宋体"/>
          <w:bCs/>
          <w:kern w:val="0"/>
          <w:sz w:val="24"/>
          <w:szCs w:val="20"/>
        </w:rPr>
        <w:t>”，</w:t>
      </w:r>
      <w:r>
        <w:rPr>
          <w:rFonts w:hint="eastAsia" w:ascii="宋体" w:hAnsi="宋体" w:cs="宋体"/>
          <w:bCs/>
          <w:kern w:val="0"/>
          <w:sz w:val="24"/>
          <w:szCs w:val="20"/>
        </w:rPr>
        <w:t>明确了</w:t>
      </w:r>
      <w:r>
        <w:rPr>
          <w:rFonts w:ascii="宋体" w:hAnsi="宋体" w:cs="宋体"/>
          <w:bCs/>
          <w:kern w:val="0"/>
          <w:sz w:val="24"/>
          <w:szCs w:val="20"/>
        </w:rPr>
        <w:t>前海“到2025年，初步形成具有全球竞争力的营商环境，到2035年，营商环境达到世界一流水平”的</w:t>
      </w:r>
      <w:r>
        <w:rPr>
          <w:rFonts w:hint="eastAsia" w:ascii="宋体" w:hAnsi="宋体" w:cs="宋体"/>
          <w:bCs/>
          <w:kern w:val="0"/>
          <w:sz w:val="24"/>
          <w:szCs w:val="20"/>
        </w:rPr>
        <w:t>发展目标</w:t>
      </w:r>
      <w:r>
        <w:rPr>
          <w:rFonts w:ascii="宋体" w:hAnsi="宋体" w:cs="宋体"/>
          <w:bCs/>
          <w:kern w:val="0"/>
          <w:sz w:val="24"/>
          <w:szCs w:val="20"/>
        </w:rPr>
        <w:t>。</w:t>
      </w:r>
      <w:r>
        <w:rPr>
          <w:rFonts w:hint="eastAsia" w:ascii="宋体" w:hAnsi="宋体" w:cs="宋体"/>
          <w:bCs/>
          <w:kern w:val="0"/>
          <w:sz w:val="24"/>
          <w:szCs w:val="20"/>
        </w:rPr>
        <w:t>近年来，</w:t>
      </w:r>
      <w:r>
        <w:rPr>
          <w:rFonts w:ascii="宋体" w:hAnsi="宋体" w:cs="宋体"/>
          <w:bCs/>
          <w:kern w:val="0"/>
          <w:sz w:val="24"/>
          <w:szCs w:val="20"/>
        </w:rPr>
        <w:t>前海</w:t>
      </w:r>
      <w:r>
        <w:rPr>
          <w:rFonts w:hint="eastAsia" w:ascii="宋体" w:hAnsi="宋体" w:cs="宋体"/>
          <w:bCs/>
          <w:kern w:val="0"/>
          <w:sz w:val="24"/>
          <w:szCs w:val="20"/>
        </w:rPr>
        <w:t>坚持“依托香港、服务内地、面向世界”，以现代服务业为重点，大力推进与港澳的规则衔接和机制对接，加快营商环境建设得积极进展，德勤按世行标准模拟评估，2021年前海营商环境位列全球第一梯队，但同时在营商规则方面与国际一流水平相比仍有较大差距。</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香港是全球最自由经济体之一，拥有高度国际化、法治化的营商环境以及遍布全球的商业网络</w:t>
      </w:r>
      <w:r>
        <w:rPr>
          <w:rFonts w:ascii="宋体" w:hAnsi="宋体" w:cs="宋体"/>
          <w:bCs/>
          <w:kern w:val="0"/>
          <w:sz w:val="24"/>
          <w:szCs w:val="20"/>
        </w:rPr>
        <w:t>，拥有与国际规则高度衔接的营商环境体系。</w:t>
      </w:r>
      <w:r>
        <w:rPr>
          <w:rFonts w:hint="eastAsia" w:ascii="宋体" w:hAnsi="宋体" w:cs="宋体"/>
          <w:bCs/>
          <w:kern w:val="0"/>
          <w:sz w:val="24"/>
          <w:szCs w:val="20"/>
        </w:rPr>
        <w:t>在世界银行发布的2020年《全球营商环境报告》中，香港排名第3位，属于全球前沿水平</w:t>
      </w:r>
      <w:r>
        <w:rPr>
          <w:rFonts w:ascii="宋体" w:hAnsi="宋体" w:cs="宋体"/>
          <w:bCs/>
          <w:kern w:val="0"/>
          <w:sz w:val="24"/>
          <w:szCs w:val="20"/>
        </w:rPr>
        <w:t>。</w:t>
      </w:r>
      <w:r>
        <w:rPr>
          <w:rFonts w:hint="eastAsia" w:ascii="宋体" w:hAnsi="宋体" w:cs="宋体"/>
          <w:bCs/>
          <w:kern w:val="0"/>
          <w:sz w:val="24"/>
          <w:szCs w:val="20"/>
        </w:rPr>
        <w:t>选取</w:t>
      </w:r>
      <w:r>
        <w:rPr>
          <w:rFonts w:ascii="宋体" w:hAnsi="宋体" w:cs="宋体"/>
          <w:bCs/>
          <w:kern w:val="0"/>
          <w:sz w:val="24"/>
          <w:szCs w:val="20"/>
        </w:rPr>
        <w:t>熟悉香港营商规则、</w:t>
      </w:r>
      <w:r>
        <w:rPr>
          <w:rFonts w:hint="eastAsia" w:ascii="宋体" w:hAnsi="宋体" w:cs="宋体"/>
          <w:bCs/>
          <w:kern w:val="0"/>
          <w:sz w:val="24"/>
          <w:szCs w:val="20"/>
        </w:rPr>
        <w:t>了解</w:t>
      </w:r>
      <w:r>
        <w:rPr>
          <w:rFonts w:ascii="宋体" w:hAnsi="宋体" w:cs="宋体"/>
          <w:bCs/>
          <w:kern w:val="0"/>
          <w:sz w:val="24"/>
          <w:szCs w:val="20"/>
        </w:rPr>
        <w:t>前海发展实际、具备较高研究水平的</w:t>
      </w:r>
      <w:r>
        <w:rPr>
          <w:rFonts w:hint="eastAsia" w:ascii="宋体" w:hAnsi="宋体" w:cs="宋体"/>
          <w:bCs/>
          <w:kern w:val="0"/>
          <w:sz w:val="24"/>
          <w:szCs w:val="20"/>
        </w:rPr>
        <w:t>专业研究咨询</w:t>
      </w:r>
      <w:r>
        <w:rPr>
          <w:rFonts w:ascii="宋体" w:hAnsi="宋体" w:cs="宋体"/>
          <w:bCs/>
          <w:kern w:val="0"/>
          <w:sz w:val="24"/>
          <w:szCs w:val="20"/>
        </w:rPr>
        <w:t>机构</w:t>
      </w:r>
      <w:r>
        <w:rPr>
          <w:rFonts w:hint="eastAsia" w:ascii="宋体" w:hAnsi="宋体" w:cs="宋体"/>
          <w:bCs/>
          <w:kern w:val="0"/>
          <w:sz w:val="24"/>
          <w:szCs w:val="20"/>
        </w:rPr>
        <w:t>，“以点带面、点面结合”地对标</w:t>
      </w:r>
      <w:r>
        <w:rPr>
          <w:rFonts w:ascii="宋体" w:hAnsi="宋体" w:cs="宋体"/>
          <w:bCs/>
          <w:kern w:val="0"/>
          <w:sz w:val="24"/>
          <w:szCs w:val="20"/>
        </w:rPr>
        <w:t>香港</w:t>
      </w:r>
      <w:r>
        <w:rPr>
          <w:rFonts w:hint="eastAsia" w:ascii="宋体" w:hAnsi="宋体" w:cs="宋体"/>
          <w:bCs/>
          <w:kern w:val="0"/>
          <w:sz w:val="24"/>
          <w:szCs w:val="20"/>
        </w:rPr>
        <w:t>开展</w:t>
      </w:r>
      <w:r>
        <w:rPr>
          <w:rFonts w:ascii="宋体" w:hAnsi="宋体" w:cs="宋体"/>
          <w:bCs/>
          <w:kern w:val="0"/>
          <w:sz w:val="24"/>
          <w:szCs w:val="20"/>
        </w:rPr>
        <w:t>营商规则</w:t>
      </w:r>
      <w:r>
        <w:rPr>
          <w:rFonts w:hint="eastAsia" w:ascii="宋体" w:hAnsi="宋体" w:cs="宋体"/>
          <w:bCs/>
          <w:kern w:val="0"/>
          <w:sz w:val="24"/>
          <w:szCs w:val="20"/>
        </w:rPr>
        <w:t>研究，将有利于前海找准营商环境的短板和发展方向，</w:t>
      </w:r>
      <w:r>
        <w:rPr>
          <w:rFonts w:ascii="宋体" w:hAnsi="宋体" w:cs="宋体"/>
          <w:bCs/>
          <w:kern w:val="0"/>
          <w:sz w:val="24"/>
          <w:szCs w:val="20"/>
        </w:rPr>
        <w:t>研</w:t>
      </w:r>
      <w:r>
        <w:rPr>
          <w:rFonts w:hint="eastAsia" w:ascii="宋体" w:hAnsi="宋体" w:cs="宋体"/>
          <w:bCs/>
          <w:kern w:val="0"/>
          <w:sz w:val="24"/>
          <w:szCs w:val="20"/>
        </w:rPr>
        <w:t>究提出</w:t>
      </w:r>
      <w:r>
        <w:rPr>
          <w:rFonts w:ascii="宋体" w:hAnsi="宋体" w:cs="宋体"/>
          <w:bCs/>
          <w:kern w:val="0"/>
          <w:sz w:val="24"/>
          <w:szCs w:val="20"/>
        </w:rPr>
        <w:t>一批可操作、可落地的</w:t>
      </w:r>
      <w:r>
        <w:rPr>
          <w:rFonts w:hint="eastAsia" w:ascii="宋体" w:hAnsi="宋体" w:cs="宋体"/>
          <w:bCs/>
          <w:kern w:val="0"/>
          <w:sz w:val="24"/>
          <w:szCs w:val="20"/>
        </w:rPr>
        <w:t>工作</w:t>
      </w:r>
      <w:r>
        <w:rPr>
          <w:rFonts w:ascii="宋体" w:hAnsi="宋体" w:cs="宋体"/>
          <w:bCs/>
          <w:kern w:val="0"/>
          <w:sz w:val="24"/>
          <w:szCs w:val="20"/>
        </w:rPr>
        <w:t>举措，</w:t>
      </w:r>
      <w:r>
        <w:rPr>
          <w:rFonts w:hint="eastAsia" w:ascii="宋体" w:hAnsi="宋体" w:cs="宋体"/>
          <w:bCs/>
          <w:kern w:val="0"/>
          <w:sz w:val="24"/>
          <w:szCs w:val="20"/>
        </w:rPr>
        <w:t>加快打造市场化、国际化、法治化的营商环境，将《前海方案》的具体要求落到实处，更好地支持香港融入内地发展。</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（二）项目内容</w:t>
      </w:r>
    </w:p>
    <w:p>
      <w:pPr>
        <w:spacing w:line="360" w:lineRule="auto"/>
        <w:ind w:firstLine="480" w:firstLineChars="200"/>
        <w:jc w:val="left"/>
        <w:rPr>
          <w:rFonts w:ascii="宋体" w:hAnsi="宋体" w:cs="宋体"/>
          <w:bCs/>
          <w:kern w:val="0"/>
          <w:sz w:val="24"/>
          <w:szCs w:val="20"/>
          <w:lang w:val="zh-CN"/>
        </w:rPr>
      </w:pPr>
      <w:r>
        <w:rPr>
          <w:rFonts w:hint="eastAsia" w:ascii="宋体" w:hAnsi="宋体" w:cs="宋体"/>
          <w:bCs/>
          <w:kern w:val="0"/>
          <w:sz w:val="24"/>
          <w:szCs w:val="20"/>
        </w:rPr>
        <w:t>本项目要求中标人做好以下服务内容：对标香港营商环境规则，形成研究报告并总结提炼10条不突破法律制度框架、与香港营商规则对接、</w:t>
      </w:r>
      <w:r>
        <w:rPr>
          <w:rFonts w:ascii="宋体" w:hAnsi="宋体" w:cs="宋体"/>
          <w:bCs/>
          <w:kern w:val="0"/>
          <w:sz w:val="24"/>
          <w:szCs w:val="20"/>
        </w:rPr>
        <w:t>可在前海率先落地</w:t>
      </w:r>
      <w:r>
        <w:rPr>
          <w:rFonts w:ascii="宋体" w:hAnsi="宋体" w:cs="宋体"/>
          <w:bCs/>
          <w:kern w:val="0"/>
          <w:sz w:val="24"/>
          <w:szCs w:val="20"/>
        </w:rPr>
        <w:t>或</w:t>
      </w:r>
      <w:r>
        <w:rPr>
          <w:rFonts w:hint="eastAsia" w:ascii="宋体" w:hAnsi="宋体" w:cs="宋体"/>
          <w:bCs/>
          <w:kern w:val="0"/>
          <w:sz w:val="24"/>
          <w:szCs w:val="20"/>
        </w:rPr>
        <w:t>在</w:t>
      </w:r>
      <w:r>
        <w:rPr>
          <w:rFonts w:ascii="宋体" w:hAnsi="宋体" w:cs="宋体"/>
          <w:bCs/>
          <w:kern w:val="0"/>
          <w:sz w:val="24"/>
          <w:szCs w:val="20"/>
        </w:rPr>
        <w:t>广东省复制推广的改革举措。</w:t>
      </w:r>
      <w:r>
        <w:rPr>
          <w:rFonts w:hint="eastAsia" w:ascii="宋体" w:hAnsi="宋体" w:cs="宋体"/>
          <w:bCs/>
          <w:kern w:val="0"/>
          <w:sz w:val="24"/>
          <w:szCs w:val="20"/>
        </w:rPr>
        <w:t>项目研究方向主要包括但不限于以下几个方面：</w:t>
      </w:r>
      <w:r>
        <w:rPr>
          <w:rFonts w:hint="eastAsia" w:ascii="宋体" w:hAnsi="宋体" w:cs="宋体"/>
          <w:bCs/>
          <w:kern w:val="0"/>
          <w:sz w:val="24"/>
          <w:szCs w:val="20"/>
          <w:lang w:val="zh-CN"/>
        </w:rPr>
        <w:t>围绕市场环境、法治环境、开放环境、城市治理、政企沟通等领域，深入探究香港在城市治理、精明规管、市场监督、产权保护、高端人才服务、便利外商投资、跨境贸易通关效率、服务市场主体等措施，对广东、前海的营商环境改革现状进行对照，提出改革提升措施。</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二、技术要求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（一）主要工作要求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1.按项目要求时间节点准时提交主报告《广东对标香港营商规则研究及优化提升建议》和子报告《前海营商环境创新实践及对标提升建议》。项目时间节点要求详见以下“（二）技术文件成果组成”。</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2.报告编制要遵循科学性、客观性、可读性原则。</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3.政策建议要考虑合规性、合理性、可操作性原则。</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（二）技术文件成果组成</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本项目最终成果为两份报告，包括主报告《广东对标香港营商规则研究及优化提升建议》和子报告《前海营商环境创新实践及对标提升建议》。</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（三）服务要求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1.人员安排要求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中标供应商优先考虑有过企业运行监测分析类项目经验项目研究经验，与行业管理部门密切合作关系的项目团队，项目团队至少5人，团队成员具备本科及以上学历的成员。</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2.组织实施要求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（1）为确保本次采购项目管理规范、实施有力，中标人应成立项目组配合采购方工作，按采购方要求完成项目成果。</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（2）中标人应按采购单位要求，参与项目进度分析，总结工作。</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三、商务要求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（一）服务期限：</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本项目服务期限为自合同签订之日起到2023年6月30日止。</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（二）项目预算：95万元</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（三）付款</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1.本费用为固定总价费，报价包含专业服务费、项目执行过程中专业人员为项目所发生的所有费用（包括并不限于差旅费、住宿费、餐费、交通费、资料费、调研费、通信费、税费等相关费用）及后期费用。</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2.进度款付款方式：</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首期：完成合同签订后20个工作日内，根据中标人提出的付款申请，采购人向中标人支付总价款的40%；</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第2期：中标人完成主报告《广东对标香港营商规则研究及优化提升建议》和子报告《前海营商环境创新实践及对标提升建议》，且报告通过采购人验收后20个工作日内，根据中标人提出的付款申请，采购人向中标人支付总价款的60%。</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上述每期款项均在满足付款条件，且采购人收到中标人开具的载明相应金额的合格发票后付至中标人指定银行账户。如未及时收到发票，则采购人相应付款时间顺延。</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本项目明确合同款项支付至中标人账户，中标人内部款项分配自行协商，与采购人无关。</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3.验收要求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中标人须按采购人规定时间要求，完成相应工作成果并提交，工作成果包括主报告《广东对标香港营商规则研究及优化提升建议》和子报告《前海营商环境创新实践及对标提升建议》，报告内容需涵盖合同中要求的提纲内容。</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四、保密条款</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本项目的阶段性成果或最终成果内容。即使向履行本合同有关的人员提供前述保密信息，也应限于履行合同的必需范围，且这些人员应接受至少与本条款同等严格的保密条款的约束。3.中标人实施项目的程序应符合国家安全、保密的有关规定和标准。</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4.上述保密义务不适用以下情况：</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（1）获取的信息已被合法公开；</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（2）获得信息拥有方书面许可并在该许可范围内披露；</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（3）国家法律、法规规定的情形。</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5. 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6.无论合同或合同其他条款是否有效，本保密条款始终约束双方。国家秘密的保密期限由国家有关部门确定，工作秘密的保密期限由采购人确定。</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五、违约责任</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1.如中标人未按照合同约定的时间完成本项目各阶段工作，每延迟一日，采购人有权自尚未支付的合同款项中扣除合同费用总金额0.5‰的逾期违约金。</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 本合同项下的工作内容不可分割，任一文件的迟延交付均视为整个项目的迟延交付。</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（1）中标人未能按合同约定的日期(含协商延缓的日期)提交各阶段成果或最终成果，延误时间超过5个工作日；</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（2）因中标人工作的错误或遗漏造成成果质量损不符合合同要求，且中标人未按采购人要求采取及时有效的补救措施的；</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（3）中标人虽如期提交阶段性成果和最终成果，但最终成果连续二次未能通过采购人验收的；</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（4）未经采购人书面在先同意，中标人擅自将本合同项目与任何第三方合作，或将本合同标的全部或部分擅自转包或分包给任何第三方，且未按采购人的要求终止与第三方的合同的；</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（5）项目负责人未承担本合同项目实质性工作，或未经采购人书面在先同意，中标人擅自更换项目负责人的；</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（6）发现中标人或中标人工作人员出现全部或部分丧失履行委托服务能力的情况，采购人有权通知中标人限期整改或更换工作人员，期限届满中标人并未进行改善的；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（7）中标人明确表示或者以自己的行为表明不履行本合同的。</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 除因采购人付款审批影响支付进度的情况外，如采购人未按照本合同约定的时间支付服务费，中标人书面催告采购人并给予不少于5个工作日的履行期限后采购人仍未支付的，中标人有权自该期限届满之日起要求采购人支付该阶段应付而未付合同价款每日0.5‰的逾期违约金。如采购人无正当理由拒绝接受服务，到期明确表示拒付服务款项的，中标人有权要求采购人支付合同项下服务费用总金额5%的违约金。</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5.上述违约责任各自独立且可累加。本合同所约定的违约金如低于因违约行为所造成的损失，违约方应补偿上述不足部分的损失。</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六、成果归属（知识产权）</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 本项目全部阶段性成果和最终成果的所有权、知识产权以及与之相关的所有权利归采购人所有；本合同签署前双方已经拥有的知识产权权利，仍归各自所有。</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2.双方确定，采购人有权利用中标人按照本合同约定提供的成果，进行后续改进。由此产生的具有实质性或创造性技术进步特征的新的技术成果及其权利归属，全部由采购人享有。</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4.未经采购人书面在先同意，中标人不得将本项目的阶段性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5.中标人完成本合同项目的研究开发人员享有在有关技术成果文件上写明技术成果完成者的权利和与采购人共同获得有关荣誉证书、奖励的权利。</w:t>
      </w:r>
    </w:p>
    <w:p>
      <w:pPr>
        <w:spacing w:line="360" w:lineRule="auto"/>
        <w:ind w:firstLine="482" w:firstLineChars="200"/>
        <w:jc w:val="left"/>
        <w:rPr>
          <w:rFonts w:ascii="宋体" w:hAnsi="宋体" w:cs="宋体"/>
          <w:b/>
          <w:bCs/>
          <w:kern w:val="0"/>
          <w:sz w:val="24"/>
          <w:szCs w:val="20"/>
        </w:rPr>
      </w:pPr>
      <w:r>
        <w:rPr>
          <w:rFonts w:hint="eastAsia" w:ascii="宋体" w:hAnsi="宋体" w:cs="宋体"/>
          <w:b/>
          <w:bCs/>
          <w:kern w:val="0"/>
          <w:sz w:val="24"/>
          <w:szCs w:val="20"/>
        </w:rPr>
        <w:t>七、其他要求</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1.若在中标人提交项目成果初稿之前，由于中标人原因造成工作进度延迟，工作成果质量低劣，不能满足采购人工作需要和要求时，采购人有权根据情况终止合同，并根据中标人已完成的实际工作量，按相应工作阶段支付服务费用。同时，中标人应将已完成的阶段性成果移交给采购人。</w:t>
      </w:r>
    </w:p>
    <w:p>
      <w:pPr>
        <w:spacing w:line="360" w:lineRule="auto"/>
        <w:ind w:firstLine="480" w:firstLineChars="200"/>
        <w:jc w:val="left"/>
        <w:rPr>
          <w:rFonts w:ascii="宋体" w:hAnsi="宋体" w:cs="宋体"/>
          <w:bCs/>
          <w:kern w:val="0"/>
          <w:sz w:val="24"/>
          <w:szCs w:val="20"/>
        </w:rPr>
      </w:pPr>
      <w:r>
        <w:rPr>
          <w:rFonts w:hint="eastAsia" w:ascii="宋体" w:hAnsi="宋体" w:cs="宋体"/>
          <w:bCs/>
          <w:kern w:val="0"/>
          <w:sz w:val="24"/>
          <w:szCs w:val="20"/>
        </w:rPr>
        <w:t>2.中标人不得将项目非法分包或转包给任何单位和个人。否则，采购单位有权即刻终止合同，并要求中标人赔偿相应损失。</w:t>
      </w:r>
    </w:p>
    <w:p>
      <w:pPr>
        <w:spacing w:line="360" w:lineRule="auto"/>
        <w:ind w:firstLine="480" w:firstLineChars="200"/>
        <w:jc w:val="left"/>
        <w:rPr>
          <w:rFonts w:ascii="宋体" w:hAnsi="宋体" w:cs="宋体"/>
          <w:sz w:val="24"/>
        </w:rPr>
      </w:pPr>
      <w:r>
        <w:rPr>
          <w:rFonts w:hint="eastAsia" w:ascii="宋体" w:hAnsi="宋体" w:cs="宋体"/>
          <w:bCs/>
          <w:kern w:val="0"/>
          <w:sz w:val="24"/>
          <w:szCs w:val="20"/>
        </w:rPr>
        <w:t>3.中标人应保守国家秘密，不得泄露采购方所提供的属国家秘密的信息和数据；未经采购人允许，不得使用或者以其他方式给任何第三方提供本项目的相关信息或数据</w:t>
      </w:r>
      <w:r>
        <w:rPr>
          <w:rFonts w:hint="eastAsia" w:ascii="宋体" w:hAnsi="宋体" w:cs="宋体"/>
          <w:sz w:val="24"/>
          <w:lang w:val="zh-TW"/>
        </w:rPr>
        <w:t>。</w:t>
      </w:r>
      <w:r>
        <w:rPr>
          <w:rFonts w:hint="eastAsia" w:ascii="宋体" w:hAnsi="宋体" w:cs="宋体"/>
          <w:sz w:val="24"/>
        </w:rPr>
        <w:br w:type="page"/>
      </w:r>
      <w:bookmarkStart w:id="16" w:name="_Toc6457"/>
    </w:p>
    <w:p>
      <w:pPr>
        <w:spacing w:line="360" w:lineRule="auto"/>
        <w:ind w:firstLine="480" w:firstLineChars="200"/>
        <w:jc w:val="left"/>
        <w:rPr>
          <w:rFonts w:ascii="宋体" w:hAnsi="宋体" w:cs="宋体"/>
          <w:sz w:val="24"/>
        </w:rPr>
      </w:pPr>
    </w:p>
    <w:p>
      <w:pPr>
        <w:spacing w:line="360" w:lineRule="auto"/>
        <w:ind w:firstLine="482" w:firstLineChars="200"/>
        <w:jc w:val="center"/>
        <w:rPr>
          <w:rFonts w:ascii="宋体" w:cs="宋体"/>
          <w:b/>
          <w:bCs/>
          <w:sz w:val="24"/>
        </w:rPr>
      </w:pPr>
      <w:r>
        <w:rPr>
          <w:rFonts w:hint="eastAsia" w:ascii="宋体" w:cs="宋体"/>
          <w:b/>
          <w:bCs/>
          <w:sz w:val="24"/>
        </w:rPr>
        <w:t>第六章 投标文件初审及招标项目评分表</w:t>
      </w:r>
      <w:bookmarkEnd w:id="16"/>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cs="宋体"/>
          <w:b/>
          <w:bCs/>
          <w:sz w:val="24"/>
        </w:rPr>
      </w:pP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一、价格部分（20分）</w:t>
            </w:r>
          </w:p>
        </w:tc>
      </w:tr>
      <w:tr>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 xml:space="preserve">×20 </w:t>
            </w:r>
          </w:p>
          <w:p>
            <w:pPr>
              <w:widowControl/>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jc w:val="left"/>
              <w:textAlignment w:val="center"/>
              <w:rPr>
                <w:rFonts w:ascii="宋体" w:hAnsi="宋体" w:cs="宋体"/>
                <w:sz w:val="22"/>
                <w:szCs w:val="22"/>
              </w:rPr>
            </w:pPr>
            <w:r>
              <w:rPr>
                <w:rFonts w:hint="eastAsia" w:ascii="宋体" w:hAnsi="宋体"/>
                <w:bCs/>
              </w:rPr>
              <w:t>2、投标报价得分四舍五入后，</w:t>
            </w:r>
            <w:r>
              <w:rPr>
                <w:rFonts w:hint="eastAsia" w:ascii="Arial" w:hAnsi="Arial" w:cs="Arial"/>
                <w:szCs w:val="20"/>
              </w:rPr>
              <w:t>小数点后保留两位有效数；</w:t>
            </w:r>
            <w:r>
              <w:rPr>
                <w:rFonts w:hint="eastAsia" w:ascii="宋体" w:hAnsi="宋体" w:cs="宋体"/>
                <w:kern w:val="0"/>
                <w:sz w:val="22"/>
                <w:szCs w:val="22"/>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二、商务部分（45分）</w:t>
            </w:r>
          </w:p>
        </w:tc>
      </w:tr>
      <w:tr>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（1）每提供一项为</w:t>
            </w:r>
            <w:r>
              <w:rPr>
                <w:rFonts w:hint="eastAsia" w:ascii="宋体" w:hAnsi="宋体" w:cs="宋体"/>
                <w:szCs w:val="21"/>
              </w:rPr>
              <w:t>中国香港特区政府部门或者中国内地政府部门（或事业单位）</w:t>
            </w:r>
            <w:r>
              <w:rPr>
                <w:rFonts w:hint="eastAsia"/>
                <w:szCs w:val="21"/>
              </w:rPr>
              <w:t>进行过营商环境咨询，得3分。</w:t>
            </w:r>
          </w:p>
          <w:p>
            <w:pPr>
              <w:rPr>
                <w:szCs w:val="21"/>
              </w:rPr>
            </w:pPr>
            <w:r>
              <w:rPr>
                <w:rFonts w:hint="eastAsia"/>
                <w:szCs w:val="21"/>
              </w:rPr>
              <w:t>（2）本项累计最高得12分，不提供或者不能有效证明的，得0分。</w:t>
            </w:r>
          </w:p>
          <w:p>
            <w:pPr>
              <w:rPr>
                <w:szCs w:val="21"/>
              </w:rPr>
            </w:pPr>
            <w:r>
              <w:rPr>
                <w:rFonts w:hint="eastAsia"/>
                <w:szCs w:val="21"/>
              </w:rPr>
              <w:t>注意事项：（营商环境领域咨询项目具体包括：1.研究优化企业准入、获得经营场所、公用服务链接、劳动力、金融服务、国际贸易、纳税、争端解决、公平竞争、办理破产等世界银行营商环境指标优化的政府咨询项目。2.研究公共政策、宏观规划、发展策略、城市治理、政府监管、数字化建设、行政流程优化、引进高端人才等领域的政府咨项项目。）</w:t>
            </w:r>
          </w:p>
          <w:p>
            <w:pPr>
              <w:rPr>
                <w:szCs w:val="21"/>
              </w:rPr>
            </w:pPr>
            <w:r>
              <w:rPr>
                <w:rFonts w:hint="eastAsia"/>
                <w:szCs w:val="21"/>
              </w:rPr>
              <w:t>1.供应商必须提供项目合同关键页复印件作为证明文件（包含甲乙方名称、项目名称、签订时间、盖章等），合同签订时间为2017年1月1日至投标截止时间前，原件备查。</w:t>
            </w:r>
          </w:p>
          <w:p>
            <w:pPr>
              <w:widowControl/>
              <w:textAlignment w:val="center"/>
              <w:rPr>
                <w:rFonts w:ascii="宋体" w:hAnsi="宋体"/>
                <w:sz w:val="22"/>
              </w:rPr>
            </w:pPr>
            <w:r>
              <w:rPr>
                <w:rFonts w:hint="eastAsia"/>
                <w:szCs w:val="21"/>
              </w:rPr>
              <w:t>2.同一项目业绩不重复计分。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szCs w:val="21"/>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r>
              <w:rPr>
                <w:rFonts w:hint="eastAsia"/>
              </w:rPr>
              <w:t>项目负责人仅限1人，需为投标人自有员工，否则本项不得分。</w:t>
            </w:r>
          </w:p>
          <w:p>
            <w:r>
              <w:rPr>
                <w:rFonts w:hint="eastAsia"/>
              </w:rPr>
              <w:t>（1）学历：具备研究生学位的，得2分；具备本科学历的，得1分。</w:t>
            </w:r>
          </w:p>
          <w:p>
            <w:r>
              <w:rPr>
                <w:rFonts w:hint="eastAsia"/>
              </w:rPr>
              <w:t>（2）项目经验：每提供一项为中国香港特区政府部门进行过营商环境咨询项目经验的，得2分，最高得8分。（营商环境领域咨询项目具体包括：1.研究优化企业准入、获得经营场所、公用服务链接、劳动力、金融服务、国际贸易、纳税、争端解决、公平竞争、办理破产等世界银行营商环境指标优化的政府咨询项目。2.研究公共政策、宏观规划、发展策略、城市治理、政府监管、数字化建设、行政流程优化、引进高端人才等领域的政府咨项项目。）</w:t>
            </w:r>
          </w:p>
          <w:p>
            <w:r>
              <w:rPr>
                <w:rFonts w:hint="eastAsia"/>
              </w:rPr>
              <w:t>（3）不提供或者不能有效证明的，得0分。</w:t>
            </w:r>
          </w:p>
          <w:p>
            <w:r>
              <w:rPr>
                <w:rFonts w:hint="eastAsia"/>
              </w:rPr>
              <w:t>注意事项：</w:t>
            </w:r>
          </w:p>
          <w:p>
            <w:pPr>
              <w:spacing w:line="360" w:lineRule="exact"/>
            </w:pPr>
            <w:r>
              <w:rPr>
                <w:rFonts w:hint="eastAsia"/>
              </w:rPr>
              <w:t>项目负责人需提供近3个月（2022年8月-10月）在投标单位缴纳的社保证明（新成立投标人提供自成立以来的社保证明）、学历证明，复印件需加盖公章作为证明文件、项目经验需提供合同关键页复印件证明。</w:t>
            </w:r>
          </w:p>
          <w:p>
            <w:pPr>
              <w:pStyle w:val="2"/>
            </w:pPr>
            <w:r>
              <w:rPr>
                <w:rFonts w:hint="eastAsia"/>
              </w:rPr>
              <w:t>（项目负责人的项目经验不要求一定在投标单位，但是要求合同关键页能证明该负责人曾经负责过所提供的项目）。</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rPr>
          <w:trHeight w:val="645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szCs w:val="21"/>
              </w:rPr>
              <w:t>团队成员（项目负责人除外）</w:t>
            </w:r>
          </w:p>
        </w:tc>
        <w:tc>
          <w:tcPr>
            <w:tcW w:w="5836" w:type="dxa"/>
            <w:tcBorders>
              <w:top w:val="single" w:color="auto" w:sz="4" w:space="0"/>
              <w:left w:val="single" w:color="000000" w:sz="4" w:space="0"/>
              <w:bottom w:val="single" w:color="auto" w:sz="4" w:space="0"/>
              <w:right w:val="single" w:color="000000" w:sz="4" w:space="0"/>
            </w:tcBorders>
            <w:vAlign w:val="center"/>
          </w:tcPr>
          <w:p>
            <w:r>
              <w:rPr>
                <w:rFonts w:hint="eastAsia"/>
              </w:rPr>
              <w:t>团队成员不少于5人，且具备粤港澳大湾区及广东、前海与香港地区合作等方面咨询服务经验。</w:t>
            </w:r>
          </w:p>
          <w:p>
            <w:r>
              <w:rPr>
                <w:rFonts w:hint="eastAsia"/>
              </w:rPr>
              <w:t>（1）学历：项目成员具备研究生及以上学位的，每提供一人得0.6分；具备本科学历的，每提供一人得0.3分；最高不超过3分。</w:t>
            </w:r>
          </w:p>
          <w:p>
            <w:r>
              <w:rPr>
                <w:rFonts w:hint="eastAsia"/>
              </w:rPr>
              <w:t>（2）项目经验：项目成员具备为中国香港特区政府部门（或事业单位）或者中国内地政府部门（或事业单位）进行过营商环境咨询项目经验的，每提供一个有相关经验的团队成员得3分；最高不超过15分。（营商环境领域咨询项目具体包括：1.研究优化企业准入、获得经营场所、公用服务链接、劳动力、金融服务、国际贸易、纳税、争端解决、公平竞争、办理破产等世界银行营商环境指标优化的政府咨询项目。2.研究公共政策、宏观规划、发展策略、城市治理、政府监管、数字化建设、行政流程优化、引进高端人才等领域的政府咨项项目。）</w:t>
            </w:r>
          </w:p>
          <w:p>
            <w:r>
              <w:rPr>
                <w:rFonts w:hint="eastAsia"/>
              </w:rPr>
              <w:t>（3）不提供或者不能有效证明的，得0分。</w:t>
            </w:r>
          </w:p>
          <w:p>
            <w:pPr>
              <w:pStyle w:val="2"/>
            </w:pPr>
            <w:r>
              <w:rPr>
                <w:rFonts w:hint="eastAsia"/>
              </w:rPr>
              <w:t>注意事项：提供成员近3个月（2022年8-10月）在投标单位缴纳的社保证明（新成立投标人提供自成立以来的社保证明）、</w:t>
            </w:r>
            <w:r>
              <w:t>学历证明、</w:t>
            </w:r>
            <w:r>
              <w:rPr>
                <w:rFonts w:hint="eastAsia"/>
              </w:rPr>
              <w:t>复印件需加盖公章作为证明文件、项目经验需提供合同关键页复印件证明（项目团队的项目经验要求一定在投标公司，否则不得分）。</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诚信审查</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三、技术部分（35分）</w:t>
            </w:r>
          </w:p>
        </w:tc>
      </w:tr>
      <w:tr>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考察对项目需求、研究目的、研究内容是否有完整的理解，进行横向综合比较。包含但不限于以下内容：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1.对背景的理解；</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2.对项目需求及目的解读；</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3.对研究内容整体解读。</w:t>
            </w:r>
          </w:p>
          <w:p>
            <w:pPr>
              <w:spacing w:line="340" w:lineRule="exact"/>
              <w:jc w:val="left"/>
              <w:rPr>
                <w:rFonts w:ascii="宋体" w:hAnsi="宋体" w:cs="宋体"/>
                <w:szCs w:val="21"/>
              </w:rPr>
            </w:pPr>
            <w:r>
              <w:rPr>
                <w:rFonts w:hint="eastAsia" w:ascii="宋体" w:hAnsi="宋体" w:cs="宋体"/>
                <w:szCs w:val="21"/>
              </w:rPr>
              <w:t>满足以上三项内容得3分，满足任意两项内容得2分，满足任意一项内容得1分；在此基础上，对投标人响应情况进行分档评分：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1.优评分标准：理解准确到位，概括性强加6分。</w:t>
            </w:r>
          </w:p>
          <w:p>
            <w:pPr>
              <w:spacing w:line="340" w:lineRule="exact"/>
              <w:jc w:val="left"/>
              <w:rPr>
                <w:rFonts w:ascii="宋体" w:hAnsi="宋体" w:cs="宋体"/>
                <w:szCs w:val="21"/>
              </w:rPr>
            </w:pPr>
            <w:r>
              <w:rPr>
                <w:rFonts w:hint="eastAsia" w:ascii="宋体" w:hAnsi="宋体" w:cs="宋体"/>
                <w:szCs w:val="21"/>
              </w:rPr>
              <w:t>2.良评分标准：理解到位，具有一定概括性，加4分。</w:t>
            </w:r>
          </w:p>
          <w:p>
            <w:pPr>
              <w:spacing w:line="340" w:lineRule="exact"/>
              <w:jc w:val="left"/>
              <w:rPr>
                <w:rFonts w:ascii="宋体" w:hAnsi="宋体" w:cs="宋体"/>
                <w:szCs w:val="21"/>
              </w:rPr>
            </w:pPr>
            <w:r>
              <w:rPr>
                <w:rFonts w:hint="eastAsia" w:ascii="宋体" w:hAnsi="宋体" w:cs="宋体"/>
                <w:szCs w:val="21"/>
              </w:rPr>
              <w:t>3.中评分标准：理解有缺漏但基本到位，概括性低，加2分。</w:t>
            </w:r>
          </w:p>
          <w:p>
            <w:pPr>
              <w:widowControl/>
              <w:textAlignment w:val="center"/>
              <w:rPr>
                <w:rFonts w:ascii="宋体" w:hAnsi="宋体" w:cs="宋体"/>
                <w:szCs w:val="21"/>
              </w:rPr>
            </w:pPr>
            <w:r>
              <w:rPr>
                <w:rFonts w:hint="eastAsia" w:ascii="宋体" w:hAnsi="宋体" w:cs="宋体"/>
                <w:szCs w:val="21"/>
              </w:rPr>
              <w:t>4.差评分标准：理解有严重缺漏，无概括性，不加分。</w:t>
            </w:r>
          </w:p>
          <w:p>
            <w:pPr>
              <w:widowControl/>
              <w:textAlignment w:val="center"/>
              <w:rPr>
                <w:rFonts w:ascii="宋体" w:hAnsi="宋体" w:cs="宋体"/>
                <w:kern w:val="0"/>
                <w:sz w:val="22"/>
                <w:szCs w:val="22"/>
                <w:lang w:bidi="ar"/>
              </w:rPr>
            </w:pP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9</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r>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考察对项目重点难点分析，应对措施及相关的合理化建议情况，进行横向综合比较。包含但不限于以下内容：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1.分析项目难点、重点情况；</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2.提出应对措施；</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3.对项目进行合理化建议；</w:t>
            </w:r>
          </w:p>
          <w:p>
            <w:pPr>
              <w:spacing w:line="340" w:lineRule="exact"/>
              <w:jc w:val="left"/>
              <w:rPr>
                <w:rFonts w:ascii="宋体" w:hAnsi="宋体" w:cs="宋体"/>
                <w:szCs w:val="21"/>
              </w:rPr>
            </w:pPr>
            <w:r>
              <w:rPr>
                <w:rFonts w:hint="eastAsia" w:ascii="宋体" w:hAnsi="宋体" w:cs="宋体"/>
                <w:szCs w:val="21"/>
              </w:rPr>
              <w:t>满足以上三项内容得3分，满足任意两项内容得2分，满足任意一项内容得1分；在此基础上，对投标人响应情况进行分档评分：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1.优评分标准：分析准确到位，措施合理，建议可操作性强，加3分。</w:t>
            </w:r>
          </w:p>
          <w:p>
            <w:pPr>
              <w:spacing w:line="340" w:lineRule="exact"/>
              <w:jc w:val="left"/>
              <w:rPr>
                <w:rFonts w:ascii="宋体" w:hAnsi="宋体" w:cs="宋体"/>
                <w:szCs w:val="21"/>
              </w:rPr>
            </w:pPr>
            <w:r>
              <w:rPr>
                <w:rFonts w:hint="eastAsia" w:ascii="宋体" w:hAnsi="宋体" w:cs="宋体"/>
                <w:szCs w:val="21"/>
              </w:rPr>
              <w:t>2.良评分标准：分析到位，措施比较合理，建议可操作性较强，加2分。</w:t>
            </w:r>
          </w:p>
          <w:p>
            <w:pPr>
              <w:spacing w:line="340" w:lineRule="exact"/>
              <w:jc w:val="left"/>
              <w:rPr>
                <w:rFonts w:ascii="宋体" w:hAnsi="宋体" w:cs="宋体"/>
                <w:szCs w:val="21"/>
              </w:rPr>
            </w:pPr>
            <w:r>
              <w:rPr>
                <w:rFonts w:hint="eastAsia" w:ascii="宋体" w:hAnsi="宋体" w:cs="宋体"/>
                <w:szCs w:val="21"/>
              </w:rPr>
              <w:t>3.中评分标准：分析基本到位，措施基本合理，建议可操作性一般，加1分。</w:t>
            </w:r>
          </w:p>
          <w:p>
            <w:pPr>
              <w:widowControl/>
              <w:textAlignment w:val="center"/>
              <w:rPr>
                <w:rFonts w:ascii="宋体" w:hAnsi="宋体" w:cs="宋体"/>
                <w:szCs w:val="21"/>
              </w:rPr>
            </w:pPr>
            <w:r>
              <w:rPr>
                <w:rFonts w:hint="eastAsia" w:ascii="宋体" w:hAnsi="宋体" w:cs="宋体"/>
                <w:szCs w:val="21"/>
              </w:rPr>
              <w:t>4.差评分标准：分析有严重缺漏，措施不合理，建议可操作性差，不加分。</w:t>
            </w:r>
          </w:p>
          <w:p>
            <w:pPr>
              <w:widowControl/>
              <w:textAlignment w:val="center"/>
              <w:rPr>
                <w:rFonts w:ascii="宋体" w:hAnsi="宋体" w:cs="宋体"/>
                <w:sz w:val="22"/>
                <w:szCs w:val="22"/>
              </w:rPr>
            </w:pP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6</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编制研究方法及思路</w:t>
            </w:r>
          </w:p>
        </w:tc>
        <w:tc>
          <w:tcPr>
            <w:tcW w:w="5836" w:type="dxa"/>
            <w:tcBorders>
              <w:top w:val="single" w:color="auto" w:sz="4" w:space="0"/>
              <w:left w:val="single" w:color="auto" w:sz="4" w:space="0"/>
              <w:bottom w:val="nil"/>
              <w:right w:val="single" w:color="auto" w:sz="4" w:space="0"/>
            </w:tcBorders>
            <w:vAlign w:val="center"/>
          </w:tcPr>
          <w:p>
            <w:pPr>
              <w:widowControl/>
              <w:textAlignment w:val="center"/>
              <w:rPr>
                <w:sz w:val="22"/>
                <w:szCs w:val="22"/>
              </w:rPr>
            </w:pPr>
            <w:r>
              <w:rPr>
                <w:rFonts w:hint="eastAsia"/>
                <w:sz w:val="22"/>
                <w:szCs w:val="22"/>
              </w:rPr>
              <w:t>考察对研究内容和报告编制的具体思路和分析维度等研究方法及思路是否清晰、完整，进行横向综合比较。包含但不限于以下内容：</w:t>
            </w:r>
          </w:p>
          <w:p>
            <w:pPr>
              <w:widowControl/>
              <w:textAlignment w:val="center"/>
              <w:rPr>
                <w:sz w:val="22"/>
                <w:szCs w:val="22"/>
              </w:rPr>
            </w:pPr>
            <w:r>
              <w:rPr>
                <w:rFonts w:hint="eastAsia"/>
                <w:sz w:val="22"/>
                <w:szCs w:val="22"/>
              </w:rPr>
              <w:t>1. 研究方案；</w:t>
            </w:r>
          </w:p>
          <w:p>
            <w:pPr>
              <w:widowControl/>
              <w:textAlignment w:val="center"/>
              <w:rPr>
                <w:sz w:val="22"/>
                <w:szCs w:val="22"/>
              </w:rPr>
            </w:pPr>
            <w:r>
              <w:rPr>
                <w:rFonts w:hint="eastAsia"/>
                <w:sz w:val="22"/>
                <w:szCs w:val="22"/>
              </w:rPr>
              <w:t>2. 研究报告设计；</w:t>
            </w:r>
          </w:p>
          <w:p>
            <w:pPr>
              <w:widowControl/>
              <w:textAlignment w:val="center"/>
              <w:rPr>
                <w:sz w:val="22"/>
                <w:szCs w:val="22"/>
              </w:rPr>
            </w:pPr>
            <w:r>
              <w:rPr>
                <w:rFonts w:hint="eastAsia"/>
                <w:sz w:val="22"/>
                <w:szCs w:val="22"/>
              </w:rPr>
              <w:t>3. 研究思路和数据。</w:t>
            </w:r>
          </w:p>
          <w:p>
            <w:pPr>
              <w:spacing w:line="340" w:lineRule="exact"/>
              <w:jc w:val="left"/>
              <w:rPr>
                <w:rFonts w:ascii="宋体" w:hAnsi="宋体" w:cs="宋体"/>
                <w:szCs w:val="21"/>
              </w:rPr>
            </w:pPr>
            <w:r>
              <w:rPr>
                <w:rFonts w:hint="eastAsia" w:ascii="宋体" w:hAnsi="宋体" w:cs="宋体"/>
                <w:szCs w:val="21"/>
              </w:rPr>
              <w:t>满足以上三项内容得6分，满足任意两项内容得4分，满足任意一项内容得2分；在此基础上，对投标人响应情况进行分档评分：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1.优评分标准：研究方案思路明确、逻辑清晰，满足采购方所有需求，数据来源科学可行，加6分。</w:t>
            </w:r>
          </w:p>
          <w:p>
            <w:pPr>
              <w:spacing w:line="340" w:lineRule="exact"/>
              <w:jc w:val="left"/>
              <w:rPr>
                <w:rFonts w:ascii="宋体" w:hAnsi="宋体" w:cs="宋体"/>
                <w:szCs w:val="21"/>
              </w:rPr>
            </w:pPr>
            <w:r>
              <w:rPr>
                <w:rFonts w:hint="eastAsia" w:ascii="宋体" w:hAnsi="宋体" w:cs="宋体"/>
                <w:szCs w:val="21"/>
              </w:rPr>
              <w:t>2.良评分标准：研究方案思路较明确、逻辑清晰，满足采购方大部分需求，数据来源较科学可行，加4分。</w:t>
            </w:r>
          </w:p>
          <w:p>
            <w:pPr>
              <w:spacing w:line="340" w:lineRule="exact"/>
              <w:jc w:val="left"/>
              <w:rPr>
                <w:rFonts w:ascii="宋体" w:hAnsi="宋体" w:cs="宋体"/>
                <w:szCs w:val="21"/>
              </w:rPr>
            </w:pPr>
            <w:r>
              <w:rPr>
                <w:rFonts w:hint="eastAsia" w:ascii="宋体" w:hAnsi="宋体" w:cs="宋体"/>
                <w:szCs w:val="21"/>
              </w:rPr>
              <w:t>3.中评分标准：研究方案思路较清晰，满足采购方部分需求，数据来源科学可行性一般，加2分。</w:t>
            </w:r>
          </w:p>
          <w:p>
            <w:pPr>
              <w:widowControl/>
              <w:textAlignment w:val="center"/>
              <w:rPr>
                <w:rFonts w:ascii="宋体" w:hAnsi="宋体" w:cs="宋体"/>
                <w:szCs w:val="21"/>
              </w:rPr>
            </w:pPr>
            <w:r>
              <w:rPr>
                <w:rFonts w:hint="eastAsia" w:ascii="宋体" w:hAnsi="宋体" w:cs="宋体"/>
                <w:szCs w:val="21"/>
              </w:rPr>
              <w:t>4.差评分标准：研究方案有严重缺漏，无法满足采购方需求，数据来源不科学可行，不加分。</w:t>
            </w:r>
          </w:p>
          <w:p>
            <w:pPr>
              <w:widowControl/>
              <w:textAlignment w:val="center"/>
            </w:pP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sz w:val="22"/>
              </w:rPr>
            </w:pPr>
            <w:r>
              <w:rPr>
                <w:rFonts w:hint="eastAsia" w:ascii="宋体" w:hAnsi="宋体"/>
                <w:sz w:val="22"/>
              </w:rPr>
              <w:t>12</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r>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bookmarkStart w:id="17" w:name="_Toc834"/>
            <w:bookmarkStart w:id="18" w:name="_Hlk28269117"/>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成果预设</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根据成果编制内容的合理可行性、响应程度等各方面情况进行比较评价。包含但不限于以下内容：</w:t>
            </w:r>
          </w:p>
          <w:p>
            <w:pPr>
              <w:widowControl/>
              <w:jc w:val="left"/>
            </w:pPr>
            <w:r>
              <w:rPr>
                <w:rFonts w:hint="eastAsia"/>
              </w:rPr>
              <w:t>1.成果响应；</w:t>
            </w:r>
          </w:p>
          <w:p>
            <w:pPr>
              <w:widowControl/>
              <w:jc w:val="left"/>
            </w:pPr>
            <w:r>
              <w:rPr>
                <w:rFonts w:hint="eastAsia"/>
              </w:rPr>
              <w:t xml:space="preserve">2.成果内容； </w:t>
            </w:r>
          </w:p>
          <w:p>
            <w:pPr>
              <w:spacing w:line="340" w:lineRule="exact"/>
              <w:jc w:val="left"/>
              <w:rPr>
                <w:rFonts w:ascii="宋体" w:hAnsi="宋体" w:cs="宋体"/>
                <w:szCs w:val="21"/>
              </w:rPr>
            </w:pPr>
            <w:r>
              <w:rPr>
                <w:rFonts w:hint="eastAsia" w:ascii="宋体" w:hAnsi="宋体"/>
                <w:szCs w:val="21"/>
              </w:rPr>
              <w:t>满足上述两项的得2分，满足一项的得1分，</w:t>
            </w:r>
            <w:r>
              <w:rPr>
                <w:rFonts w:hint="eastAsia" w:ascii="宋体" w:hAnsi="宋体" w:cs="宋体"/>
                <w:szCs w:val="21"/>
              </w:rPr>
              <w:t>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w:t>
            </w:r>
            <w:r>
              <w:rPr>
                <w:rFonts w:hint="eastAsia" w:ascii="宋体" w:hAnsi="宋体"/>
                <w:szCs w:val="21"/>
              </w:rPr>
              <w:t>成果响应内容全面</w:t>
            </w:r>
            <w:r>
              <w:rPr>
                <w:rFonts w:hint="eastAsia" w:ascii="宋体" w:hAnsi="宋体" w:cs="宋体"/>
                <w:szCs w:val="21"/>
              </w:rPr>
              <w:t>，合理可行，加3分。</w:t>
            </w:r>
          </w:p>
          <w:p>
            <w:pPr>
              <w:spacing w:line="340" w:lineRule="exact"/>
              <w:jc w:val="left"/>
              <w:rPr>
                <w:rFonts w:ascii="宋体" w:hAnsi="宋体" w:cs="宋体"/>
                <w:szCs w:val="21"/>
              </w:rPr>
            </w:pPr>
            <w:r>
              <w:rPr>
                <w:rFonts w:hint="eastAsia" w:ascii="宋体" w:hAnsi="宋体" w:cs="宋体"/>
                <w:szCs w:val="21"/>
              </w:rPr>
              <w:t>2.良评分标准：</w:t>
            </w:r>
            <w:r>
              <w:rPr>
                <w:rFonts w:hint="eastAsia" w:ascii="宋体" w:hAnsi="宋体"/>
                <w:szCs w:val="21"/>
              </w:rPr>
              <w:t>成果响应内容较全面</w:t>
            </w:r>
            <w:r>
              <w:rPr>
                <w:rFonts w:hint="eastAsia" w:ascii="宋体" w:hAnsi="宋体" w:cs="宋体"/>
                <w:szCs w:val="21"/>
              </w:rPr>
              <w:t>，比较合理可行，加2分。</w:t>
            </w:r>
          </w:p>
          <w:p>
            <w:pPr>
              <w:spacing w:line="340" w:lineRule="exact"/>
              <w:jc w:val="left"/>
              <w:rPr>
                <w:rFonts w:ascii="宋体" w:hAnsi="宋体" w:cs="宋体"/>
                <w:szCs w:val="21"/>
              </w:rPr>
            </w:pPr>
            <w:r>
              <w:rPr>
                <w:rFonts w:hint="eastAsia" w:ascii="宋体" w:hAnsi="宋体" w:cs="宋体"/>
                <w:szCs w:val="21"/>
              </w:rPr>
              <w:t>3.中评分标准：</w:t>
            </w:r>
            <w:r>
              <w:rPr>
                <w:rFonts w:hint="eastAsia" w:ascii="宋体" w:hAnsi="宋体"/>
                <w:szCs w:val="21"/>
              </w:rPr>
              <w:t>成果响应内容一般</w:t>
            </w:r>
            <w:r>
              <w:rPr>
                <w:rFonts w:hint="eastAsia" w:ascii="宋体" w:hAnsi="宋体" w:cs="宋体"/>
                <w:szCs w:val="21"/>
              </w:rPr>
              <w:t>，不够合理可行，加1分。</w:t>
            </w:r>
          </w:p>
          <w:p>
            <w:pPr>
              <w:widowControl/>
              <w:spacing w:line="360" w:lineRule="exact"/>
              <w:jc w:val="left"/>
              <w:rPr>
                <w:rFonts w:ascii="宋体" w:hAnsi="宋体" w:cs="宋体"/>
                <w:szCs w:val="21"/>
              </w:rPr>
            </w:pPr>
            <w:r>
              <w:rPr>
                <w:rFonts w:hint="eastAsia" w:ascii="宋体" w:hAnsi="宋体" w:cs="宋体"/>
                <w:szCs w:val="21"/>
              </w:rPr>
              <w:t>4.差评分标准：</w:t>
            </w:r>
            <w:r>
              <w:rPr>
                <w:rFonts w:hint="eastAsia" w:ascii="宋体" w:hAnsi="宋体"/>
                <w:szCs w:val="21"/>
              </w:rPr>
              <w:t>成果响应内容有严重缺漏</w:t>
            </w:r>
            <w:r>
              <w:rPr>
                <w:rFonts w:hint="eastAsia" w:ascii="宋体" w:hAnsi="宋体" w:cs="宋体"/>
                <w:szCs w:val="21"/>
              </w:rPr>
              <w:t>，不合理可行，不加分。</w:t>
            </w:r>
          </w:p>
          <w:p>
            <w:pPr>
              <w:widowControl/>
              <w:spacing w:line="360" w:lineRule="exact"/>
              <w:jc w:val="left"/>
              <w:rPr>
                <w:sz w:val="22"/>
                <w:szCs w:val="22"/>
              </w:rPr>
            </w:pP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项目进度计划</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项目整体实施时间是否紧凑、合理，根据项目进度的切合程度进行比较评价。</w:t>
            </w:r>
          </w:p>
          <w:p>
            <w:pPr>
              <w:widowControl/>
              <w:jc w:val="left"/>
            </w:pPr>
            <w:r>
              <w:rPr>
                <w:rFonts w:hint="eastAsia"/>
              </w:rPr>
              <w:t>1.具备完备的项目进度计划体系文档；</w:t>
            </w:r>
          </w:p>
          <w:p>
            <w:pPr>
              <w:widowControl/>
              <w:jc w:val="left"/>
            </w:pPr>
            <w:r>
              <w:rPr>
                <w:rFonts w:hint="eastAsia"/>
              </w:rPr>
              <w:t>2.项目进度计划紧凑，时间安排合理。</w:t>
            </w:r>
          </w:p>
          <w:p>
            <w:pPr>
              <w:widowControl/>
              <w:jc w:val="left"/>
            </w:pPr>
            <w:r>
              <w:rPr>
                <w:rFonts w:hint="eastAsia"/>
              </w:rPr>
              <w:t>满足上述两项的得3分，满足一项的得2分，全部不满足的不得分。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3</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17"/>
    </w:p>
    <w:p>
      <w:pPr>
        <w:keepNext/>
        <w:keepLines/>
        <w:spacing w:before="260" w:after="260" w:line="360" w:lineRule="auto"/>
        <w:jc w:val="center"/>
        <w:outlineLvl w:val="1"/>
        <w:rPr>
          <w:rFonts w:ascii="宋体" w:hAnsi="宋体" w:cs="宋体"/>
          <w:b/>
          <w:bCs/>
          <w:sz w:val="24"/>
        </w:rPr>
      </w:pPr>
      <w:bookmarkStart w:id="19" w:name="_Toc5116"/>
      <w:bookmarkStart w:id="20" w:name="_Toc6548"/>
      <w:bookmarkStart w:id="21" w:name="_Toc31827"/>
      <w:bookmarkStart w:id="22" w:name="_Toc19494"/>
      <w:r>
        <w:rPr>
          <w:rFonts w:hint="eastAsia" w:ascii="宋体" w:hAnsi="宋体" w:cs="宋体"/>
          <w:b/>
          <w:sz w:val="24"/>
        </w:rPr>
        <w:t>一、</w:t>
      </w:r>
      <w:r>
        <w:rPr>
          <w:rFonts w:hint="eastAsia" w:ascii="宋体" w:hAnsi="宋体" w:cs="宋体"/>
          <w:b/>
          <w:bCs/>
          <w:sz w:val="24"/>
        </w:rPr>
        <w:t>投标文件包装封面参考</w:t>
      </w:r>
      <w:bookmarkEnd w:id="19"/>
      <w:bookmarkEnd w:id="20"/>
      <w:bookmarkEnd w:id="21"/>
      <w:bookmarkEnd w:id="22"/>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3" w:name="_Toc16724"/>
    </w:p>
    <w:p>
      <w:pPr>
        <w:pStyle w:val="4"/>
        <w:rPr>
          <w:rFonts w:ascii="宋体" w:cs="宋体"/>
          <w:b/>
          <w:sz w:val="24"/>
        </w:rPr>
      </w:pPr>
      <w:r>
        <w:rPr>
          <w:rFonts w:hint="eastAsia" w:ascii="宋体" w:eastAsia="宋体" w:cs="宋体"/>
          <w:b/>
          <w:sz w:val="24"/>
        </w:rPr>
        <w:t>二、投标文件—目录</w:t>
      </w:r>
      <w:bookmarkEnd w:id="23"/>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29"/>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、同类项目业绩</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对项目的整体理解</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项目重点难点分析、应对措施及相关的合理化建议</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sq-AL"/>
        </w:rPr>
        <w:t>编制研究方法及思路</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5、成果预设；</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6、项目进度计划；</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7、投标人认为有必要提供的其他材料。</w:t>
      </w:r>
    </w:p>
    <w:p>
      <w:pPr>
        <w:pStyle w:val="29"/>
        <w:ind w:firstLine="480"/>
        <w:rPr>
          <w:rFonts w:ascii="宋体" w:hAnsi="宋体" w:cs="宋体"/>
          <w:sz w:val="24"/>
          <w:lang w:val="fr-CH"/>
        </w:rPr>
      </w:pPr>
    </w:p>
    <w:p>
      <w:pPr>
        <w:pStyle w:val="29"/>
        <w:ind w:firstLine="480"/>
        <w:rPr>
          <w:rFonts w:ascii="宋体" w:hAnsi="宋体" w:cs="宋体"/>
          <w:sz w:val="24"/>
          <w:lang w:val="fr-CH"/>
        </w:rPr>
      </w:pPr>
    </w:p>
    <w:p/>
    <w:p>
      <w:pPr>
        <w:pStyle w:val="4"/>
      </w:pPr>
    </w:p>
    <w:p/>
    <w:p>
      <w:pPr>
        <w:pStyle w:val="4"/>
      </w:pPr>
    </w:p>
    <w:p>
      <w:pPr>
        <w:pStyle w:val="4"/>
      </w:pPr>
    </w:p>
    <w:p/>
    <w:p>
      <w:pPr>
        <w:pStyle w:val="4"/>
      </w:pPr>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373" w:type="dxa"/>
            <w:vAlign w:val="center"/>
          </w:tcPr>
          <w:p>
            <w:pPr>
              <w:pStyle w:val="12"/>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12"/>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12"/>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12"/>
              <w:spacing w:line="360" w:lineRule="auto"/>
              <w:jc w:val="center"/>
              <w:rPr>
                <w:rFonts w:hAnsi="宋体" w:cs="宋体"/>
                <w:sz w:val="22"/>
                <w:szCs w:val="22"/>
              </w:rPr>
            </w:pPr>
            <w:r>
              <w:rPr>
                <w:rFonts w:hint="eastAsia" w:hAnsi="宋体" w:cs="宋体"/>
                <w:sz w:val="22"/>
                <w:szCs w:val="22"/>
              </w:rPr>
              <w:t>备注</w:t>
            </w:r>
          </w:p>
        </w:tc>
      </w:tr>
      <w:tr>
        <w:trPr>
          <w:trHeight w:val="540"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1</w:t>
            </w:r>
          </w:p>
        </w:tc>
        <w:tc>
          <w:tcPr>
            <w:tcW w:w="2039" w:type="dxa"/>
            <w:vAlign w:val="center"/>
          </w:tcPr>
          <w:p>
            <w:pPr>
              <w:pStyle w:val="12"/>
              <w:spacing w:line="360" w:lineRule="auto"/>
              <w:jc w:val="center"/>
              <w:rPr>
                <w:rFonts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rPr>
          <w:trHeight w:val="54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w:t>
            </w:r>
          </w:p>
        </w:tc>
        <w:tc>
          <w:tcPr>
            <w:tcW w:w="2039" w:type="dxa"/>
            <w:vAlign w:val="center"/>
          </w:tcPr>
          <w:p>
            <w:pPr>
              <w:pStyle w:val="12"/>
              <w:spacing w:line="360" w:lineRule="auto"/>
              <w:jc w:val="center"/>
              <w:rPr>
                <w:rFonts w:hAnsi="宋体" w:cs="宋体"/>
                <w:sz w:val="24"/>
              </w:rPr>
            </w:pPr>
            <w:r>
              <w:rPr>
                <w:rFonts w:hint="eastAsia" w:hAnsi="宋体" w:cs="宋体"/>
                <w:sz w:val="24"/>
              </w:rPr>
              <w:t>…</w:t>
            </w: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6"/>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pStyle w:val="4"/>
        <w:jc w:val="both"/>
        <w:rPr>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深圳市国际招标有限公司：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rPr>
          <w:trHeight w:val="256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p>
    <w:p>
      <w:pPr>
        <w:pStyle w:val="2"/>
        <w:rPr>
          <w:rFonts w:ascii="宋体"/>
        </w:rPr>
      </w:pPr>
      <w:r>
        <w:br w:type="page"/>
      </w:r>
    </w:p>
    <w:p>
      <w:pPr>
        <w:pStyle w:val="12"/>
        <w:spacing w:line="360" w:lineRule="auto"/>
        <w:jc w:val="center"/>
        <w:rPr>
          <w:rFonts w:hAnsi="宋体" w:cs="宋体"/>
          <w:b/>
          <w:sz w:val="24"/>
        </w:rPr>
      </w:pPr>
      <w:r>
        <w:rPr>
          <w:rFonts w:hint="eastAsia" w:hAnsi="宋体" w:cs="宋体"/>
          <w:b/>
          <w:sz w:val="24"/>
        </w:rPr>
        <w:t>8、法定代表人授权书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致：深圳市国际招标有限公司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），我们保证在收到中标通知书后5日内按招标文件的规定，以现金或电汇向贵公司即深圳市国际招标有限公司指定的银行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pStyle w:val="4"/>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11、同类项目业绩</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12、项目负责人</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13、团队成员（项目负责人除外）</w:t>
      </w:r>
    </w:p>
    <w:p>
      <w:pPr>
        <w:tabs>
          <w:tab w:val="left" w:pos="640"/>
          <w:tab w:val="left" w:pos="1260"/>
          <w:tab w:val="left" w:pos="1418"/>
        </w:tabs>
        <w:spacing w:line="360" w:lineRule="auto"/>
        <w:rPr>
          <w:rFonts w:ascii="宋体" w:hAnsi="宋体" w:cs="宋体"/>
          <w:sz w:val="24"/>
        </w:rPr>
      </w:pPr>
      <w:r>
        <w:rPr>
          <w:rFonts w:hint="eastAsia" w:ascii="宋体" w:hAnsi="宋体" w:cs="宋体"/>
          <w:b/>
          <w:bCs/>
          <w:sz w:val="24"/>
        </w:rPr>
        <w:t>14、投标人认为有必要提供的其他材料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sz w:val="24"/>
          <w:lang w:val="sq-AL"/>
        </w:rPr>
        <w:br w:type="page"/>
      </w:r>
      <w:r>
        <w:rPr>
          <w:rFonts w:hint="eastAsia" w:ascii="宋体" w:hAnsi="宋体" w:cs="宋体"/>
          <w:b/>
          <w:bCs/>
          <w:sz w:val="24"/>
        </w:rPr>
        <w:t>2、对项目的整体理解；</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4、编制研究方法及思路；</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5、成果预设；</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6、项目进度计划；</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7、投标人认为有必要提供的其他材料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18"/>
      <w:bookmarkStart w:id="24" w:name="_Toc3166"/>
      <w:bookmarkStart w:id="25" w:name="_Toc6251"/>
      <w:r>
        <w:rPr>
          <w:rFonts w:hint="eastAsia" w:ascii="宋体" w:hAnsi="宋体" w:cs="宋体"/>
          <w:b/>
          <w:bCs/>
          <w:sz w:val="24"/>
        </w:rPr>
        <w:t>（1）附件：相关政策</w:t>
      </w:r>
      <w:bookmarkEnd w:id="24"/>
      <w:bookmarkEnd w:id="25"/>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pStyle w:val="4"/>
        <w:rPr>
          <w:rFonts w:ascii="宋体" w:cs="宋体"/>
          <w:kern w:val="0"/>
          <w:sz w:val="24"/>
        </w:rPr>
      </w:pPr>
    </w:p>
    <w:p>
      <w:pPr>
        <w:pStyle w:val="4"/>
        <w:jc w:val="both"/>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b/>
          <w:bCs/>
          <w:sz w:val="24"/>
        </w:rPr>
      </w:pPr>
      <w:r>
        <w:rPr>
          <w:rFonts w:hint="eastAsia" w:ascii="宋体" w:hAnsi="宋体" w:cs="宋体"/>
          <w:b/>
          <w:bCs/>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jc w:val="both"/>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4"/>
        <w:jc w:val="both"/>
      </w:pP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pacing w:val="-2"/>
          <w:sz w:val="24"/>
        </w:rPr>
      </w:pP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Align w:val="center"/>
          </w:tcPr>
          <w:p>
            <w:pPr>
              <w:pStyle w:val="53"/>
              <w:jc w:val="center"/>
              <w:rPr>
                <w:b/>
                <w:sz w:val="24"/>
                <w:szCs w:val="24"/>
              </w:rPr>
            </w:pPr>
            <w:r>
              <w:rPr>
                <w:rFonts w:hint="eastAsia"/>
                <w:b/>
                <w:sz w:val="24"/>
                <w:szCs w:val="24"/>
              </w:rPr>
              <w:t>序号</w:t>
            </w:r>
          </w:p>
        </w:tc>
        <w:tc>
          <w:tcPr>
            <w:tcW w:w="1411" w:type="dxa"/>
            <w:vAlign w:val="center"/>
          </w:tcPr>
          <w:p>
            <w:pPr>
              <w:pStyle w:val="53"/>
              <w:jc w:val="center"/>
              <w:rPr>
                <w:b/>
                <w:sz w:val="24"/>
                <w:szCs w:val="24"/>
              </w:rPr>
            </w:pPr>
            <w:r>
              <w:rPr>
                <w:rFonts w:hint="eastAsia"/>
                <w:b/>
                <w:sz w:val="24"/>
                <w:szCs w:val="24"/>
              </w:rPr>
              <w:t>项目名称</w:t>
            </w:r>
          </w:p>
        </w:tc>
        <w:tc>
          <w:tcPr>
            <w:tcW w:w="2505" w:type="dxa"/>
            <w:vAlign w:val="center"/>
          </w:tcPr>
          <w:p>
            <w:pPr>
              <w:pStyle w:val="53"/>
              <w:jc w:val="center"/>
              <w:rPr>
                <w:b/>
                <w:sz w:val="24"/>
                <w:szCs w:val="24"/>
              </w:rPr>
            </w:pPr>
            <w:r>
              <w:rPr>
                <w:rFonts w:hint="eastAsia"/>
                <w:b/>
                <w:sz w:val="24"/>
                <w:szCs w:val="24"/>
              </w:rPr>
              <w:t>预留选项</w:t>
            </w:r>
          </w:p>
        </w:tc>
        <w:tc>
          <w:tcPr>
            <w:tcW w:w="1905" w:type="dxa"/>
            <w:vAlign w:val="center"/>
          </w:tcPr>
          <w:p>
            <w:pPr>
              <w:pStyle w:val="53"/>
              <w:jc w:val="center"/>
              <w:rPr>
                <w:b/>
                <w:sz w:val="24"/>
                <w:szCs w:val="24"/>
              </w:rPr>
            </w:pPr>
            <w:r>
              <w:rPr>
                <w:rFonts w:hint="eastAsia"/>
                <w:b/>
                <w:sz w:val="24"/>
                <w:szCs w:val="24"/>
              </w:rPr>
              <w:t>面向中小企业采购金额</w:t>
            </w:r>
          </w:p>
        </w:tc>
        <w:tc>
          <w:tcPr>
            <w:tcW w:w="2135" w:type="dxa"/>
            <w:vAlign w:val="center"/>
          </w:tcPr>
          <w:p>
            <w:pPr>
              <w:pStyle w:val="53"/>
              <w:jc w:val="center"/>
              <w:rPr>
                <w:b/>
                <w:sz w:val="24"/>
                <w:szCs w:val="24"/>
              </w:rPr>
            </w:pPr>
            <w:r>
              <w:rPr>
                <w:rFonts w:hint="eastAsia"/>
                <w:b/>
                <w:sz w:val="24"/>
                <w:szCs w:val="24"/>
              </w:rPr>
              <w:t>合同链接</w:t>
            </w:r>
          </w:p>
        </w:tc>
      </w:tr>
      <w:tr>
        <w:trPr>
          <w:trHeight w:val="387" w:hRule="atLeast"/>
        </w:trPr>
        <w:tc>
          <w:tcPr>
            <w:tcW w:w="870" w:type="dxa"/>
            <w:vMerge w:val="restart"/>
            <w:vAlign w:val="center"/>
          </w:tcPr>
          <w:p>
            <w:pPr>
              <w:pStyle w:val="53"/>
              <w:jc w:val="center"/>
              <w:rPr>
                <w:sz w:val="24"/>
                <w:szCs w:val="24"/>
              </w:rPr>
            </w:pPr>
          </w:p>
        </w:tc>
        <w:tc>
          <w:tcPr>
            <w:tcW w:w="1411" w:type="dxa"/>
            <w:tcBorders>
              <w:bottom w:val="nil"/>
            </w:tcBorders>
            <w:vAlign w:val="center"/>
          </w:tcPr>
          <w:p>
            <w:pPr>
              <w:pStyle w:val="53"/>
              <w:jc w:val="center"/>
            </w:pPr>
          </w:p>
        </w:tc>
        <w:tc>
          <w:tcPr>
            <w:tcW w:w="2505" w:type="dxa"/>
            <w:tcBorders>
              <w:bottom w:val="nil"/>
            </w:tcBorders>
            <w:vAlign w:val="center"/>
          </w:tcPr>
          <w:p>
            <w:pPr>
              <w:pStyle w:val="53"/>
              <w:jc w:val="center"/>
            </w:pPr>
            <w:r>
              <w:rPr>
                <w:rFonts w:hint="eastAsia"/>
              </w:rPr>
              <w:t>（填写“采购项</w:t>
            </w:r>
          </w:p>
        </w:tc>
        <w:tc>
          <w:tcPr>
            <w:tcW w:w="1905" w:type="dxa"/>
            <w:tcBorders>
              <w:bottom w:val="nil"/>
            </w:tcBorders>
            <w:vAlign w:val="center"/>
          </w:tcPr>
          <w:p>
            <w:pPr>
              <w:pStyle w:val="53"/>
              <w:jc w:val="center"/>
            </w:pPr>
          </w:p>
        </w:tc>
        <w:tc>
          <w:tcPr>
            <w:tcW w:w="2135" w:type="dxa"/>
            <w:vMerge w:val="restart"/>
            <w:vAlign w:val="center"/>
          </w:tcPr>
          <w:p>
            <w:pPr>
              <w:pStyle w:val="53"/>
              <w:jc w:val="center"/>
            </w:pPr>
          </w:p>
          <w:p>
            <w:pPr>
              <w:pStyle w:val="53"/>
              <w:jc w:val="center"/>
            </w:pPr>
          </w:p>
          <w:p>
            <w:pPr>
              <w:pStyle w:val="53"/>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目整体预留”、</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“设置专门采购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（填写集中采</w:t>
            </w:r>
          </w:p>
        </w:tc>
        <w:tc>
          <w:tcPr>
            <w:tcW w:w="2505" w:type="dxa"/>
            <w:tcBorders>
              <w:top w:val="nil"/>
              <w:bottom w:val="nil"/>
            </w:tcBorders>
            <w:vAlign w:val="center"/>
          </w:tcPr>
          <w:p>
            <w:pPr>
              <w:pStyle w:val="53"/>
              <w:jc w:val="center"/>
            </w:pPr>
            <w:r>
              <w:rPr>
                <w:rFonts w:hint="eastAsia"/>
              </w:rPr>
              <w:t>包”、“要求以</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购目录以内或</w:t>
            </w:r>
          </w:p>
        </w:tc>
        <w:tc>
          <w:tcPr>
            <w:tcW w:w="2505" w:type="dxa"/>
            <w:tcBorders>
              <w:top w:val="nil"/>
              <w:bottom w:val="nil"/>
            </w:tcBorders>
            <w:vAlign w:val="center"/>
          </w:tcPr>
          <w:p>
            <w:pPr>
              <w:pStyle w:val="53"/>
              <w:jc w:val="center"/>
            </w:pPr>
            <w:r>
              <w:rPr>
                <w:rFonts w:hint="eastAsia"/>
              </w:rPr>
              <w:t>联合体形式参</w:t>
            </w:r>
          </w:p>
        </w:tc>
        <w:tc>
          <w:tcPr>
            <w:tcW w:w="1905" w:type="dxa"/>
            <w:tcBorders>
              <w:top w:val="nil"/>
              <w:bottom w:val="nil"/>
            </w:tcBorders>
            <w:vAlign w:val="center"/>
          </w:tcPr>
          <w:p>
            <w:pPr>
              <w:pStyle w:val="53"/>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者采购限额标</w:t>
            </w:r>
          </w:p>
        </w:tc>
        <w:tc>
          <w:tcPr>
            <w:tcW w:w="2505" w:type="dxa"/>
            <w:tcBorders>
              <w:top w:val="nil"/>
              <w:bottom w:val="nil"/>
            </w:tcBorders>
            <w:vAlign w:val="center"/>
          </w:tcPr>
          <w:p>
            <w:pPr>
              <w:pStyle w:val="53"/>
              <w:jc w:val="center"/>
            </w:pPr>
            <w:r>
              <w:rPr>
                <w:rFonts w:hint="eastAsia"/>
              </w:rPr>
              <w:t>加”或者“要求</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准以上的采购</w:t>
            </w:r>
          </w:p>
        </w:tc>
        <w:tc>
          <w:tcPr>
            <w:tcW w:w="2505" w:type="dxa"/>
            <w:tcBorders>
              <w:top w:val="nil"/>
              <w:bottom w:val="nil"/>
            </w:tcBorders>
            <w:vAlign w:val="center"/>
          </w:tcPr>
          <w:p>
            <w:pPr>
              <w:pStyle w:val="53"/>
              <w:jc w:val="center"/>
            </w:pPr>
            <w:r>
              <w:rPr>
                <w:rFonts w:hint="eastAsia"/>
              </w:rPr>
              <w:t>合同分包”，除</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项目</w:t>
            </w:r>
          </w:p>
        </w:tc>
        <w:tc>
          <w:tcPr>
            <w:tcW w:w="2505" w:type="dxa"/>
            <w:tcBorders>
              <w:top w:val="nil"/>
              <w:bottom w:val="nil"/>
            </w:tcBorders>
            <w:vAlign w:val="center"/>
          </w:tcPr>
          <w:p>
            <w:pPr>
              <w:pStyle w:val="53"/>
              <w:jc w:val="center"/>
            </w:pPr>
            <w:r>
              <w:rPr>
                <w:rFonts w:hint="eastAsia"/>
              </w:rPr>
              <w:t>“采购项目全部</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预留”外，还应</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当填写预留给中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53"/>
              <w:jc w:val="center"/>
            </w:pPr>
          </w:p>
        </w:tc>
        <w:tc>
          <w:tcPr>
            <w:tcW w:w="2505" w:type="dxa"/>
            <w:tcBorders>
              <w:top w:val="nil"/>
            </w:tcBorders>
            <w:vAlign w:val="center"/>
          </w:tcPr>
          <w:p>
            <w:pPr>
              <w:pStyle w:val="53"/>
              <w:jc w:val="center"/>
            </w:pPr>
            <w:r>
              <w:rPr>
                <w:rFonts w:hint="eastAsia"/>
              </w:rPr>
              <w:t>小企业的比例）</w:t>
            </w:r>
          </w:p>
        </w:tc>
        <w:tc>
          <w:tcPr>
            <w:tcW w:w="1905" w:type="dxa"/>
            <w:tcBorders>
              <w:top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Align w:val="center"/>
          </w:tcPr>
          <w:p>
            <w:pPr>
              <w:pStyle w:val="53"/>
              <w:jc w:val="center"/>
              <w:rPr>
                <w:sz w:val="24"/>
                <w:szCs w:val="24"/>
              </w:rPr>
            </w:pPr>
            <w:r>
              <w:rPr>
                <w:rFonts w:hint="eastAsia"/>
                <w:sz w:val="24"/>
                <w:szCs w:val="24"/>
              </w:rPr>
              <w:t>……</w:t>
            </w:r>
          </w:p>
        </w:tc>
        <w:tc>
          <w:tcPr>
            <w:tcW w:w="1411" w:type="dxa"/>
            <w:vAlign w:val="center"/>
          </w:tcPr>
          <w:p>
            <w:pPr>
              <w:pStyle w:val="53"/>
              <w:jc w:val="center"/>
            </w:pPr>
            <w:r>
              <w:rPr>
                <w:rFonts w:hint="eastAsia"/>
              </w:rPr>
              <w:t>……</w:t>
            </w:r>
          </w:p>
        </w:tc>
        <w:tc>
          <w:tcPr>
            <w:tcW w:w="2505" w:type="dxa"/>
            <w:vAlign w:val="center"/>
          </w:tcPr>
          <w:p>
            <w:pPr>
              <w:pStyle w:val="53"/>
              <w:jc w:val="center"/>
            </w:pPr>
            <w:r>
              <w:rPr>
                <w:rFonts w:hint="eastAsia"/>
              </w:rPr>
              <w:t>……</w:t>
            </w:r>
          </w:p>
        </w:tc>
        <w:tc>
          <w:tcPr>
            <w:tcW w:w="1905" w:type="dxa"/>
            <w:vAlign w:val="center"/>
          </w:tcPr>
          <w:p>
            <w:pPr>
              <w:pStyle w:val="53"/>
              <w:jc w:val="center"/>
            </w:pPr>
            <w:r>
              <w:rPr>
                <w:rFonts w:hint="eastAsia"/>
              </w:rPr>
              <w:t>……</w:t>
            </w:r>
          </w:p>
        </w:tc>
        <w:tc>
          <w:tcPr>
            <w:tcW w:w="2135" w:type="dxa"/>
            <w:vAlign w:val="center"/>
          </w:tcPr>
          <w:p>
            <w:pPr>
              <w:pStyle w:val="53"/>
              <w:jc w:val="center"/>
            </w:pPr>
            <w:r>
              <w:rPr>
                <w:rFonts w:hint="eastAsia"/>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4"/>
        <w:rPr>
          <w:rFonts w:ascii="宋体" w:cs="宋体"/>
          <w:sz w:val="24"/>
        </w:rPr>
      </w:pPr>
    </w:p>
    <w:p>
      <w:pPr>
        <w:rPr>
          <w:rFonts w:ascii="宋体" w:hAnsi="宋体" w:cs="宋体"/>
          <w:sz w:val="24"/>
        </w:rPr>
      </w:pPr>
    </w:p>
    <w:p>
      <w:pPr>
        <w:pStyle w:val="4"/>
        <w:rPr>
          <w:rFonts w:ascii="宋体" w:cs="宋体"/>
          <w:sz w:val="24"/>
        </w:rPr>
      </w:pPr>
    </w:p>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4"/>
        <w:rPr>
          <w:rFonts w:ascii="宋体" w:cs="宋体"/>
          <w:kern w:val="0"/>
          <w:sz w:val="24"/>
        </w:rPr>
      </w:pPr>
    </w:p>
    <w:p>
      <w:pPr>
        <w:rPr>
          <w:rFonts w:ascii="宋体" w:hAnsi="宋体" w:cs="宋体"/>
          <w:kern w:val="0"/>
          <w:sz w:val="24"/>
        </w:rPr>
      </w:pPr>
    </w:p>
    <w:p>
      <w:pPr>
        <w:pStyle w:val="4"/>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26" w:name="sendNo"/>
      <w:r>
        <w:rPr>
          <w:rFonts w:hint="eastAsia"/>
        </w:rPr>
        <w:t>财库〔</w:t>
      </w:r>
      <w:bookmarkEnd w:id="26"/>
      <w:r>
        <w:rPr>
          <w:rFonts w:hint="eastAsia"/>
        </w:rPr>
        <w:t>2017〕141号</w:t>
      </w:r>
    </w:p>
    <w:p>
      <w:pPr>
        <w:pStyle w:val="19"/>
        <w:shd w:val="clear" w:color="auto" w:fill="FFFFFF"/>
        <w:spacing w:before="0" w:beforeAutospacing="0" w:after="0" w:afterAutospacing="0" w:line="360" w:lineRule="auto"/>
        <w:ind w:firstLine="480" w:firstLineChars="200"/>
      </w:pPr>
      <w:bookmarkStart w:id="2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r>
        <w:rPr>
          <w:rFonts w:hint="eastAsia"/>
        </w:rPr>
        <w:t>附件：</w:t>
      </w:r>
    </w:p>
    <w:p>
      <w:pPr>
        <w:pStyle w:val="54"/>
        <w:shd w:val="clear" w:color="auto" w:fill="FFFFFF"/>
        <w:spacing w:before="0" w:beforeAutospacing="0" w:after="0" w:afterAutospacing="0" w:line="360" w:lineRule="auto"/>
        <w:ind w:firstLine="482" w:firstLineChars="200"/>
        <w:jc w:val="center"/>
      </w:pPr>
      <w:r>
        <w:rPr>
          <w:rStyle w:val="55"/>
          <w:rFonts w:hint="eastAsia"/>
          <w:b/>
          <w:bCs/>
        </w:rPr>
        <w:t>残疾人福利性单位声明函</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firstLine="480" w:firstLineChars="200"/>
        <w:jc w:val="both"/>
      </w:pPr>
      <w:r>
        <w:rPr>
          <w:rStyle w:val="5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pPr>
      <w:r>
        <w:rPr>
          <w:rStyle w:val="55"/>
          <w:rFonts w:hint="eastAsia"/>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right="2100" w:rightChars="1000"/>
        <w:jc w:val="right"/>
      </w:pPr>
      <w:r>
        <w:rPr>
          <w:rStyle w:val="55"/>
          <w:rFonts w:hint="eastAsia"/>
        </w:rPr>
        <w:t>单位名称（盖章）：</w:t>
      </w:r>
    </w:p>
    <w:p>
      <w:pPr>
        <w:pStyle w:val="54"/>
        <w:shd w:val="clear" w:color="auto" w:fill="FFFFFF"/>
        <w:spacing w:before="0" w:beforeAutospacing="0" w:after="0" w:afterAutospacing="0" w:line="360" w:lineRule="auto"/>
        <w:ind w:right="2100" w:rightChars="1000"/>
        <w:jc w:val="right"/>
        <w:rPr>
          <w:lang w:val="fr-CH"/>
        </w:rPr>
      </w:pPr>
      <w:r>
        <w:rPr>
          <w:rStyle w:val="5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隶书">
    <w:altName w:val="宋体"/>
    <w:panose1 w:val="0201050906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方正黑体简体">
    <w:altName w:val="汉仪中黑KW"/>
    <w:panose1 w:val="00000000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isplayBackgroundShape w:val="1"/>
  <w:bordersDoNotSurroundHeader w:val="1"/>
  <w:bordersDoNotSurroundFooter w:val="1"/>
  <w:documentProtection w:enforcement="0"/>
  <w:defaultTabStop w:val="420"/>
  <w:evenAndOddHeaders w:val="1"/>
  <w:drawingGridHorizontalSpacing w:val="105"/>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DFhOTEyZmIwYjAzNDUyNmU2OTRlNzJiNDU0OTMifQ=="/>
  </w:docVars>
  <w:rsids>
    <w:rsidRoot w:val="000A03C9"/>
    <w:rsid w:val="00013C11"/>
    <w:rsid w:val="00050316"/>
    <w:rsid w:val="00060D38"/>
    <w:rsid w:val="00083A6F"/>
    <w:rsid w:val="00097523"/>
    <w:rsid w:val="000A03C9"/>
    <w:rsid w:val="0011760F"/>
    <w:rsid w:val="00161255"/>
    <w:rsid w:val="00165AC8"/>
    <w:rsid w:val="001C583F"/>
    <w:rsid w:val="001C7267"/>
    <w:rsid w:val="00254AF5"/>
    <w:rsid w:val="002719BF"/>
    <w:rsid w:val="0029395D"/>
    <w:rsid w:val="002F2C22"/>
    <w:rsid w:val="00323585"/>
    <w:rsid w:val="00345639"/>
    <w:rsid w:val="00385850"/>
    <w:rsid w:val="003C2306"/>
    <w:rsid w:val="003D1B6E"/>
    <w:rsid w:val="00401BD0"/>
    <w:rsid w:val="00401EB3"/>
    <w:rsid w:val="0042043F"/>
    <w:rsid w:val="00424CFA"/>
    <w:rsid w:val="00426E83"/>
    <w:rsid w:val="00433FC9"/>
    <w:rsid w:val="004F5E60"/>
    <w:rsid w:val="004F6D6E"/>
    <w:rsid w:val="00505C6A"/>
    <w:rsid w:val="006304E7"/>
    <w:rsid w:val="0064558C"/>
    <w:rsid w:val="006833C1"/>
    <w:rsid w:val="006A554B"/>
    <w:rsid w:val="006C6E4B"/>
    <w:rsid w:val="00703AD2"/>
    <w:rsid w:val="00737C28"/>
    <w:rsid w:val="0075213F"/>
    <w:rsid w:val="00753EA2"/>
    <w:rsid w:val="00766282"/>
    <w:rsid w:val="007A2ED1"/>
    <w:rsid w:val="007D3CAE"/>
    <w:rsid w:val="008011B0"/>
    <w:rsid w:val="00816292"/>
    <w:rsid w:val="00834FB1"/>
    <w:rsid w:val="00843468"/>
    <w:rsid w:val="008652CD"/>
    <w:rsid w:val="00885B4B"/>
    <w:rsid w:val="0089023E"/>
    <w:rsid w:val="00892F70"/>
    <w:rsid w:val="008C5042"/>
    <w:rsid w:val="008D6FAF"/>
    <w:rsid w:val="00917FB3"/>
    <w:rsid w:val="00945665"/>
    <w:rsid w:val="009A3B81"/>
    <w:rsid w:val="009C7955"/>
    <w:rsid w:val="00A310EF"/>
    <w:rsid w:val="00A4283D"/>
    <w:rsid w:val="00A51F18"/>
    <w:rsid w:val="00A63EBC"/>
    <w:rsid w:val="00A648EF"/>
    <w:rsid w:val="00AB324C"/>
    <w:rsid w:val="00B25982"/>
    <w:rsid w:val="00B259ED"/>
    <w:rsid w:val="00B31A25"/>
    <w:rsid w:val="00C62CF0"/>
    <w:rsid w:val="00C73E9F"/>
    <w:rsid w:val="00D126E4"/>
    <w:rsid w:val="00D60748"/>
    <w:rsid w:val="00D93AA8"/>
    <w:rsid w:val="00E60E6A"/>
    <w:rsid w:val="00EB5CD8"/>
    <w:rsid w:val="00EC4BC9"/>
    <w:rsid w:val="00F919F7"/>
    <w:rsid w:val="03193C38"/>
    <w:rsid w:val="04AE4570"/>
    <w:rsid w:val="053C21BF"/>
    <w:rsid w:val="05CD2DD6"/>
    <w:rsid w:val="064A228E"/>
    <w:rsid w:val="071023CF"/>
    <w:rsid w:val="07327CB2"/>
    <w:rsid w:val="07523881"/>
    <w:rsid w:val="0790598C"/>
    <w:rsid w:val="082A3964"/>
    <w:rsid w:val="085D25E7"/>
    <w:rsid w:val="089D7C92"/>
    <w:rsid w:val="08AD1D28"/>
    <w:rsid w:val="08F62CB1"/>
    <w:rsid w:val="092D54BA"/>
    <w:rsid w:val="0A721337"/>
    <w:rsid w:val="0A7A6B3D"/>
    <w:rsid w:val="0BA32880"/>
    <w:rsid w:val="0CD81BE1"/>
    <w:rsid w:val="0CE83016"/>
    <w:rsid w:val="0CFB3713"/>
    <w:rsid w:val="0D63079C"/>
    <w:rsid w:val="0DCE6580"/>
    <w:rsid w:val="0ED938D7"/>
    <w:rsid w:val="0F9D4375"/>
    <w:rsid w:val="10491542"/>
    <w:rsid w:val="10E70644"/>
    <w:rsid w:val="11997B61"/>
    <w:rsid w:val="137F7750"/>
    <w:rsid w:val="141077A2"/>
    <w:rsid w:val="14B922F8"/>
    <w:rsid w:val="150572EB"/>
    <w:rsid w:val="158C17BA"/>
    <w:rsid w:val="15B6625F"/>
    <w:rsid w:val="161569FA"/>
    <w:rsid w:val="163C6D3C"/>
    <w:rsid w:val="168B0076"/>
    <w:rsid w:val="16D83A0F"/>
    <w:rsid w:val="185F6D12"/>
    <w:rsid w:val="188C4DE8"/>
    <w:rsid w:val="190478B9"/>
    <w:rsid w:val="1BAF21B2"/>
    <w:rsid w:val="1C191192"/>
    <w:rsid w:val="1D125EE3"/>
    <w:rsid w:val="1DA67191"/>
    <w:rsid w:val="1E59657F"/>
    <w:rsid w:val="1F046865"/>
    <w:rsid w:val="1FCB7C3B"/>
    <w:rsid w:val="207A6477"/>
    <w:rsid w:val="20987265"/>
    <w:rsid w:val="20F3093F"/>
    <w:rsid w:val="22BE6CE5"/>
    <w:rsid w:val="22D075AB"/>
    <w:rsid w:val="24883A94"/>
    <w:rsid w:val="24F61A04"/>
    <w:rsid w:val="257F2EB4"/>
    <w:rsid w:val="25FF38E2"/>
    <w:rsid w:val="28A54C15"/>
    <w:rsid w:val="2CCF4C71"/>
    <w:rsid w:val="2DBA14C7"/>
    <w:rsid w:val="2EED10C4"/>
    <w:rsid w:val="2F754B98"/>
    <w:rsid w:val="301D1535"/>
    <w:rsid w:val="31087096"/>
    <w:rsid w:val="317FC574"/>
    <w:rsid w:val="31A723A1"/>
    <w:rsid w:val="31AF440F"/>
    <w:rsid w:val="33915916"/>
    <w:rsid w:val="346076B1"/>
    <w:rsid w:val="356B6AA1"/>
    <w:rsid w:val="36FA13DF"/>
    <w:rsid w:val="37201B14"/>
    <w:rsid w:val="377C3469"/>
    <w:rsid w:val="37985D2A"/>
    <w:rsid w:val="38B94633"/>
    <w:rsid w:val="3A4903CE"/>
    <w:rsid w:val="3A9B7C26"/>
    <w:rsid w:val="3BA698CF"/>
    <w:rsid w:val="3BC3996D"/>
    <w:rsid w:val="3C1934F8"/>
    <w:rsid w:val="3C65585E"/>
    <w:rsid w:val="3CFEC730"/>
    <w:rsid w:val="3D5F7E05"/>
    <w:rsid w:val="3DF78C75"/>
    <w:rsid w:val="3EF13CC2"/>
    <w:rsid w:val="3EFB77BC"/>
    <w:rsid w:val="3F7647BE"/>
    <w:rsid w:val="3FBAF015"/>
    <w:rsid w:val="3FBF54AC"/>
    <w:rsid w:val="40D82C46"/>
    <w:rsid w:val="414A7D39"/>
    <w:rsid w:val="434E77E4"/>
    <w:rsid w:val="436C03B1"/>
    <w:rsid w:val="44226CC2"/>
    <w:rsid w:val="448434E4"/>
    <w:rsid w:val="45848D9E"/>
    <w:rsid w:val="45E06224"/>
    <w:rsid w:val="45E537EC"/>
    <w:rsid w:val="45F80563"/>
    <w:rsid w:val="46B61944"/>
    <w:rsid w:val="46F32B98"/>
    <w:rsid w:val="4760647F"/>
    <w:rsid w:val="47CD852C"/>
    <w:rsid w:val="4814724D"/>
    <w:rsid w:val="49862820"/>
    <w:rsid w:val="4A3E412A"/>
    <w:rsid w:val="4AB92EB6"/>
    <w:rsid w:val="4ACE6F39"/>
    <w:rsid w:val="4BC66ACD"/>
    <w:rsid w:val="4DA93125"/>
    <w:rsid w:val="4DD059E1"/>
    <w:rsid w:val="4E5A846A"/>
    <w:rsid w:val="4EF93449"/>
    <w:rsid w:val="4FC845F9"/>
    <w:rsid w:val="50A32F39"/>
    <w:rsid w:val="516A3CD7"/>
    <w:rsid w:val="52184AE2"/>
    <w:rsid w:val="525025E4"/>
    <w:rsid w:val="53411E97"/>
    <w:rsid w:val="542E520F"/>
    <w:rsid w:val="54A85A59"/>
    <w:rsid w:val="555D77E7"/>
    <w:rsid w:val="55CA2D77"/>
    <w:rsid w:val="55E21CBB"/>
    <w:rsid w:val="56FF43AA"/>
    <w:rsid w:val="574134AB"/>
    <w:rsid w:val="57FFCF33"/>
    <w:rsid w:val="58BB18C5"/>
    <w:rsid w:val="58FE1D69"/>
    <w:rsid w:val="59BA3148"/>
    <w:rsid w:val="5A745864"/>
    <w:rsid w:val="5B0BE8A3"/>
    <w:rsid w:val="5B157F2A"/>
    <w:rsid w:val="5D230AB0"/>
    <w:rsid w:val="5D7063B0"/>
    <w:rsid w:val="5D8C2987"/>
    <w:rsid w:val="5DDC5CDC"/>
    <w:rsid w:val="5E5D0BCB"/>
    <w:rsid w:val="5E7DB791"/>
    <w:rsid w:val="5F3DB321"/>
    <w:rsid w:val="601D22B9"/>
    <w:rsid w:val="636DF860"/>
    <w:rsid w:val="63F773CC"/>
    <w:rsid w:val="63FF5EE3"/>
    <w:rsid w:val="64DE058B"/>
    <w:rsid w:val="650A1DA8"/>
    <w:rsid w:val="664E34EF"/>
    <w:rsid w:val="67566AFF"/>
    <w:rsid w:val="6757544D"/>
    <w:rsid w:val="6790410F"/>
    <w:rsid w:val="67EC2FBF"/>
    <w:rsid w:val="69076303"/>
    <w:rsid w:val="69CC7E02"/>
    <w:rsid w:val="6AA91CDD"/>
    <w:rsid w:val="6B695FD0"/>
    <w:rsid w:val="6D5E4474"/>
    <w:rsid w:val="6D7CAFCF"/>
    <w:rsid w:val="6D9A6775"/>
    <w:rsid w:val="6DEF63AF"/>
    <w:rsid w:val="6EA45800"/>
    <w:rsid w:val="6F2AF13D"/>
    <w:rsid w:val="6F5C0A2B"/>
    <w:rsid w:val="6F7B11AB"/>
    <w:rsid w:val="6FDA6B29"/>
    <w:rsid w:val="6FFA3C8D"/>
    <w:rsid w:val="718F3078"/>
    <w:rsid w:val="71FF6675"/>
    <w:rsid w:val="72334DCA"/>
    <w:rsid w:val="73EFC2E5"/>
    <w:rsid w:val="74E76064"/>
    <w:rsid w:val="74F567D4"/>
    <w:rsid w:val="76EFBE98"/>
    <w:rsid w:val="77375650"/>
    <w:rsid w:val="77FB97EF"/>
    <w:rsid w:val="78DBD621"/>
    <w:rsid w:val="78E868E2"/>
    <w:rsid w:val="7A022AB2"/>
    <w:rsid w:val="7A5E7D4D"/>
    <w:rsid w:val="7A763B8C"/>
    <w:rsid w:val="7AED5CDC"/>
    <w:rsid w:val="7B3B2A48"/>
    <w:rsid w:val="7B4F7B3D"/>
    <w:rsid w:val="7B72AEA9"/>
    <w:rsid w:val="7BB51A2E"/>
    <w:rsid w:val="7BEB7571"/>
    <w:rsid w:val="7BED23E4"/>
    <w:rsid w:val="7BEF6F6D"/>
    <w:rsid w:val="7BF5EB2A"/>
    <w:rsid w:val="7BFC38F2"/>
    <w:rsid w:val="7C57185D"/>
    <w:rsid w:val="7D5B5C7A"/>
    <w:rsid w:val="7DDF2775"/>
    <w:rsid w:val="7DF90786"/>
    <w:rsid w:val="7E2117BD"/>
    <w:rsid w:val="7E46251D"/>
    <w:rsid w:val="7E714031"/>
    <w:rsid w:val="7EB329B8"/>
    <w:rsid w:val="7EDE76AE"/>
    <w:rsid w:val="7EDF6116"/>
    <w:rsid w:val="7F0EF9CE"/>
    <w:rsid w:val="7F354FFD"/>
    <w:rsid w:val="7F4FB9F7"/>
    <w:rsid w:val="7F77BB0D"/>
    <w:rsid w:val="7FA24749"/>
    <w:rsid w:val="7FBAAD52"/>
    <w:rsid w:val="7FBFC199"/>
    <w:rsid w:val="7FCE1EB7"/>
    <w:rsid w:val="7FCE7411"/>
    <w:rsid w:val="7FCF094A"/>
    <w:rsid w:val="7FD9F5BC"/>
    <w:rsid w:val="7FEF3C32"/>
    <w:rsid w:val="7FF5B316"/>
    <w:rsid w:val="7FFF9D56"/>
    <w:rsid w:val="8FFF9BD9"/>
    <w:rsid w:val="9CEA1F8E"/>
    <w:rsid w:val="9FAD2AD0"/>
    <w:rsid w:val="A7DCC141"/>
    <w:rsid w:val="ABDF74A1"/>
    <w:rsid w:val="ACF742ED"/>
    <w:rsid w:val="ADFF0B8B"/>
    <w:rsid w:val="B7EF7656"/>
    <w:rsid w:val="B93B2BF7"/>
    <w:rsid w:val="BB3C025F"/>
    <w:rsid w:val="BD1E6F32"/>
    <w:rsid w:val="BD8C1983"/>
    <w:rsid w:val="BEFB386F"/>
    <w:rsid w:val="BF77EB65"/>
    <w:rsid w:val="BFB44B74"/>
    <w:rsid w:val="BFFFD89D"/>
    <w:rsid w:val="C7F752B7"/>
    <w:rsid w:val="C7FD7ADF"/>
    <w:rsid w:val="CD7D8B60"/>
    <w:rsid w:val="CD9942C2"/>
    <w:rsid w:val="CF5F42AE"/>
    <w:rsid w:val="D3F73569"/>
    <w:rsid w:val="D4B32F44"/>
    <w:rsid w:val="D73AED10"/>
    <w:rsid w:val="D7BD603C"/>
    <w:rsid w:val="DADF412F"/>
    <w:rsid w:val="DB7F364C"/>
    <w:rsid w:val="DB93EF8A"/>
    <w:rsid w:val="DE496B4E"/>
    <w:rsid w:val="DF5E1F61"/>
    <w:rsid w:val="DF9FC2AC"/>
    <w:rsid w:val="DFBFD136"/>
    <w:rsid w:val="DFDFF450"/>
    <w:rsid w:val="DFEBE66F"/>
    <w:rsid w:val="DFFF7F71"/>
    <w:rsid w:val="E6FD0435"/>
    <w:rsid w:val="EBF92D84"/>
    <w:rsid w:val="EDFBB724"/>
    <w:rsid w:val="EF3BB1A1"/>
    <w:rsid w:val="EF9F3890"/>
    <w:rsid w:val="EFC72C59"/>
    <w:rsid w:val="F39DA0A9"/>
    <w:rsid w:val="F39FDE71"/>
    <w:rsid w:val="F4DF58A4"/>
    <w:rsid w:val="F5DFD484"/>
    <w:rsid w:val="F6DDADCA"/>
    <w:rsid w:val="F6FC2AAB"/>
    <w:rsid w:val="F7BB73DF"/>
    <w:rsid w:val="F7F7F564"/>
    <w:rsid w:val="F9FEFCBD"/>
    <w:rsid w:val="FA7FD689"/>
    <w:rsid w:val="FBAE52E5"/>
    <w:rsid w:val="FBFF9B33"/>
    <w:rsid w:val="FCDF47DF"/>
    <w:rsid w:val="FDE7D572"/>
    <w:rsid w:val="FDFF0D32"/>
    <w:rsid w:val="FE598508"/>
    <w:rsid w:val="FEBEFD9E"/>
    <w:rsid w:val="FECEDD30"/>
    <w:rsid w:val="FEFF20F7"/>
    <w:rsid w:val="FEFF7F33"/>
    <w:rsid w:val="FFBF4B91"/>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1"/>
    <w:unhideWhenUsed/>
    <w:qFormat/>
    <w:uiPriority w:val="99"/>
    <w:rPr>
      <w:rFonts w:ascii="宋体"/>
      <w:sz w:val="18"/>
      <w:szCs w:val="18"/>
    </w:rPr>
  </w:style>
  <w:style w:type="paragraph" w:styleId="10">
    <w:name w:val="annotation text"/>
    <w:basedOn w:val="1"/>
    <w:link w:val="3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7"/>
    <w:semiHidden/>
    <w:qFormat/>
    <w:uiPriority w:val="9"/>
    <w:rPr>
      <w:b/>
      <w:bCs/>
      <w:kern w:val="2"/>
      <w:sz w:val="28"/>
      <w:szCs w:val="28"/>
    </w:rPr>
  </w:style>
  <w:style w:type="character" w:customStyle="1" w:styleId="31">
    <w:name w:val="文档结构图 字符"/>
    <w:link w:val="9"/>
    <w:semiHidden/>
    <w:qFormat/>
    <w:uiPriority w:val="99"/>
    <w:rPr>
      <w:rFonts w:ascii="宋体"/>
      <w:kern w:val="2"/>
      <w:sz w:val="18"/>
      <w:szCs w:val="18"/>
    </w:rPr>
  </w:style>
  <w:style w:type="character" w:customStyle="1" w:styleId="32">
    <w:name w:val="批注文字 字符"/>
    <w:link w:val="10"/>
    <w:qFormat/>
    <w:uiPriority w:val="0"/>
    <w:rPr>
      <w:rFonts w:ascii="Times New Roman" w:hAnsi="Times New Roman" w:eastAsia="宋体" w:cs="Times New Roman"/>
      <w:szCs w:val="24"/>
    </w:rPr>
  </w:style>
  <w:style w:type="character" w:customStyle="1" w:styleId="33">
    <w:name w:val="正文文本 字符"/>
    <w:link w:val="2"/>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_Style 66"/>
    <w:basedOn w:val="1"/>
    <w:next w:val="58"/>
    <w:qFormat/>
    <w:uiPriority w:val="34"/>
    <w:pPr>
      <w:ind w:firstLine="420" w:firstLineChars="200"/>
    </w:pPr>
  </w:style>
  <w:style w:type="paragraph" w:styleId="5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qh-PC</Company>
  <Pages>76</Pages>
  <Words>38488</Words>
  <Characters>40399</Characters>
  <Lines>312</Lines>
  <Paragraphs>88</Paragraphs>
  <TotalTime>52</TotalTime>
  <ScaleCrop>false</ScaleCrop>
  <LinksUpToDate>false</LinksUpToDate>
  <CharactersWithSpaces>42068</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2022-11-22T19:55:00Z</dcterms:created>
  <dc:creator>胡佳</dc:creator>
  <cp:lastModifiedBy>tangtangtang</cp:lastModifiedBy>
  <cp:lastPrinted>2022-07-31T15:25:00Z</cp:lastPrinted>
  <dcterms:modified xsi:type="dcterms:W3CDTF">2023-02-27T13:57:05Z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BEC0FC3467696C713146FC6304D12616_43</vt:lpwstr>
  </property>
</Properties>
</file>