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 w:hAnsi="仿宋" w:eastAsia="仿宋" w:cs="仿宋"/>
          <w:b/>
          <w:color w:val="auto"/>
          <w:sz w:val="72"/>
          <w:szCs w:val="72"/>
          <w:highlight w:val="none"/>
        </w:rPr>
      </w:pPr>
    </w:p>
    <w:p>
      <w:pPr>
        <w:pStyle w:val="2"/>
        <w:spacing w:line="760" w:lineRule="exact"/>
        <w:rPr>
          <w:rFonts w:hint="eastAsia" w:ascii="仿宋" w:hAnsi="仿宋" w:eastAsia="仿宋" w:cs="仿宋"/>
          <w:color w:val="auto"/>
          <w:highlight w:val="none"/>
        </w:rPr>
      </w:pPr>
    </w:p>
    <w:p>
      <w:pPr>
        <w:spacing w:line="760" w:lineRule="exact"/>
        <w:rPr>
          <w:rFonts w:hint="eastAsia" w:ascii="仿宋" w:hAnsi="仿宋" w:eastAsia="仿宋" w:cs="仿宋"/>
          <w:color w:val="auto"/>
          <w:highlight w:val="none"/>
        </w:rPr>
      </w:pPr>
    </w:p>
    <w:p>
      <w:pPr>
        <w:spacing w:line="760" w:lineRule="exac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简易招标文件</w:t>
      </w:r>
    </w:p>
    <w:p>
      <w:pPr>
        <w:spacing w:line="760" w:lineRule="exact"/>
        <w:jc w:val="center"/>
        <w:rPr>
          <w:rFonts w:hint="eastAsia" w:ascii="仿宋" w:hAnsi="仿宋" w:eastAsia="仿宋" w:cs="仿宋"/>
          <w:color w:val="auto"/>
          <w:highlight w:val="none"/>
        </w:rPr>
      </w:pPr>
    </w:p>
    <w:p>
      <w:pPr>
        <w:spacing w:line="760" w:lineRule="exact"/>
        <w:rPr>
          <w:rFonts w:hint="eastAsia" w:ascii="仿宋" w:hAnsi="仿宋" w:eastAsia="仿宋" w:cs="仿宋"/>
          <w:color w:val="auto"/>
          <w:highlight w:val="none"/>
        </w:rPr>
      </w:pPr>
    </w:p>
    <w:p>
      <w:pPr>
        <w:spacing w:line="560" w:lineRule="exact"/>
        <w:rPr>
          <w:rFonts w:hint="eastAsia" w:ascii="仿宋" w:hAnsi="仿宋" w:eastAsia="仿宋" w:cs="仿宋"/>
          <w:b/>
          <w:color w:val="auto"/>
          <w:sz w:val="44"/>
          <w:highlight w:val="none"/>
        </w:rPr>
      </w:pPr>
    </w:p>
    <w:p>
      <w:pPr>
        <w:spacing w:line="560" w:lineRule="exact"/>
        <w:ind w:left="2326" w:leftChars="247" w:right="-319" w:rightChars="-152" w:hanging="1807" w:hangingChars="500"/>
        <w:rPr>
          <w:rFonts w:hint="eastAsia" w:ascii="仿宋" w:hAnsi="仿宋" w:eastAsia="仿宋" w:cs="仿宋"/>
          <w:color w:val="auto"/>
          <w:highlight w:val="none"/>
          <w:lang w:eastAsia="zh-CN"/>
        </w:rPr>
      </w:pPr>
      <w:r>
        <w:rPr>
          <w:rFonts w:hint="eastAsia" w:ascii="仿宋" w:hAnsi="仿宋" w:eastAsia="仿宋" w:cs="仿宋"/>
          <w:b/>
          <w:color w:val="auto"/>
          <w:sz w:val="36"/>
          <w:szCs w:val="36"/>
          <w:highlight w:val="none"/>
        </w:rPr>
        <w:t>招标编号：</w:t>
      </w:r>
      <w:r>
        <w:rPr>
          <w:rFonts w:hint="eastAsia" w:ascii="仿宋" w:hAnsi="仿宋" w:eastAsia="仿宋" w:cs="仿宋"/>
          <w:b/>
          <w:color w:val="auto"/>
          <w:sz w:val="36"/>
          <w:szCs w:val="36"/>
          <w:highlight w:val="none"/>
          <w:lang w:val="en-US" w:eastAsia="zh-CN"/>
        </w:rPr>
        <w:t>QH2022060</w:t>
      </w:r>
    </w:p>
    <w:p>
      <w:pPr>
        <w:pStyle w:val="28"/>
        <w:spacing w:line="560" w:lineRule="exact"/>
        <w:ind w:firstLine="420"/>
        <w:rPr>
          <w:rFonts w:hint="eastAsia" w:ascii="仿宋" w:hAnsi="仿宋" w:eastAsia="仿宋" w:cs="仿宋"/>
          <w:color w:val="auto"/>
          <w:highlight w:val="none"/>
        </w:rPr>
      </w:pPr>
    </w:p>
    <w:p>
      <w:pPr>
        <w:spacing w:line="560" w:lineRule="exact"/>
        <w:ind w:left="2326" w:leftChars="247" w:right="-319" w:rightChars="-152" w:hanging="1807" w:hangingChars="50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招标项目：</w:t>
      </w:r>
      <w:r>
        <w:rPr>
          <w:rFonts w:hint="eastAsia" w:ascii="仿宋" w:hAnsi="仿宋" w:eastAsia="仿宋" w:cs="仿宋"/>
          <w:b/>
          <w:color w:val="auto"/>
          <w:sz w:val="36"/>
          <w:szCs w:val="36"/>
          <w:highlight w:val="none"/>
          <w:lang w:eastAsia="zh-CN"/>
        </w:rPr>
        <w:t>2021年前海办公用房租金评估项目</w:t>
      </w:r>
    </w:p>
    <w:p>
      <w:pPr>
        <w:pStyle w:val="27"/>
        <w:spacing w:line="560" w:lineRule="exact"/>
        <w:rPr>
          <w:rFonts w:hint="eastAsia" w:ascii="仿宋" w:hAnsi="仿宋" w:eastAsia="仿宋" w:cs="仿宋"/>
          <w:color w:val="auto"/>
          <w:highlight w:val="none"/>
        </w:rPr>
      </w:pPr>
    </w:p>
    <w:p>
      <w:pPr>
        <w:spacing w:line="560" w:lineRule="exact"/>
        <w:ind w:firstLine="3264" w:firstLineChars="739"/>
        <w:rPr>
          <w:rFonts w:hint="eastAsia" w:ascii="仿宋" w:hAnsi="仿宋" w:eastAsia="仿宋" w:cs="仿宋"/>
          <w:b/>
          <w:color w:val="auto"/>
          <w:sz w:val="44"/>
          <w:highlight w:val="none"/>
        </w:rPr>
      </w:pPr>
    </w:p>
    <w:p>
      <w:pPr>
        <w:pStyle w:val="28"/>
        <w:spacing w:line="560" w:lineRule="exact"/>
        <w:ind w:firstLine="420"/>
        <w:rPr>
          <w:rFonts w:hint="eastAsia" w:ascii="仿宋" w:hAnsi="仿宋" w:eastAsia="仿宋" w:cs="仿宋"/>
          <w:color w:val="auto"/>
          <w:highlight w:val="none"/>
        </w:rPr>
      </w:pPr>
    </w:p>
    <w:p>
      <w:pPr>
        <w:spacing w:line="560" w:lineRule="exact"/>
        <w:rPr>
          <w:rFonts w:hint="eastAsia" w:ascii="仿宋" w:hAnsi="仿宋" w:eastAsia="仿宋" w:cs="仿宋"/>
          <w:b/>
          <w:color w:val="auto"/>
          <w:sz w:val="44"/>
          <w:highlight w:val="none"/>
        </w:rPr>
      </w:pPr>
    </w:p>
    <w:p>
      <w:pPr>
        <w:pStyle w:val="27"/>
        <w:spacing w:line="560" w:lineRule="exact"/>
        <w:ind w:firstLine="883"/>
        <w:rPr>
          <w:rFonts w:hint="eastAsia" w:ascii="仿宋" w:hAnsi="仿宋" w:eastAsia="仿宋" w:cs="仿宋"/>
          <w:b/>
          <w:color w:val="auto"/>
          <w:sz w:val="44"/>
          <w:highlight w:val="none"/>
        </w:rPr>
      </w:pPr>
    </w:p>
    <w:p>
      <w:pPr>
        <w:spacing w:line="560" w:lineRule="exact"/>
        <w:rPr>
          <w:rFonts w:hint="eastAsia" w:ascii="仿宋" w:hAnsi="仿宋" w:eastAsia="仿宋" w:cs="仿宋"/>
          <w:b/>
          <w:color w:val="auto"/>
          <w:sz w:val="44"/>
          <w:highlight w:val="none"/>
        </w:rPr>
      </w:pPr>
    </w:p>
    <w:p>
      <w:pPr>
        <w:pStyle w:val="27"/>
        <w:spacing w:line="560" w:lineRule="exact"/>
        <w:rPr>
          <w:rFonts w:hint="eastAsia" w:ascii="仿宋" w:hAnsi="仿宋" w:eastAsia="仿宋" w:cs="仿宋"/>
          <w:color w:val="auto"/>
          <w:highlight w:val="none"/>
        </w:rPr>
      </w:pPr>
    </w:p>
    <w:p>
      <w:pPr>
        <w:spacing w:line="560" w:lineRule="exact"/>
        <w:jc w:val="center"/>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深圳市前海深港现代服务业合作区管理局</w:t>
      </w:r>
    </w:p>
    <w:p>
      <w:pPr>
        <w:spacing w:line="56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202</w:t>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1</w:t>
      </w:r>
      <w:r>
        <w:rPr>
          <w:rFonts w:hint="eastAsia" w:ascii="仿宋" w:hAnsi="仿宋" w:eastAsia="仿宋" w:cs="仿宋"/>
          <w:b/>
          <w:bCs/>
          <w:color w:val="auto"/>
          <w:sz w:val="36"/>
          <w:szCs w:val="36"/>
          <w:highlight w:val="none"/>
        </w:rPr>
        <w:t>月</w:t>
      </w:r>
    </w:p>
    <w:p>
      <w:pPr>
        <w:autoSpaceDE w:val="0"/>
        <w:autoSpaceDN w:val="0"/>
        <w:adjustRightInd w:val="0"/>
        <w:spacing w:line="560" w:lineRule="exact"/>
        <w:jc w:val="center"/>
        <w:outlineLvl w:val="0"/>
        <w:rPr>
          <w:rFonts w:hint="eastAsia" w:ascii="仿宋" w:hAnsi="仿宋" w:eastAsia="仿宋" w:cs="仿宋"/>
          <w:b/>
          <w:bCs/>
          <w:color w:val="auto"/>
          <w:kern w:val="0"/>
          <w:sz w:val="36"/>
          <w:szCs w:val="36"/>
          <w:highlight w:val="none"/>
        </w:rPr>
      </w:pPr>
      <w:bookmarkStart w:id="0" w:name="_Toc12932"/>
      <w:r>
        <w:rPr>
          <w:rFonts w:hint="eastAsia" w:ascii="仿宋" w:hAnsi="仿宋" w:eastAsia="仿宋" w:cs="仿宋"/>
          <w:b/>
          <w:bCs/>
          <w:color w:val="auto"/>
          <w:sz w:val="32"/>
          <w:szCs w:val="40"/>
          <w:highlight w:val="none"/>
          <w:u w:val="single"/>
        </w:rPr>
        <w:br w:type="page"/>
      </w:r>
      <w:bookmarkStart w:id="1" w:name="_Toc12511"/>
      <w:bookmarkStart w:id="2" w:name="_Toc24088"/>
      <w:r>
        <w:rPr>
          <w:rFonts w:hint="eastAsia" w:ascii="仿宋" w:hAnsi="仿宋" w:eastAsia="仿宋" w:cs="仿宋"/>
          <w:b/>
          <w:bCs/>
          <w:color w:val="auto"/>
          <w:kern w:val="0"/>
          <w:sz w:val="36"/>
          <w:szCs w:val="36"/>
          <w:highlight w:val="none"/>
        </w:rPr>
        <w:t>特别警示条款</w:t>
      </w:r>
      <w:bookmarkEnd w:id="1"/>
      <w:bookmarkEnd w:id="2"/>
    </w:p>
    <w:p>
      <w:pPr>
        <w:pStyle w:val="2"/>
        <w:spacing w:line="400" w:lineRule="exact"/>
        <w:rPr>
          <w:rFonts w:hint="eastAsia" w:ascii="仿宋" w:hAnsi="仿宋" w:eastAsia="仿宋" w:cs="仿宋"/>
          <w:color w:val="auto"/>
          <w:highlight w:val="none"/>
        </w:rPr>
      </w:pP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（一）在采购活动中应当回避而未回避的；</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（二）未按本条例规定签订、履行采购合同，造成严重后果的；</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（三）隐瞒真实情况，提供虚假资料的；</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（四）以非法手段排斥其他供应商参与竞争的；</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（五）与其他采购参加人串通投标的；</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（六）恶意投诉的；</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（七）向采购项目相关人行贿或者提供其他不当利益的；</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（八）阻碍、抗拒主管部门监督检查的；</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（九）其他违反本条例规定的行为。</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二、《深圳经济特区政府采购条例实施细则》第七十九条 供应商有下列情形之一的，属于采购条例所称的串通投标行为，按照采购条例第五十七条有关规定处理：</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（一）投标供应商之间相互约定给予未中标的供应商利益补偿。</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（二）不同投标供应商的法定代表人、主要经营负责人、项目投标授权代表人、项目负责人、主要技术人员为同一人、属同一单位或者在同一单位缴纳社会保险。</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（三）不同投标供应商的投标文件由同一单位或者同一人编制，或者由同一人分阶段参与编制的。</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（四）不同投标供应商的投标文件或部分投标文件相互混装。</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（五）不同投标供应商的投标文件内容存在非正常一致。</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（六）由同一单位工作人员为两家以上（含两家）供应商进行同一项投标活动的。</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（七）主管部门依照法律、法规认定的其他情形。</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三、《深圳经济特区政府采购条例实施细则》第八十一条 供应商有下列情形之一的，属于隐瞒真实情况，提供虚假资料，按照采购条例第五十七条的有关规定处理：</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（一）通过转让或者租借等方式从其他单位获取资格或者资质证书投标的。</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（二）由其他单位或者其他单位负责人在投标供应商编制的投标文件上加盖印章或者签字的。</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（三）项目负责人或者主要技术人员不是本单位人员的。</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（四）投标保证金不是从投标供应商基本账户转出的。</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（五）其他隐瞒真实情况、提供虚假资料的行为。</w:t>
      </w:r>
    </w:p>
    <w:p>
      <w:pPr>
        <w:snapToGrid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投标供应商不能提供项目负责人或者主要技术人员的劳动合同、社会保险等劳动关系证明材料的，视为存在前款第（三）项规定的情形。</w:t>
      </w:r>
    </w:p>
    <w:p>
      <w:pPr>
        <w:spacing w:line="400" w:lineRule="exact"/>
        <w:jc w:val="center"/>
        <w:outlineLvl w:val="0"/>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br w:type="page"/>
      </w:r>
      <w:bookmarkStart w:id="3" w:name="_Toc28794"/>
      <w:bookmarkStart w:id="4" w:name="_Toc29463"/>
      <w:r>
        <w:rPr>
          <w:rFonts w:hint="eastAsia" w:ascii="仿宋" w:hAnsi="仿宋" w:eastAsia="仿宋" w:cs="仿宋"/>
          <w:b/>
          <w:bCs/>
          <w:color w:val="auto"/>
          <w:sz w:val="36"/>
          <w:szCs w:val="36"/>
          <w:highlight w:val="none"/>
          <w:lang w:val="zh-CN"/>
        </w:rPr>
        <w:t>目录</w:t>
      </w:r>
      <w:bookmarkEnd w:id="0"/>
      <w:bookmarkEnd w:id="3"/>
      <w:bookmarkEnd w:id="4"/>
    </w:p>
    <w:p>
      <w:pPr>
        <w:pStyle w:val="14"/>
        <w:tabs>
          <w:tab w:val="right" w:leader="dot" w:pos="8306"/>
        </w:tabs>
        <w:spacing w:line="400" w:lineRule="exact"/>
        <w:rPr>
          <w:rFonts w:hint="eastAsia" w:ascii="仿宋" w:hAnsi="仿宋" w:eastAsia="仿宋" w:cs="仿宋"/>
          <w:b/>
          <w:bCs/>
          <w:color w:val="auto"/>
          <w:sz w:val="24"/>
          <w:szCs w:val="32"/>
          <w:highlight w:val="none"/>
        </w:rPr>
      </w:pPr>
    </w:p>
    <w:p>
      <w:pPr>
        <w:pStyle w:val="14"/>
        <w:tabs>
          <w:tab w:val="right" w:leader="dot" w:pos="8306"/>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"1-1"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_Toc12511 </w:instrText>
      </w:r>
      <w:r>
        <w:rPr>
          <w:rFonts w:hint="eastAsia" w:ascii="仿宋" w:hAnsi="仿宋" w:eastAsia="仿宋" w:cs="仿宋"/>
          <w:color w:val="auto"/>
          <w:sz w:val="24"/>
          <w:highlight w:val="none"/>
        </w:rPr>
        <w:fldChar w:fldCharType="separate"/>
      </w:r>
      <w:r>
        <w:rPr>
          <w:rFonts w:hint="eastAsia" w:ascii="仿宋" w:hAnsi="仿宋" w:eastAsia="仿宋" w:cs="仿宋"/>
          <w:bCs/>
          <w:color w:val="auto"/>
          <w:kern w:val="0"/>
          <w:sz w:val="24"/>
          <w:highlight w:val="none"/>
        </w:rPr>
        <w:t>特别警示条款</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_Toc12511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4"/>
        <w:tabs>
          <w:tab w:val="right" w:leader="dot" w:pos="8306"/>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_Toc29463 </w:instrText>
      </w:r>
      <w:r>
        <w:rPr>
          <w:rFonts w:hint="eastAsia" w:ascii="仿宋" w:hAnsi="仿宋" w:eastAsia="仿宋" w:cs="仿宋"/>
          <w:color w:val="auto"/>
          <w:sz w:val="24"/>
          <w:highlight w:val="none"/>
        </w:rPr>
        <w:fldChar w:fldCharType="separate"/>
      </w:r>
      <w:r>
        <w:rPr>
          <w:rFonts w:hint="eastAsia" w:ascii="仿宋" w:hAnsi="仿宋" w:eastAsia="仿宋" w:cs="仿宋"/>
          <w:bCs/>
          <w:color w:val="auto"/>
          <w:sz w:val="24"/>
          <w:highlight w:val="none"/>
          <w:lang w:val="zh-CN"/>
        </w:rPr>
        <w:t>目录</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_Toc29463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4"/>
        <w:tabs>
          <w:tab w:val="right" w:leader="dot" w:pos="8306"/>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_Toc12483 </w:instrText>
      </w:r>
      <w:r>
        <w:rPr>
          <w:rFonts w:hint="eastAsia" w:ascii="仿宋" w:hAnsi="仿宋" w:eastAsia="仿宋" w:cs="仿宋"/>
          <w:color w:val="auto"/>
          <w:sz w:val="24"/>
          <w:highlight w:val="none"/>
        </w:rPr>
        <w:fldChar w:fldCharType="separate"/>
      </w:r>
      <w:r>
        <w:rPr>
          <w:rFonts w:hint="eastAsia" w:ascii="仿宋" w:hAnsi="仿宋" w:eastAsia="仿宋" w:cs="仿宋"/>
          <w:bCs/>
          <w:color w:val="auto"/>
          <w:sz w:val="24"/>
          <w:highlight w:val="none"/>
        </w:rPr>
        <w:t>第一章 招标邀请书（招标公告）</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_Toc12483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4"/>
        <w:tabs>
          <w:tab w:val="right" w:leader="dot" w:pos="8306"/>
        </w:tabs>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HYPERLINK \l _Toc25720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第二章 投标须知</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PAGEREF _Toc25720 \h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7</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fldChar w:fldCharType="end"/>
      </w:r>
    </w:p>
    <w:p>
      <w:pPr>
        <w:pStyle w:val="14"/>
        <w:tabs>
          <w:tab w:val="right" w:leader="dot" w:pos="8306"/>
        </w:tabs>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HYPERLINK \l _Toc22047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第三章 评标程序</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PAGEREF _Toc22047 \h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fldChar w:fldCharType="end"/>
      </w:r>
    </w:p>
    <w:p>
      <w:pPr>
        <w:pStyle w:val="14"/>
        <w:tabs>
          <w:tab w:val="right" w:leader="dot" w:pos="8306"/>
        </w:tabs>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HYPERLINK \l _Toc8706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第四章 合同格式及合同条款</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PAGEREF _Toc8706 \h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fldChar w:fldCharType="end"/>
      </w:r>
    </w:p>
    <w:p>
      <w:pPr>
        <w:pStyle w:val="14"/>
        <w:tabs>
          <w:tab w:val="right" w:leader="dot" w:pos="8306"/>
        </w:tabs>
        <w:spacing w:line="400" w:lineRule="exact"/>
        <w:rPr>
          <w:rFonts w:hint="eastAsia" w:ascii="仿宋" w:hAnsi="仿宋" w:eastAsia="仿宋" w:cs="仿宋"/>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HYPERLINK \l _Toc2114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第五章 用户需求书</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PAGEREF _Toc2114 \h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13</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fldChar w:fldCharType="end"/>
      </w:r>
    </w:p>
    <w:p>
      <w:pPr>
        <w:pStyle w:val="14"/>
        <w:tabs>
          <w:tab w:val="right" w:leader="dot" w:pos="8306"/>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_Toc2426 </w:instrText>
      </w:r>
      <w:r>
        <w:rPr>
          <w:rFonts w:hint="eastAsia" w:ascii="仿宋" w:hAnsi="仿宋" w:eastAsia="仿宋" w:cs="仿宋"/>
          <w:color w:val="auto"/>
          <w:sz w:val="24"/>
          <w:highlight w:val="none"/>
        </w:rPr>
        <w:fldChar w:fldCharType="separate"/>
      </w:r>
      <w:r>
        <w:rPr>
          <w:rFonts w:hint="eastAsia" w:ascii="仿宋" w:hAnsi="仿宋" w:eastAsia="仿宋" w:cs="仿宋"/>
          <w:bCs/>
          <w:color w:val="auto"/>
          <w:sz w:val="24"/>
          <w:highlight w:val="none"/>
        </w:rPr>
        <w:t>第六章 投标文件初审及招标项目评分表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_Toc2426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4"/>
        <w:tabs>
          <w:tab w:val="right" w:leader="dot" w:pos="8306"/>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_Toc16392 </w:instrText>
      </w:r>
      <w:r>
        <w:rPr>
          <w:rFonts w:hint="eastAsia" w:ascii="仿宋" w:hAnsi="仿宋" w:eastAsia="仿宋" w:cs="仿宋"/>
          <w:color w:val="auto"/>
          <w:sz w:val="24"/>
          <w:highlight w:val="none"/>
        </w:rPr>
        <w:fldChar w:fldCharType="separate"/>
      </w:r>
      <w:r>
        <w:rPr>
          <w:rFonts w:hint="eastAsia" w:ascii="仿宋" w:hAnsi="仿宋" w:eastAsia="仿宋" w:cs="仿宋"/>
          <w:bCs/>
          <w:color w:val="auto"/>
          <w:sz w:val="24"/>
          <w:highlight w:val="none"/>
        </w:rPr>
        <w:t>第七章 附件（投标文件格式）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_Toc16392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19</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4"/>
        <w:tabs>
          <w:tab w:val="right" w:leader="dot" w:pos="8306"/>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_Toc1832 </w:instrText>
      </w:r>
      <w:r>
        <w:rPr>
          <w:rFonts w:hint="eastAsia" w:ascii="仿宋" w:hAnsi="仿宋" w:eastAsia="仿宋" w:cs="仿宋"/>
          <w:color w:val="auto"/>
          <w:sz w:val="24"/>
          <w:highlight w:val="none"/>
        </w:rPr>
        <w:fldChar w:fldCharType="separate"/>
      </w:r>
      <w:r>
        <w:rPr>
          <w:rFonts w:hint="eastAsia" w:ascii="仿宋" w:hAnsi="仿宋" w:eastAsia="仿宋" w:cs="仿宋"/>
          <w:bCs/>
          <w:color w:val="auto"/>
          <w:sz w:val="24"/>
          <w:highlight w:val="none"/>
        </w:rPr>
        <w:t>附件：相关政策</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_Toc1832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41</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4"/>
        <w:tabs>
          <w:tab w:val="right" w:leader="dot" w:pos="8306"/>
        </w:tabs>
        <w:spacing w:line="40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fldChar w:fldCharType="end"/>
      </w:r>
    </w:p>
    <w:p>
      <w:pPr>
        <w:spacing w:line="400" w:lineRule="exact"/>
        <w:rPr>
          <w:rFonts w:hint="eastAsia" w:ascii="仿宋" w:hAnsi="仿宋" w:eastAsia="仿宋" w:cs="仿宋"/>
          <w:color w:val="auto"/>
          <w:highlight w:val="none"/>
        </w:rPr>
      </w:pPr>
    </w:p>
    <w:p>
      <w:pPr>
        <w:numPr>
          <w:ilvl w:val="0"/>
          <w:numId w:val="1"/>
        </w:numPr>
        <w:spacing w:line="400" w:lineRule="exact"/>
        <w:jc w:val="center"/>
        <w:outlineLvl w:val="0"/>
        <w:rPr>
          <w:rFonts w:hint="eastAsia" w:ascii="仿宋" w:hAnsi="仿宋" w:eastAsia="仿宋" w:cs="仿宋"/>
          <w:b/>
          <w:bCs/>
          <w:color w:val="auto"/>
          <w:sz w:val="24"/>
          <w:highlight w:val="none"/>
        </w:rPr>
      </w:pPr>
      <w:r>
        <w:rPr>
          <w:rFonts w:hint="eastAsia" w:ascii="仿宋" w:hAnsi="仿宋" w:eastAsia="仿宋" w:cs="仿宋"/>
          <w:b/>
          <w:bCs/>
          <w:color w:val="auto"/>
          <w:sz w:val="32"/>
          <w:szCs w:val="28"/>
          <w:highlight w:val="none"/>
        </w:rPr>
        <w:br w:type="page"/>
      </w:r>
      <w:r>
        <w:rPr>
          <w:rFonts w:hint="eastAsia" w:ascii="仿宋" w:hAnsi="仿宋" w:eastAsia="仿宋" w:cs="仿宋"/>
          <w:b/>
          <w:bCs/>
          <w:color w:val="auto"/>
          <w:sz w:val="32"/>
          <w:szCs w:val="28"/>
          <w:highlight w:val="none"/>
        </w:rPr>
        <w:t xml:space="preserve"> </w:t>
      </w:r>
      <w:bookmarkStart w:id="5" w:name="_Toc26692"/>
      <w:bookmarkStart w:id="6" w:name="_Toc12483"/>
      <w:bookmarkStart w:id="7" w:name="_Toc28260"/>
      <w:r>
        <w:rPr>
          <w:rFonts w:hint="eastAsia" w:ascii="仿宋" w:hAnsi="仿宋" w:eastAsia="仿宋" w:cs="仿宋"/>
          <w:b/>
          <w:bCs/>
          <w:color w:val="auto"/>
          <w:sz w:val="24"/>
          <w:highlight w:val="none"/>
        </w:rPr>
        <w:t>招标邀请书（招标公告）</w:t>
      </w:r>
      <w:bookmarkEnd w:id="5"/>
      <w:bookmarkEnd w:id="6"/>
      <w:bookmarkEnd w:id="7"/>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友和保险经纪有限公司</w:t>
      </w:r>
      <w:r>
        <w:rPr>
          <w:rFonts w:hint="eastAsia" w:ascii="仿宋" w:hAnsi="仿宋" w:eastAsia="仿宋" w:cs="仿宋"/>
          <w:color w:val="auto"/>
          <w:sz w:val="24"/>
          <w:highlight w:val="none"/>
        </w:rPr>
        <w:t>（以下简称采购代理机构）受深圳市前海深港现代服务业合作区管理局委托就“</w:t>
      </w:r>
      <w:r>
        <w:rPr>
          <w:rFonts w:hint="eastAsia" w:ascii="仿宋" w:hAnsi="仿宋" w:eastAsia="仿宋" w:cs="仿宋"/>
          <w:color w:val="auto"/>
          <w:sz w:val="24"/>
          <w:highlight w:val="none"/>
          <w:lang w:eastAsia="zh-CN"/>
        </w:rPr>
        <w:t>2021年前海办公用房租金评估</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val="en-US" w:eastAsia="zh-CN"/>
        </w:rPr>
        <w:t xml:space="preserve">QH2022060 </w:t>
      </w:r>
      <w:r>
        <w:rPr>
          <w:rFonts w:hint="eastAsia" w:ascii="仿宋" w:hAnsi="仿宋" w:eastAsia="仿宋" w:cs="仿宋"/>
          <w:color w:val="auto"/>
          <w:sz w:val="24"/>
          <w:highlight w:val="none"/>
        </w:rPr>
        <w:t>）”采用简易招标方式采购，欢迎符合投标人资格要求的专业供应商积极参加投标。</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7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60" w:lineRule="auto"/>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招标文件编号</w:t>
            </w:r>
          </w:p>
        </w:tc>
        <w:tc>
          <w:tcPr>
            <w:tcW w:w="7086"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60" w:lineRule="auto"/>
              <w:rPr>
                <w:rFonts w:hint="eastAsia" w:ascii="仿宋" w:hAnsi="仿宋" w:eastAsia="仿宋" w:cs="仿宋"/>
                <w:color w:val="auto"/>
                <w:sz w:val="22"/>
                <w:szCs w:val="22"/>
                <w:highlight w:val="none"/>
                <w:lang w:eastAsia="zh-CN" w:bidi="ar"/>
              </w:rPr>
            </w:pPr>
            <w:r>
              <w:rPr>
                <w:rFonts w:hint="eastAsia" w:ascii="仿宋" w:hAnsi="仿宋" w:eastAsia="仿宋" w:cs="仿宋"/>
                <w:color w:val="auto"/>
                <w:sz w:val="22"/>
                <w:szCs w:val="22"/>
                <w:highlight w:val="none"/>
                <w:u w:val="none"/>
                <w:lang w:val="en-US" w:eastAsia="zh-CN" w:bidi="ar"/>
              </w:rPr>
              <w:t xml:space="preserve"> QH2022060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招标项目名称</w:t>
            </w:r>
          </w:p>
        </w:tc>
        <w:tc>
          <w:tcPr>
            <w:tcW w:w="7086"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8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bidi="ar"/>
              </w:rPr>
              <w:t>2021年前海办公用房租金评估项目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标的内容</w:t>
            </w:r>
          </w:p>
        </w:tc>
        <w:tc>
          <w:tcPr>
            <w:tcW w:w="7086"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8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bidi="ar"/>
              </w:rPr>
              <w:t>详见第五章用户需求书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80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最高支付上限</w:t>
            </w:r>
          </w:p>
        </w:tc>
        <w:tc>
          <w:tcPr>
            <w:tcW w:w="7086"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总预算金额为</w:t>
            </w:r>
            <w:r>
              <w:rPr>
                <w:rFonts w:hint="eastAsia" w:ascii="仿宋" w:hAnsi="仿宋" w:eastAsia="仿宋" w:cs="仿宋"/>
                <w:color w:val="auto"/>
                <w:sz w:val="22"/>
                <w:szCs w:val="22"/>
                <w:highlight w:val="none"/>
                <w:lang w:val="en-US" w:eastAsia="zh-CN" w:bidi="ar"/>
              </w:rPr>
              <w:t>31.5</w:t>
            </w:r>
            <w:r>
              <w:rPr>
                <w:rFonts w:hint="eastAsia" w:ascii="仿宋" w:hAnsi="仿宋" w:eastAsia="仿宋" w:cs="仿宋"/>
                <w:color w:val="auto"/>
                <w:sz w:val="22"/>
                <w:szCs w:val="22"/>
                <w:highlight w:val="none"/>
                <w:lang w:bidi="ar"/>
              </w:rPr>
              <w:t>万元。共招</w:t>
            </w:r>
            <w:r>
              <w:rPr>
                <w:rFonts w:hint="eastAsia" w:ascii="仿宋" w:hAnsi="仿宋" w:eastAsia="仿宋" w:cs="仿宋"/>
                <w:color w:val="auto"/>
                <w:sz w:val="22"/>
                <w:szCs w:val="22"/>
                <w:highlight w:val="none"/>
                <w:lang w:val="en-US" w:eastAsia="zh-CN" w:bidi="ar"/>
              </w:rPr>
              <w:t>2</w:t>
            </w:r>
            <w:r>
              <w:rPr>
                <w:rFonts w:hint="eastAsia" w:ascii="仿宋" w:hAnsi="仿宋" w:eastAsia="仿宋" w:cs="仿宋"/>
                <w:color w:val="auto"/>
                <w:sz w:val="22"/>
                <w:szCs w:val="22"/>
                <w:highlight w:val="none"/>
                <w:lang w:bidi="ar"/>
              </w:rPr>
              <w:t>家中标人，每家中标人</w:t>
            </w:r>
            <w:r>
              <w:rPr>
                <w:rFonts w:hint="eastAsia" w:ascii="仿宋" w:hAnsi="仿宋" w:eastAsia="仿宋" w:cs="仿宋"/>
                <w:color w:val="auto"/>
                <w:sz w:val="22"/>
                <w:szCs w:val="22"/>
                <w:highlight w:val="none"/>
                <w:lang w:eastAsia="zh-CN" w:bidi="ar"/>
              </w:rPr>
              <w:t>独立完成本项目全部工作，</w:t>
            </w:r>
            <w:r>
              <w:rPr>
                <w:rFonts w:hint="eastAsia" w:ascii="仿宋" w:hAnsi="仿宋" w:eastAsia="仿宋" w:cs="仿宋"/>
                <w:color w:val="auto"/>
                <w:sz w:val="22"/>
                <w:szCs w:val="22"/>
                <w:highlight w:val="none"/>
                <w:lang w:bidi="ar"/>
              </w:rPr>
              <w:t>每家中标人预算金额</w:t>
            </w:r>
            <w:r>
              <w:rPr>
                <w:rFonts w:hint="eastAsia" w:ascii="仿宋" w:hAnsi="仿宋" w:eastAsia="仿宋" w:cs="仿宋"/>
                <w:color w:val="auto"/>
                <w:sz w:val="22"/>
                <w:szCs w:val="22"/>
                <w:highlight w:val="none"/>
                <w:lang w:eastAsia="zh-CN" w:bidi="ar"/>
              </w:rPr>
              <w:t>上限</w:t>
            </w:r>
            <w:r>
              <w:rPr>
                <w:rFonts w:hint="eastAsia" w:ascii="仿宋" w:hAnsi="仿宋" w:eastAsia="仿宋" w:cs="仿宋"/>
                <w:color w:val="auto"/>
                <w:sz w:val="22"/>
                <w:szCs w:val="22"/>
                <w:highlight w:val="none"/>
                <w:lang w:bidi="ar"/>
              </w:rPr>
              <w:t>为</w:t>
            </w:r>
            <w:r>
              <w:rPr>
                <w:rFonts w:hint="eastAsia" w:ascii="仿宋" w:hAnsi="仿宋" w:eastAsia="仿宋" w:cs="仿宋"/>
                <w:color w:val="auto"/>
                <w:sz w:val="22"/>
                <w:szCs w:val="22"/>
                <w:highlight w:val="none"/>
                <w:lang w:val="en-US" w:eastAsia="zh-CN" w:bidi="ar"/>
              </w:rPr>
              <w:t>15.75</w:t>
            </w:r>
            <w:r>
              <w:rPr>
                <w:rFonts w:hint="eastAsia" w:ascii="仿宋" w:hAnsi="仿宋" w:eastAsia="仿宋" w:cs="仿宋"/>
                <w:color w:val="auto"/>
                <w:sz w:val="22"/>
                <w:szCs w:val="22"/>
                <w:highlight w:val="none"/>
                <w:lang w:bidi="ar"/>
              </w:rPr>
              <w:t>万元</w:t>
            </w:r>
            <w:r>
              <w:rPr>
                <w:rFonts w:hint="eastAsia" w:ascii="仿宋" w:hAnsi="仿宋" w:eastAsia="仿宋" w:cs="仿宋"/>
                <w:color w:val="auto"/>
                <w:sz w:val="22"/>
                <w:szCs w:val="22"/>
                <w:highlight w:val="none"/>
                <w:lang w:val="en-US" w:eastAsia="zh-CN" w:bidi="ar"/>
              </w:rPr>
              <w:t xml:space="preserve"> </w:t>
            </w:r>
            <w:r>
              <w:rPr>
                <w:rFonts w:hint="eastAsia" w:ascii="仿宋" w:hAnsi="仿宋" w:eastAsia="仿宋" w:cs="仿宋"/>
                <w:color w:val="auto"/>
                <w:sz w:val="22"/>
                <w:szCs w:val="2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评标方法</w:t>
            </w:r>
          </w:p>
        </w:tc>
        <w:tc>
          <w:tcPr>
            <w:tcW w:w="7086"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60" w:lineRule="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bidi="ar"/>
              </w:rPr>
              <w:t>标书获得办法</w:t>
            </w:r>
          </w:p>
        </w:tc>
        <w:tc>
          <w:tcPr>
            <w:tcW w:w="7086"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8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bidi="ar"/>
              </w:rPr>
              <w:t>招标文件为电子版，投标人可在前海官网（信息公开-招标公告栏目）（http://qh.sz.gov.cn/sygnan/xxgk/xxgkml/zbcg/zbgg/</w:t>
            </w:r>
            <w:bookmarkStart w:id="54" w:name="_GoBack"/>
            <w:bookmarkEnd w:id="54"/>
            <w:r>
              <w:rPr>
                <w:rFonts w:hint="eastAsia" w:ascii="仿宋" w:hAnsi="仿宋" w:eastAsia="仿宋" w:cs="仿宋"/>
                <w:color w:val="auto"/>
                <w:kern w:val="0"/>
                <w:sz w:val="22"/>
                <w:szCs w:val="22"/>
                <w:highlight w:val="none"/>
                <w:lang w:bidi="ar"/>
              </w:rPr>
              <w:t>）免费下载。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60" w:lineRule="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bidi="ar"/>
              </w:rPr>
              <w:t>开标时间、地址</w:t>
            </w:r>
          </w:p>
        </w:tc>
        <w:tc>
          <w:tcPr>
            <w:tcW w:w="7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78" w:line="380" w:lineRule="exact"/>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将投标文件（一式五份）密封并在投标截止时间202</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年</w:t>
            </w:r>
            <w:r>
              <w:rPr>
                <w:rFonts w:hint="eastAsia" w:ascii="仿宋" w:hAnsi="仿宋" w:eastAsia="仿宋" w:cs="仿宋"/>
                <w:color w:val="auto"/>
                <w:kern w:val="0"/>
                <w:sz w:val="22"/>
                <w:szCs w:val="22"/>
                <w:highlight w:val="none"/>
                <w:lang w:val="en-US" w:eastAsia="zh-CN" w:bidi="ar"/>
              </w:rPr>
              <w:t>1</w:t>
            </w:r>
            <w:r>
              <w:rPr>
                <w:rFonts w:hint="eastAsia" w:ascii="仿宋" w:hAnsi="仿宋" w:eastAsia="仿宋" w:cs="仿宋"/>
                <w:color w:val="auto"/>
                <w:kern w:val="0"/>
                <w:sz w:val="22"/>
                <w:szCs w:val="22"/>
                <w:highlight w:val="none"/>
                <w:lang w:bidi="ar"/>
              </w:rPr>
              <w:t>月</w:t>
            </w:r>
            <w:r>
              <w:rPr>
                <w:rFonts w:hint="eastAsia" w:ascii="仿宋" w:hAnsi="仿宋" w:eastAsia="仿宋" w:cs="仿宋"/>
                <w:color w:val="auto"/>
                <w:kern w:val="0"/>
                <w:sz w:val="22"/>
                <w:szCs w:val="22"/>
                <w:highlight w:val="none"/>
                <w:lang w:val="en-US" w:eastAsia="zh-CN" w:bidi="ar"/>
              </w:rPr>
              <w:t>18</w:t>
            </w:r>
            <w:r>
              <w:rPr>
                <w:rFonts w:hint="eastAsia" w:ascii="仿宋" w:hAnsi="仿宋" w:eastAsia="仿宋" w:cs="仿宋"/>
                <w:color w:val="auto"/>
                <w:kern w:val="0"/>
                <w:sz w:val="22"/>
                <w:szCs w:val="22"/>
                <w:highlight w:val="none"/>
                <w:lang w:bidi="ar"/>
              </w:rPr>
              <w:t>日</w:t>
            </w:r>
            <w:r>
              <w:rPr>
                <w:rFonts w:hint="eastAsia" w:ascii="仿宋" w:hAnsi="仿宋" w:eastAsia="仿宋" w:cs="仿宋"/>
                <w:color w:val="auto"/>
                <w:kern w:val="0"/>
                <w:sz w:val="22"/>
                <w:szCs w:val="22"/>
                <w:highlight w:val="none"/>
                <w:lang w:eastAsia="zh-CN" w:bidi="ar"/>
              </w:rPr>
              <w:t>上</w:t>
            </w:r>
            <w:r>
              <w:rPr>
                <w:rFonts w:hint="eastAsia" w:ascii="仿宋" w:hAnsi="仿宋" w:eastAsia="仿宋" w:cs="仿宋"/>
                <w:color w:val="auto"/>
                <w:kern w:val="0"/>
                <w:sz w:val="22"/>
                <w:szCs w:val="22"/>
                <w:highlight w:val="none"/>
                <w:lang w:bidi="ar"/>
              </w:rPr>
              <w:t>午</w:t>
            </w:r>
            <w:r>
              <w:rPr>
                <w:rFonts w:hint="eastAsia" w:ascii="仿宋" w:hAnsi="仿宋" w:eastAsia="仿宋" w:cs="仿宋"/>
                <w:color w:val="auto"/>
                <w:kern w:val="0"/>
                <w:sz w:val="22"/>
                <w:szCs w:val="22"/>
                <w:highlight w:val="none"/>
                <w:lang w:val="en-US" w:eastAsia="zh-CN" w:bidi="ar"/>
              </w:rPr>
              <w:t>9:30</w:t>
            </w:r>
            <w:r>
              <w:rPr>
                <w:rFonts w:hint="eastAsia" w:ascii="仿宋" w:hAnsi="仿宋" w:eastAsia="仿宋" w:cs="仿宋"/>
                <w:color w:val="auto"/>
                <w:kern w:val="0"/>
                <w:sz w:val="22"/>
                <w:szCs w:val="22"/>
                <w:highlight w:val="none"/>
                <w:lang w:bidi="ar"/>
              </w:rPr>
              <w:t>前送达至深圳市前海合作区</w:t>
            </w:r>
            <w:r>
              <w:rPr>
                <w:rFonts w:hint="eastAsia" w:ascii="仿宋" w:hAnsi="仿宋" w:eastAsia="仿宋" w:cs="仿宋"/>
                <w:color w:val="auto"/>
                <w:kern w:val="0"/>
                <w:sz w:val="22"/>
                <w:szCs w:val="22"/>
                <w:highlight w:val="none"/>
                <w:lang w:eastAsia="zh-CN" w:bidi="ar"/>
              </w:rPr>
              <w:t>桂湾五</w:t>
            </w:r>
            <w:r>
              <w:rPr>
                <w:rFonts w:hint="eastAsia" w:ascii="仿宋" w:hAnsi="仿宋" w:eastAsia="仿宋" w:cs="仿宋"/>
                <w:color w:val="auto"/>
                <w:kern w:val="0"/>
                <w:sz w:val="22"/>
                <w:szCs w:val="22"/>
                <w:highlight w:val="none"/>
                <w:lang w:bidi="ar"/>
              </w:rPr>
              <w:t>路</w:t>
            </w:r>
            <w:r>
              <w:rPr>
                <w:rFonts w:hint="eastAsia" w:ascii="仿宋" w:hAnsi="仿宋" w:eastAsia="仿宋" w:cs="仿宋"/>
                <w:color w:val="auto"/>
                <w:kern w:val="0"/>
                <w:sz w:val="22"/>
                <w:szCs w:val="22"/>
                <w:highlight w:val="none"/>
                <w:lang w:val="en-US" w:eastAsia="zh-CN" w:bidi="ar"/>
              </w:rPr>
              <w:t>128</w:t>
            </w:r>
            <w:r>
              <w:rPr>
                <w:rFonts w:hint="eastAsia" w:ascii="仿宋" w:hAnsi="仿宋" w:eastAsia="仿宋" w:cs="仿宋"/>
                <w:color w:val="auto"/>
                <w:kern w:val="0"/>
                <w:sz w:val="22"/>
                <w:szCs w:val="22"/>
                <w:highlight w:val="none"/>
                <w:lang w:bidi="ar"/>
              </w:rPr>
              <w:t>号</w:t>
            </w:r>
            <w:r>
              <w:rPr>
                <w:rFonts w:hint="eastAsia" w:ascii="仿宋" w:hAnsi="仿宋" w:eastAsia="仿宋" w:cs="仿宋"/>
                <w:color w:val="auto"/>
                <w:kern w:val="0"/>
                <w:sz w:val="22"/>
                <w:szCs w:val="22"/>
                <w:highlight w:val="none"/>
                <w:lang w:eastAsia="zh-CN" w:bidi="ar"/>
              </w:rPr>
              <w:t>前海大厦</w:t>
            </w:r>
            <w:r>
              <w:rPr>
                <w:rFonts w:hint="eastAsia" w:ascii="仿宋" w:hAnsi="仿宋" w:eastAsia="仿宋" w:cs="仿宋"/>
                <w:color w:val="auto"/>
                <w:kern w:val="0"/>
                <w:sz w:val="22"/>
                <w:szCs w:val="22"/>
                <w:highlight w:val="none"/>
                <w:lang w:val="en-US" w:eastAsia="zh-CN" w:bidi="ar"/>
              </w:rPr>
              <w:t>T1栋2313室</w:t>
            </w:r>
          </w:p>
          <w:p>
            <w:pPr>
              <w:adjustRightInd w:val="0"/>
              <w:snapToGrid w:val="0"/>
              <w:spacing w:after="78" w:line="380" w:lineRule="exact"/>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注：如需谈判，需半个小时内到达谈判现场。</w:t>
            </w:r>
          </w:p>
          <w:p>
            <w:pPr>
              <w:adjustRightInd w:val="0"/>
              <w:snapToGrid w:val="0"/>
              <w:spacing w:after="78" w:line="38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bidi="ar"/>
              </w:rPr>
              <w:t xml:space="preserve"> 联系人：</w:t>
            </w:r>
            <w:r>
              <w:rPr>
                <w:rFonts w:hint="eastAsia" w:ascii="仿宋" w:hAnsi="仿宋" w:eastAsia="仿宋" w:cs="仿宋"/>
                <w:color w:val="auto"/>
                <w:kern w:val="0"/>
                <w:sz w:val="22"/>
                <w:szCs w:val="22"/>
                <w:highlight w:val="none"/>
                <w:lang w:eastAsia="zh-CN" w:bidi="ar"/>
              </w:rPr>
              <w:t>柯女士</w:t>
            </w:r>
            <w:r>
              <w:rPr>
                <w:rFonts w:hint="eastAsia" w:ascii="仿宋" w:hAnsi="仿宋" w:eastAsia="仿宋" w:cs="仿宋"/>
                <w:color w:val="auto"/>
                <w:kern w:val="0"/>
                <w:sz w:val="22"/>
                <w:szCs w:val="22"/>
                <w:highlight w:val="none"/>
                <w:lang w:val="en-US" w:eastAsia="zh-CN" w:bidi="ar"/>
              </w:rPr>
              <w:t xml:space="preserve">  联系电话： 0</w:t>
            </w:r>
            <w:r>
              <w:rPr>
                <w:rFonts w:hint="eastAsia" w:ascii="仿宋" w:hAnsi="仿宋" w:eastAsia="仿宋" w:cs="仿宋"/>
                <w:color w:val="auto"/>
                <w:kern w:val="0"/>
                <w:sz w:val="22"/>
                <w:szCs w:val="22"/>
                <w:highlight w:val="none"/>
                <w:lang w:bidi="ar"/>
              </w:rPr>
              <w:t>755—</w:t>
            </w:r>
            <w:r>
              <w:rPr>
                <w:rFonts w:hint="eastAsia" w:ascii="仿宋" w:hAnsi="仿宋" w:eastAsia="仿宋" w:cs="仿宋"/>
                <w:color w:val="auto"/>
                <w:kern w:val="0"/>
                <w:sz w:val="22"/>
                <w:szCs w:val="22"/>
                <w:highlight w:val="none"/>
                <w:lang w:val="en-US" w:eastAsia="zh-CN" w:bidi="ar"/>
              </w:rPr>
              <w:t>88105381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60" w:lineRule="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bidi="ar"/>
              </w:rPr>
              <w:t>投标人资格要求</w:t>
            </w:r>
          </w:p>
        </w:tc>
        <w:tc>
          <w:tcPr>
            <w:tcW w:w="7086"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exact"/>
              <w:ind w:firstLine="440"/>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1.投标人具有独立法人资格或为具有独立承担民事责任能力的其它组织（提供营业执照或事业单位法人证书等法人证明或其他证明材料复印件加盖公章，原件备查）；</w:t>
            </w:r>
          </w:p>
          <w:p>
            <w:pPr>
              <w:pStyle w:val="33"/>
              <w:spacing w:line="360" w:lineRule="exact"/>
              <w:ind w:firstLine="440"/>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2.本项目不接受联合体参与投标，不允许分包和转包。</w:t>
            </w:r>
          </w:p>
          <w:p>
            <w:pPr>
              <w:pStyle w:val="33"/>
              <w:spacing w:line="360" w:lineRule="exact"/>
              <w:ind w:firstLine="440"/>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3.参与本项目前三年内，在经营活动中没有重大违法记录，不存在处于被相关主管部门处以禁止参与政府采购活动期限内的情形（须提供声明函原件加盖公章，格式自拟）；</w:t>
            </w:r>
          </w:p>
          <w:p>
            <w:pPr>
              <w:pStyle w:val="33"/>
              <w:spacing w:line="360" w:lineRule="exact"/>
              <w:ind w:firstLine="440"/>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4.供应商负责人为同一人或者存在直接控股、管理关系的不同投标人，不得参加同一合同项下的政府采购活动；为采购项目提供整体设计、规范编制或者项目管理、监理、检测等服务的供应商，不得再参加该采购项目的其他采购活动（需提供承诺书原件加盖公章，格式自拟）；</w:t>
            </w:r>
          </w:p>
          <w:p>
            <w:pPr>
              <w:pStyle w:val="33"/>
              <w:spacing w:line="360" w:lineRule="exact"/>
              <w:ind w:firstLine="440"/>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注：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line="360" w:lineRule="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bidi="ar"/>
              </w:rPr>
              <w:t>报价要求</w:t>
            </w:r>
          </w:p>
        </w:tc>
        <w:tc>
          <w:tcPr>
            <w:tcW w:w="7086" w:type="dxa"/>
            <w:tcBorders>
              <w:top w:val="single" w:color="auto" w:sz="4" w:space="0"/>
              <w:left w:val="single" w:color="auto" w:sz="4" w:space="0"/>
              <w:bottom w:val="single" w:color="auto" w:sz="4" w:space="0"/>
              <w:right w:val="single" w:color="auto" w:sz="4" w:space="0"/>
            </w:tcBorders>
            <w:noWrap w:val="0"/>
            <w:vAlign w:val="center"/>
          </w:tcPr>
          <w:p>
            <w:pPr>
              <w:pStyle w:val="34"/>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1.招标控制价为：</w:t>
            </w:r>
            <w:r>
              <w:rPr>
                <w:rFonts w:hint="eastAsia" w:ascii="仿宋" w:hAnsi="仿宋" w:eastAsia="仿宋" w:cs="仿宋"/>
                <w:color w:val="auto"/>
                <w:sz w:val="22"/>
                <w:szCs w:val="22"/>
                <w:highlight w:val="none"/>
                <w:lang w:val="en-US" w:eastAsia="zh-CN"/>
              </w:rPr>
              <w:t>31.5</w:t>
            </w:r>
            <w:r>
              <w:rPr>
                <w:rFonts w:hint="eastAsia" w:ascii="仿宋" w:hAnsi="仿宋" w:eastAsia="仿宋" w:cs="仿宋"/>
                <w:color w:val="auto"/>
                <w:sz w:val="22"/>
                <w:szCs w:val="22"/>
                <w:highlight w:val="none"/>
              </w:rPr>
              <w:t>万元 ；</w:t>
            </w:r>
          </w:p>
          <w:p>
            <w:pPr>
              <w:adjustRightInd w:val="0"/>
              <w:snapToGrid w:val="0"/>
              <w:spacing w:after="78"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2.单个投标人投标报价上限为：</w:t>
            </w:r>
            <w:r>
              <w:rPr>
                <w:rFonts w:hint="eastAsia" w:ascii="仿宋" w:hAnsi="仿宋" w:eastAsia="仿宋" w:cs="仿宋"/>
                <w:color w:val="auto"/>
                <w:sz w:val="22"/>
                <w:szCs w:val="22"/>
                <w:highlight w:val="none"/>
                <w:lang w:val="en-US" w:eastAsia="zh-CN"/>
              </w:rPr>
              <w:t>15.75</w:t>
            </w:r>
            <w:r>
              <w:rPr>
                <w:rFonts w:hint="eastAsia" w:ascii="仿宋" w:hAnsi="仿宋" w:eastAsia="仿宋" w:cs="仿宋"/>
                <w:color w:val="auto"/>
                <w:sz w:val="22"/>
                <w:szCs w:val="22"/>
                <w:highlight w:val="none"/>
              </w:rPr>
              <w:t>万元 ；</w:t>
            </w:r>
            <w:r>
              <w:rPr>
                <w:rFonts w:hint="eastAsia" w:ascii="仿宋" w:hAnsi="仿宋" w:eastAsia="仿宋" w:cs="仿宋"/>
                <w:color w:val="auto"/>
                <w:sz w:val="22"/>
                <w:szCs w:val="22"/>
                <w:highlight w:val="none"/>
                <w:lang w:bidi="ar"/>
              </w:rPr>
              <w:t>共招</w:t>
            </w:r>
            <w:r>
              <w:rPr>
                <w:rFonts w:hint="eastAsia" w:ascii="仿宋" w:hAnsi="仿宋" w:eastAsia="仿宋" w:cs="仿宋"/>
                <w:color w:val="auto"/>
                <w:sz w:val="22"/>
                <w:szCs w:val="22"/>
                <w:highlight w:val="none"/>
                <w:lang w:val="en-US" w:eastAsia="zh-CN" w:bidi="ar"/>
              </w:rPr>
              <w:t>2</w:t>
            </w:r>
            <w:r>
              <w:rPr>
                <w:rFonts w:hint="eastAsia" w:ascii="仿宋" w:hAnsi="仿宋" w:eastAsia="仿宋" w:cs="仿宋"/>
                <w:color w:val="auto"/>
                <w:sz w:val="22"/>
                <w:szCs w:val="22"/>
                <w:highlight w:val="none"/>
                <w:lang w:bidi="ar"/>
              </w:rPr>
              <w:t>家中标人，每家中标人</w:t>
            </w:r>
            <w:r>
              <w:rPr>
                <w:rFonts w:hint="eastAsia" w:ascii="仿宋" w:hAnsi="仿宋" w:eastAsia="仿宋" w:cs="仿宋"/>
                <w:color w:val="auto"/>
                <w:sz w:val="22"/>
                <w:szCs w:val="22"/>
                <w:highlight w:val="none"/>
                <w:lang w:eastAsia="zh-CN" w:bidi="ar"/>
              </w:rPr>
              <w:t>独立完成全部工作，</w:t>
            </w:r>
            <w:r>
              <w:rPr>
                <w:rFonts w:hint="eastAsia" w:ascii="仿宋" w:hAnsi="仿宋" w:eastAsia="仿宋" w:cs="仿宋"/>
                <w:color w:val="auto"/>
                <w:sz w:val="22"/>
                <w:szCs w:val="22"/>
                <w:highlight w:val="none"/>
                <w:lang w:bidi="ar"/>
              </w:rPr>
              <w:t>预算金额</w:t>
            </w:r>
            <w:r>
              <w:rPr>
                <w:rFonts w:hint="eastAsia" w:ascii="仿宋" w:hAnsi="仿宋" w:eastAsia="仿宋" w:cs="仿宋"/>
                <w:color w:val="auto"/>
                <w:sz w:val="22"/>
                <w:szCs w:val="22"/>
                <w:highlight w:val="none"/>
                <w:lang w:eastAsia="zh-CN" w:bidi="ar"/>
              </w:rPr>
              <w:t>不高于</w:t>
            </w:r>
            <w:r>
              <w:rPr>
                <w:rFonts w:hint="eastAsia" w:ascii="仿宋" w:hAnsi="仿宋" w:eastAsia="仿宋" w:cs="仿宋"/>
                <w:color w:val="auto"/>
                <w:sz w:val="22"/>
                <w:szCs w:val="22"/>
                <w:highlight w:val="none"/>
                <w:lang w:val="en-US" w:eastAsia="zh-CN" w:bidi="ar"/>
              </w:rPr>
              <w:t>15.75</w:t>
            </w:r>
            <w:r>
              <w:rPr>
                <w:rFonts w:hint="eastAsia" w:ascii="仿宋" w:hAnsi="仿宋" w:eastAsia="仿宋" w:cs="仿宋"/>
                <w:color w:val="auto"/>
                <w:sz w:val="22"/>
                <w:szCs w:val="22"/>
                <w:highlight w:val="none"/>
                <w:lang w:bidi="ar"/>
              </w:rPr>
              <w:t>万元。</w:t>
            </w:r>
          </w:p>
          <w:p>
            <w:pPr>
              <w:adjustRightInd w:val="0"/>
              <w:snapToGrid w:val="0"/>
              <w:spacing w:after="78" w:line="380" w:lineRule="exac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投标总价必须是完成该项目的一切费用总和，包括但不限于实施过程中有关调研、差旅、打印、人员车辆、资料、税费等一切费用、含谈判中重新报价。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bidi="ar"/>
              </w:rPr>
              <w:t>联系方式</w:t>
            </w:r>
          </w:p>
        </w:tc>
        <w:tc>
          <w:tcPr>
            <w:tcW w:w="7086"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采购代理机构：</w:t>
            </w:r>
          </w:p>
          <w:p>
            <w:pPr>
              <w:snapToGrid w:val="0"/>
              <w:spacing w:after="6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地址：</w:t>
            </w:r>
            <w:r>
              <w:rPr>
                <w:rFonts w:hint="eastAsia" w:ascii="仿宋" w:hAnsi="仿宋" w:eastAsia="仿宋" w:cs="仿宋"/>
                <w:color w:val="auto"/>
                <w:sz w:val="22"/>
                <w:szCs w:val="22"/>
                <w:highlight w:val="none"/>
              </w:rPr>
              <w:t>友和保险经纪有限公司</w:t>
            </w:r>
          </w:p>
          <w:p>
            <w:pPr>
              <w:snapToGrid w:val="0"/>
              <w:spacing w:after="6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联系人：严定容</w:t>
            </w:r>
          </w:p>
          <w:p>
            <w:pPr>
              <w:snapToGrid w:val="0"/>
              <w:spacing w:after="6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联系电话：</w:t>
            </w:r>
            <w:r>
              <w:rPr>
                <w:rFonts w:hint="eastAsia" w:ascii="仿宋" w:hAnsi="仿宋" w:eastAsia="仿宋" w:cs="仿宋"/>
                <w:color w:val="auto"/>
                <w:sz w:val="22"/>
                <w:szCs w:val="22"/>
                <w:highlight w:val="none"/>
              </w:rPr>
              <w:t>0755-83881283</w:t>
            </w:r>
          </w:p>
          <w:p>
            <w:pPr>
              <w:snapToGrid w:val="0"/>
              <w:spacing w:after="6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采购人：深圳市前海深港现代服务业合作区管理局</w:t>
            </w:r>
          </w:p>
          <w:p>
            <w:pPr>
              <w:snapToGrid w:val="0"/>
              <w:spacing w:after="60"/>
              <w:rPr>
                <w:rFonts w:hint="eastAsia" w:ascii="仿宋" w:hAnsi="仿宋" w:eastAsia="仿宋" w:cs="仿宋"/>
                <w:color w:val="auto"/>
                <w:sz w:val="22"/>
                <w:szCs w:val="22"/>
                <w:highlight w:val="none"/>
                <w:lang w:eastAsia="zh-CN" w:bidi="ar"/>
              </w:rPr>
            </w:pPr>
            <w:r>
              <w:rPr>
                <w:rFonts w:hint="eastAsia" w:ascii="仿宋" w:hAnsi="仿宋" w:eastAsia="仿宋" w:cs="仿宋"/>
                <w:color w:val="auto"/>
                <w:sz w:val="22"/>
                <w:szCs w:val="22"/>
                <w:highlight w:val="none"/>
                <w:lang w:bidi="ar"/>
              </w:rPr>
              <w:t>地址：</w:t>
            </w:r>
            <w:r>
              <w:rPr>
                <w:rFonts w:hint="eastAsia" w:ascii="仿宋" w:hAnsi="仿宋" w:eastAsia="仿宋" w:cs="仿宋"/>
                <w:color w:val="auto"/>
                <w:kern w:val="0"/>
                <w:sz w:val="22"/>
                <w:szCs w:val="22"/>
                <w:highlight w:val="none"/>
                <w:lang w:bidi="ar"/>
              </w:rPr>
              <w:t>深圳市前海深港合作区桂湾5路123号前海大厦</w:t>
            </w:r>
            <w:r>
              <w:rPr>
                <w:rFonts w:hint="eastAsia" w:ascii="仿宋" w:hAnsi="仿宋" w:eastAsia="仿宋" w:cs="仿宋"/>
                <w:color w:val="auto"/>
                <w:kern w:val="0"/>
                <w:sz w:val="22"/>
                <w:szCs w:val="22"/>
                <w:highlight w:val="none"/>
                <w:lang w:val="en-US" w:eastAsia="zh-CN" w:bidi="ar"/>
              </w:rPr>
              <w:t xml:space="preserve">T1栋 </w:t>
            </w:r>
          </w:p>
          <w:p>
            <w:pPr>
              <w:snapToGrid w:val="0"/>
              <w:spacing w:after="60"/>
              <w:rPr>
                <w:rFonts w:hint="eastAsia" w:ascii="仿宋" w:hAnsi="仿宋" w:eastAsia="仿宋" w:cs="仿宋"/>
                <w:color w:val="auto"/>
                <w:sz w:val="22"/>
                <w:szCs w:val="22"/>
                <w:highlight w:val="none"/>
                <w:lang w:eastAsia="zh-CN" w:bidi="ar"/>
              </w:rPr>
            </w:pPr>
            <w:r>
              <w:rPr>
                <w:rFonts w:hint="eastAsia" w:ascii="仿宋" w:hAnsi="仿宋" w:eastAsia="仿宋" w:cs="仿宋"/>
                <w:color w:val="auto"/>
                <w:sz w:val="22"/>
                <w:szCs w:val="22"/>
                <w:highlight w:val="none"/>
                <w:lang w:bidi="ar"/>
              </w:rPr>
              <w:t>联系人：</w:t>
            </w:r>
            <w:r>
              <w:rPr>
                <w:rFonts w:hint="eastAsia" w:ascii="仿宋" w:hAnsi="仿宋" w:eastAsia="仿宋" w:cs="仿宋"/>
                <w:color w:val="auto"/>
                <w:sz w:val="22"/>
                <w:szCs w:val="22"/>
                <w:highlight w:val="none"/>
                <w:lang w:val="en-US" w:eastAsia="zh-CN" w:bidi="ar"/>
              </w:rPr>
              <w:t xml:space="preserve"> 柯女士</w:t>
            </w:r>
          </w:p>
          <w:p>
            <w:pPr>
              <w:snapToGrid w:val="0"/>
              <w:spacing w:after="6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bidi="ar"/>
              </w:rPr>
              <w:t>联系电话：</w:t>
            </w:r>
            <w:r>
              <w:rPr>
                <w:rFonts w:hint="eastAsia" w:ascii="仿宋" w:hAnsi="仿宋" w:eastAsia="仿宋" w:cs="仿宋"/>
                <w:color w:val="auto"/>
                <w:kern w:val="2"/>
                <w:sz w:val="21"/>
                <w:szCs w:val="24"/>
                <w:highlight w:val="none"/>
                <w:lang w:val="en-US" w:eastAsia="zh-CN" w:bidi="ar-SA"/>
              </w:rPr>
              <w:t xml:space="preserve"> 0</w:t>
            </w:r>
            <w:r>
              <w:rPr>
                <w:rFonts w:hint="eastAsia" w:ascii="仿宋" w:hAnsi="仿宋" w:eastAsia="仿宋" w:cs="仿宋"/>
                <w:color w:val="auto"/>
                <w:szCs w:val="21"/>
                <w:highlight w:val="none"/>
              </w:rPr>
              <w:t>755—</w:t>
            </w:r>
            <w:r>
              <w:rPr>
                <w:rFonts w:hint="eastAsia" w:ascii="仿宋" w:hAnsi="仿宋" w:eastAsia="仿宋" w:cs="仿宋"/>
                <w:color w:val="auto"/>
                <w:szCs w:val="21"/>
                <w:highlight w:val="none"/>
                <w:lang w:val="en-US" w:eastAsia="zh-CN"/>
              </w:rPr>
              <w:t>88105381</w:t>
            </w:r>
          </w:p>
        </w:tc>
      </w:tr>
    </w:tbl>
    <w:p>
      <w:pPr>
        <w:adjustRightInd w:val="0"/>
        <w:snapToGrid w:val="0"/>
        <w:spacing w:line="400" w:lineRule="exact"/>
        <w:ind w:firstLine="480" w:firstLineChars="200"/>
        <w:jc w:val="right"/>
        <w:rPr>
          <w:rFonts w:hint="eastAsia" w:ascii="仿宋" w:hAnsi="仿宋" w:eastAsia="仿宋" w:cs="仿宋"/>
          <w:color w:val="auto"/>
          <w:sz w:val="24"/>
          <w:highlight w:val="none"/>
        </w:rPr>
      </w:pPr>
    </w:p>
    <w:p>
      <w:pPr>
        <w:adjustRightInd w:val="0"/>
        <w:snapToGrid w:val="0"/>
        <w:spacing w:line="4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友和保险经纪有限公司 </w:t>
      </w:r>
    </w:p>
    <w:p>
      <w:pPr>
        <w:adjustRightInd w:val="0"/>
        <w:snapToGrid w:val="0"/>
        <w:spacing w:line="4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w:t>
      </w:r>
    </w:p>
    <w:p>
      <w:pPr>
        <w:pStyle w:val="4"/>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bookmarkStart w:id="8" w:name="_Toc25720"/>
      <w:bookmarkStart w:id="9" w:name="_Toc31588"/>
      <w:r>
        <w:rPr>
          <w:rFonts w:hint="eastAsia" w:ascii="仿宋" w:hAnsi="仿宋" w:eastAsia="仿宋" w:cs="仿宋"/>
          <w:b/>
          <w:bCs/>
          <w:color w:val="auto"/>
          <w:highlight w:val="none"/>
        </w:rPr>
        <w:t>第二章 投标须知</w:t>
      </w:r>
      <w:bookmarkEnd w:id="8"/>
      <w:bookmarkEnd w:id="9"/>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1.本项目是深圳市前海深港现代服务业合作区管理局的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2021年前海办公用房租金评估项目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项目。</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2.本项目不属于深圳市2022年集中采购目录，根据《中华人民共和国政府采购法》、《深圳经济特区采购条例》的有关规定，</w:t>
      </w:r>
      <w:r>
        <w:rPr>
          <w:rFonts w:hint="eastAsia" w:ascii="仿宋" w:hAnsi="仿宋" w:eastAsia="仿宋" w:cs="仿宋"/>
          <w:color w:val="auto"/>
          <w:sz w:val="24"/>
          <w:highlight w:val="none"/>
          <w:u w:val="single"/>
        </w:rPr>
        <w:t>友和保险经纪有限公司</w:t>
      </w:r>
      <w:r>
        <w:rPr>
          <w:rFonts w:hint="eastAsia" w:ascii="仿宋" w:hAnsi="仿宋" w:eastAsia="仿宋" w:cs="仿宋"/>
          <w:color w:val="auto"/>
          <w:sz w:val="24"/>
          <w:highlight w:val="none"/>
        </w:rPr>
        <w:t>受深圳市前海深港现代服务业合作区管理局委托组织采购，本次采购公开征集供应商，报名且符合招标文件初审的供应商在两家以上，采用综合评分法的方式进行。</w:t>
      </w:r>
      <w:r>
        <w:rPr>
          <w:rFonts w:hint="eastAsia" w:ascii="仿宋" w:hAnsi="仿宋" w:eastAsia="仿宋" w:cs="仿宋"/>
          <w:b/>
          <w:bCs/>
          <w:color w:val="auto"/>
          <w:sz w:val="24"/>
          <w:highlight w:val="none"/>
        </w:rPr>
        <w:t>如参与投标且符合招标文件要求的供应商仅有两家，评审委员会应与投标供应商进行谈判，原则上成交价应为最初报价的95%。</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3.本项目根据项目的实际情况，公开征集符合投标人资格的供应商。请各供应商根据本文件的要求，准备</w:t>
      </w:r>
      <w:r>
        <w:rPr>
          <w:rFonts w:hint="eastAsia" w:ascii="仿宋" w:hAnsi="仿宋" w:eastAsia="仿宋" w:cs="仿宋"/>
          <w:b/>
          <w:bCs/>
          <w:color w:val="auto"/>
          <w:sz w:val="24"/>
          <w:highlight w:val="none"/>
        </w:rPr>
        <w:t>5套（1套正本，4套副本，U盘或者光盘，电子版文件可以使用正本盖章的扫描件）</w:t>
      </w:r>
      <w:r>
        <w:rPr>
          <w:rFonts w:hint="eastAsia" w:ascii="仿宋" w:hAnsi="仿宋" w:eastAsia="仿宋" w:cs="仿宋"/>
          <w:color w:val="auto"/>
          <w:sz w:val="24"/>
          <w:highlight w:val="none"/>
        </w:rPr>
        <w:t>完备的资料进行投标。</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4.本招标文件已对本次采购项目的商务条件和货物或服务的质量、技术要求、成果要求、交货要求、售后服务作出了明确的规定。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5.响应文件要包括如下内容：</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（1）价格部分；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（2）商务部分；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（3）技术部分。</w:t>
      </w:r>
    </w:p>
    <w:p>
      <w:pPr>
        <w:snapToGrid w:val="0"/>
        <w:spacing w:line="40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6.</w:t>
      </w:r>
      <w:r>
        <w:rPr>
          <w:rFonts w:hint="eastAsia" w:ascii="仿宋" w:hAnsi="仿宋" w:eastAsia="仿宋" w:cs="仿宋"/>
          <w:bCs/>
          <w:color w:val="auto"/>
          <w:sz w:val="24"/>
          <w:highlight w:val="none"/>
        </w:rPr>
        <w:t>采购人会对本次招标的项目确定一个最高限价，最终成交价格超出最高限价将会被当作投标无效处理。</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9.本次采购凡涉及知识产权问题，由项目供应商负责。</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10.采购人将组成评审委员会，评审工作由评审委员会独立负责。</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12.采用综合评分法的情况：评审委员会将分别对供应商递交的投标文件进行评审。</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（1）评审委员会将根据供应商的服务能力、成果的质量、是否满足本次采购的商务条件、报价等方面的情况进行综合评价，评标委员会依据得分情况推荐综合得分第一名</w:t>
      </w:r>
      <w:r>
        <w:rPr>
          <w:rFonts w:hint="eastAsia" w:ascii="仿宋" w:hAnsi="仿宋" w:eastAsia="仿宋" w:cs="仿宋"/>
          <w:color w:val="auto"/>
          <w:sz w:val="22"/>
          <w:szCs w:val="22"/>
          <w:highlight w:val="none"/>
          <w:lang w:eastAsia="zh-CN" w:bidi="ar"/>
        </w:rPr>
        <w:t>及第二名</w:t>
      </w:r>
      <w:r>
        <w:rPr>
          <w:rFonts w:hint="eastAsia" w:ascii="仿宋" w:hAnsi="仿宋" w:eastAsia="仿宋" w:cs="仿宋"/>
          <w:color w:val="auto"/>
          <w:sz w:val="22"/>
          <w:szCs w:val="22"/>
          <w:highlight w:val="none"/>
          <w:lang w:bidi="ar"/>
        </w:rPr>
        <w:t>的供应商为中标候选人；</w:t>
      </w:r>
    </w:p>
    <w:p>
      <w:pPr>
        <w:snapToGrid w:val="0"/>
        <w:spacing w:line="400" w:lineRule="exact"/>
        <w:ind w:firstLine="440" w:firstLineChars="200"/>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lang w:bidi="ar"/>
        </w:rPr>
        <w:t>（2）如果二个及以上供应商的综合评分相同时，取投标价格低者。综合评分和投标报价均相同的并列。投标文件满足招标文件全部实质性要求，且按照评审因素的量化指标评审得分</w:t>
      </w:r>
      <w:r>
        <w:rPr>
          <w:rFonts w:hint="eastAsia" w:ascii="仿宋" w:hAnsi="仿宋" w:eastAsia="仿宋" w:cs="仿宋"/>
          <w:color w:val="auto"/>
          <w:sz w:val="22"/>
          <w:szCs w:val="22"/>
          <w:highlight w:val="none"/>
          <w:lang w:eastAsia="zh-CN" w:bidi="ar"/>
        </w:rPr>
        <w:t>排名前二</w:t>
      </w:r>
      <w:r>
        <w:rPr>
          <w:rFonts w:hint="eastAsia" w:ascii="仿宋" w:hAnsi="仿宋" w:eastAsia="仿宋" w:cs="仿宋"/>
          <w:color w:val="auto"/>
          <w:sz w:val="22"/>
          <w:szCs w:val="22"/>
          <w:highlight w:val="none"/>
          <w:lang w:bidi="ar"/>
        </w:rPr>
        <w:t>的供应商为第一</w:t>
      </w:r>
      <w:r>
        <w:rPr>
          <w:rFonts w:hint="eastAsia" w:ascii="仿宋" w:hAnsi="仿宋" w:eastAsia="仿宋" w:cs="仿宋"/>
          <w:color w:val="auto"/>
          <w:sz w:val="22"/>
          <w:szCs w:val="22"/>
          <w:highlight w:val="none"/>
          <w:lang w:eastAsia="zh-CN" w:bidi="ar"/>
        </w:rPr>
        <w:t>、第二</w:t>
      </w:r>
      <w:r>
        <w:rPr>
          <w:rFonts w:hint="eastAsia" w:ascii="仿宋" w:hAnsi="仿宋" w:eastAsia="仿宋" w:cs="仿宋"/>
          <w:color w:val="auto"/>
          <w:sz w:val="22"/>
          <w:szCs w:val="22"/>
          <w:highlight w:val="none"/>
          <w:lang w:bidi="ar"/>
        </w:rPr>
        <w:t>的中标候选人</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13.采用谈判的情况：评审委员会将与投标供应商进行谈判。</w:t>
      </w:r>
    </w:p>
    <w:p>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（1）供应商在谈判时由项目负责人与评审委员会进行谈判；</w:t>
      </w:r>
    </w:p>
    <w:p>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（2）原则上成交价应</w:t>
      </w:r>
      <w:r>
        <w:rPr>
          <w:rFonts w:hint="eastAsia" w:ascii="仿宋" w:hAnsi="仿宋" w:eastAsia="仿宋" w:cs="仿宋"/>
          <w:b/>
          <w:bCs/>
          <w:color w:val="auto"/>
          <w:sz w:val="24"/>
          <w:highlight w:val="none"/>
        </w:rPr>
        <w:t>最初报价的95%</w:t>
      </w:r>
      <w:r>
        <w:rPr>
          <w:rFonts w:hint="eastAsia" w:ascii="仿宋" w:hAnsi="仿宋" w:eastAsia="仿宋" w:cs="仿宋"/>
          <w:color w:val="auto"/>
          <w:sz w:val="24"/>
          <w:highlight w:val="none"/>
        </w:rPr>
        <w:t>。</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14.所有的评审/谈判内容都必须保密。</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15.招标代理服务收费：</w:t>
      </w:r>
    </w:p>
    <w:p>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以《深圳市财政委员会关于规范深圳市社会采购代理机构管理有关事项的补充通知》（深财购〔2018〕27号）代理费用参考标准的60%按差额定率累进法进行计费，若以上计算金额小于3000元，则按3000元收取。</w:t>
      </w:r>
    </w:p>
    <w:p>
      <w:pPr>
        <w:adjustRightInd w:val="0"/>
        <w:snapToGrid w:val="0"/>
        <w:spacing w:line="400" w:lineRule="exact"/>
        <w:ind w:right="2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400" w:lineRule="exact"/>
              <w:ind w:right="26"/>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中标金额</w:t>
            </w:r>
          </w:p>
        </w:tc>
        <w:tc>
          <w:tcPr>
            <w:tcW w:w="5495" w:type="dxa"/>
            <w:gridSpan w:val="3"/>
            <w:shd w:val="clear" w:color="auto" w:fill="D7D7D7"/>
            <w:noWrap w:val="0"/>
            <w:vAlign w:val="center"/>
          </w:tcPr>
          <w:p>
            <w:pPr>
              <w:adjustRightInd w:val="0"/>
              <w:snapToGrid w:val="0"/>
              <w:spacing w:line="400" w:lineRule="exact"/>
              <w:ind w:right="26"/>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400" w:lineRule="exact"/>
              <w:ind w:right="26"/>
              <w:jc w:val="center"/>
              <w:rPr>
                <w:rFonts w:hint="eastAsia" w:ascii="仿宋" w:hAnsi="仿宋" w:eastAsia="仿宋" w:cs="仿宋"/>
                <w:b/>
                <w:bCs/>
                <w:color w:val="auto"/>
                <w:sz w:val="24"/>
                <w:highlight w:val="none"/>
              </w:rPr>
            </w:pPr>
          </w:p>
        </w:tc>
        <w:tc>
          <w:tcPr>
            <w:tcW w:w="1843" w:type="dxa"/>
            <w:shd w:val="clear" w:color="auto" w:fill="D7D7D7"/>
            <w:noWrap w:val="0"/>
            <w:vAlign w:val="center"/>
          </w:tcPr>
          <w:p>
            <w:pPr>
              <w:adjustRightInd w:val="0"/>
              <w:snapToGrid w:val="0"/>
              <w:spacing w:line="400" w:lineRule="exact"/>
              <w:ind w:right="26"/>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货物招标</w:t>
            </w:r>
          </w:p>
        </w:tc>
        <w:tc>
          <w:tcPr>
            <w:tcW w:w="1755" w:type="dxa"/>
            <w:shd w:val="clear" w:color="auto" w:fill="D7D7D7"/>
            <w:noWrap w:val="0"/>
            <w:vAlign w:val="center"/>
          </w:tcPr>
          <w:p>
            <w:pPr>
              <w:adjustRightInd w:val="0"/>
              <w:snapToGrid w:val="0"/>
              <w:spacing w:line="400" w:lineRule="exact"/>
              <w:ind w:right="26"/>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服务招标</w:t>
            </w:r>
          </w:p>
        </w:tc>
        <w:tc>
          <w:tcPr>
            <w:tcW w:w="1897" w:type="dxa"/>
            <w:shd w:val="clear" w:color="auto" w:fill="D7D7D7"/>
            <w:noWrap w:val="0"/>
            <w:vAlign w:val="center"/>
          </w:tcPr>
          <w:p>
            <w:pPr>
              <w:adjustRightInd w:val="0"/>
              <w:snapToGrid w:val="0"/>
              <w:spacing w:line="400" w:lineRule="exact"/>
              <w:ind w:right="26"/>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100万元以下</w:t>
            </w:r>
          </w:p>
        </w:tc>
        <w:tc>
          <w:tcPr>
            <w:tcW w:w="1843" w:type="dxa"/>
            <w:noWrap w:val="0"/>
            <w:vAlign w:val="center"/>
          </w:tcPr>
          <w:p>
            <w:pPr>
              <w:adjustRightInd w:val="0"/>
              <w:snapToGrid w:val="0"/>
              <w:spacing w:line="40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755"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97"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100万元（含）-500万元</w:t>
            </w:r>
          </w:p>
        </w:tc>
        <w:tc>
          <w:tcPr>
            <w:tcW w:w="1843" w:type="dxa"/>
            <w:noWrap w:val="0"/>
            <w:vAlign w:val="center"/>
          </w:tcPr>
          <w:p>
            <w:pPr>
              <w:adjustRightInd w:val="0"/>
              <w:snapToGrid w:val="0"/>
              <w:spacing w:line="40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755"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0.8%</w:t>
            </w:r>
          </w:p>
        </w:tc>
        <w:tc>
          <w:tcPr>
            <w:tcW w:w="1897"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500万元（含）-1000万元</w:t>
            </w:r>
          </w:p>
        </w:tc>
        <w:tc>
          <w:tcPr>
            <w:tcW w:w="1843" w:type="dxa"/>
            <w:noWrap w:val="0"/>
            <w:vAlign w:val="center"/>
          </w:tcPr>
          <w:p>
            <w:pPr>
              <w:adjustRightInd w:val="0"/>
              <w:snapToGrid w:val="0"/>
              <w:spacing w:line="40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0.8%</w:t>
            </w:r>
          </w:p>
        </w:tc>
        <w:tc>
          <w:tcPr>
            <w:tcW w:w="1755"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0.45%</w:t>
            </w:r>
          </w:p>
        </w:tc>
        <w:tc>
          <w:tcPr>
            <w:tcW w:w="1897"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1000万元（含）-5000万元</w:t>
            </w:r>
          </w:p>
        </w:tc>
        <w:tc>
          <w:tcPr>
            <w:tcW w:w="1843" w:type="dxa"/>
            <w:noWrap w:val="0"/>
            <w:vAlign w:val="center"/>
          </w:tcPr>
          <w:p>
            <w:pPr>
              <w:adjustRightInd w:val="0"/>
              <w:snapToGrid w:val="0"/>
              <w:spacing w:line="40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w:t>
            </w:r>
          </w:p>
        </w:tc>
        <w:tc>
          <w:tcPr>
            <w:tcW w:w="1755"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0.25%</w:t>
            </w:r>
          </w:p>
        </w:tc>
        <w:tc>
          <w:tcPr>
            <w:tcW w:w="1897"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5000万元（含）-1亿元</w:t>
            </w:r>
          </w:p>
        </w:tc>
        <w:tc>
          <w:tcPr>
            <w:tcW w:w="1843" w:type="dxa"/>
            <w:noWrap w:val="0"/>
            <w:vAlign w:val="center"/>
          </w:tcPr>
          <w:p>
            <w:pPr>
              <w:adjustRightInd w:val="0"/>
              <w:snapToGrid w:val="0"/>
              <w:spacing w:line="40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0.25%</w:t>
            </w:r>
          </w:p>
        </w:tc>
        <w:tc>
          <w:tcPr>
            <w:tcW w:w="1755"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w:t>
            </w:r>
          </w:p>
        </w:tc>
        <w:tc>
          <w:tcPr>
            <w:tcW w:w="1897"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1亿元（含）-5亿元</w:t>
            </w:r>
          </w:p>
        </w:tc>
        <w:tc>
          <w:tcPr>
            <w:tcW w:w="1843" w:type="dxa"/>
            <w:noWrap w:val="0"/>
            <w:vAlign w:val="center"/>
          </w:tcPr>
          <w:p>
            <w:pPr>
              <w:adjustRightInd w:val="0"/>
              <w:snapToGrid w:val="0"/>
              <w:spacing w:line="40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0.05%</w:t>
            </w:r>
          </w:p>
        </w:tc>
        <w:tc>
          <w:tcPr>
            <w:tcW w:w="1755"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0.05%</w:t>
            </w:r>
          </w:p>
        </w:tc>
        <w:tc>
          <w:tcPr>
            <w:tcW w:w="1897"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5亿元（含）-10亿元</w:t>
            </w:r>
          </w:p>
        </w:tc>
        <w:tc>
          <w:tcPr>
            <w:tcW w:w="1843" w:type="dxa"/>
            <w:noWrap w:val="0"/>
            <w:vAlign w:val="center"/>
          </w:tcPr>
          <w:p>
            <w:pPr>
              <w:adjustRightInd w:val="0"/>
              <w:snapToGrid w:val="0"/>
              <w:spacing w:line="40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0.035%</w:t>
            </w:r>
          </w:p>
        </w:tc>
        <w:tc>
          <w:tcPr>
            <w:tcW w:w="1755"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0.035%</w:t>
            </w:r>
          </w:p>
        </w:tc>
        <w:tc>
          <w:tcPr>
            <w:tcW w:w="1897"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10亿元（含）-50亿元</w:t>
            </w:r>
          </w:p>
        </w:tc>
        <w:tc>
          <w:tcPr>
            <w:tcW w:w="1843" w:type="dxa"/>
            <w:noWrap w:val="0"/>
            <w:vAlign w:val="center"/>
          </w:tcPr>
          <w:p>
            <w:pPr>
              <w:adjustRightInd w:val="0"/>
              <w:snapToGrid w:val="0"/>
              <w:spacing w:line="40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0.008%</w:t>
            </w:r>
          </w:p>
        </w:tc>
        <w:tc>
          <w:tcPr>
            <w:tcW w:w="1755"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0.008%</w:t>
            </w:r>
          </w:p>
        </w:tc>
        <w:tc>
          <w:tcPr>
            <w:tcW w:w="1897"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50亿元（含）-100亿元</w:t>
            </w:r>
          </w:p>
        </w:tc>
        <w:tc>
          <w:tcPr>
            <w:tcW w:w="1843" w:type="dxa"/>
            <w:noWrap w:val="0"/>
            <w:vAlign w:val="center"/>
          </w:tcPr>
          <w:p>
            <w:pPr>
              <w:adjustRightInd w:val="0"/>
              <w:snapToGrid w:val="0"/>
              <w:spacing w:line="40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0.006%</w:t>
            </w:r>
          </w:p>
        </w:tc>
        <w:tc>
          <w:tcPr>
            <w:tcW w:w="1755"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0.006%</w:t>
            </w:r>
          </w:p>
        </w:tc>
        <w:tc>
          <w:tcPr>
            <w:tcW w:w="1897"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100亿元（含）以上</w:t>
            </w:r>
          </w:p>
        </w:tc>
        <w:tc>
          <w:tcPr>
            <w:tcW w:w="1843" w:type="dxa"/>
            <w:noWrap w:val="0"/>
            <w:vAlign w:val="center"/>
          </w:tcPr>
          <w:p>
            <w:pPr>
              <w:adjustRightInd w:val="0"/>
              <w:snapToGrid w:val="0"/>
              <w:spacing w:line="40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0.004%</w:t>
            </w:r>
          </w:p>
        </w:tc>
        <w:tc>
          <w:tcPr>
            <w:tcW w:w="1755"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0.004%</w:t>
            </w:r>
          </w:p>
        </w:tc>
        <w:tc>
          <w:tcPr>
            <w:tcW w:w="1897" w:type="dxa"/>
            <w:noWrap w:val="0"/>
            <w:vAlign w:val="center"/>
          </w:tcPr>
          <w:p>
            <w:pPr>
              <w:adjustRightInd w:val="0"/>
              <w:snapToGrid w:val="0"/>
              <w:spacing w:line="400" w:lineRule="exact"/>
              <w:ind w:right="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0.004%</w:t>
            </w:r>
          </w:p>
        </w:tc>
      </w:tr>
    </w:tbl>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招标代理服务费缴纳至：</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开户名称：友和保险经纪有限公司</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银行账号：1806014170017592</w:t>
      </w:r>
    </w:p>
    <w:p>
      <w:pPr>
        <w:spacing w:line="400" w:lineRule="exact"/>
        <w:ind w:firstLine="480" w:firstLineChars="200"/>
        <w:rPr>
          <w:rFonts w:hint="eastAsia" w:ascii="仿宋" w:hAnsi="仿宋" w:eastAsia="仿宋" w:cs="仿宋"/>
          <w:b/>
          <w:bCs/>
          <w:color w:val="auto"/>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仿宋" w:hAnsi="仿宋" w:eastAsia="仿宋" w:cs="仿宋"/>
          <w:color w:val="auto"/>
          <w:sz w:val="24"/>
          <w:highlight w:val="none"/>
        </w:rPr>
        <w:t>开户银行：中国民生银行深圳分行福田支行</w:t>
      </w:r>
    </w:p>
    <w:p>
      <w:pPr>
        <w:pStyle w:val="4"/>
        <w:spacing w:line="400" w:lineRule="exact"/>
        <w:rPr>
          <w:rFonts w:hint="eastAsia" w:ascii="仿宋" w:hAnsi="仿宋" w:eastAsia="仿宋" w:cs="仿宋"/>
          <w:b/>
          <w:bCs/>
          <w:color w:val="auto"/>
          <w:highlight w:val="none"/>
        </w:rPr>
      </w:pPr>
      <w:bookmarkStart w:id="10" w:name="_Toc22047"/>
      <w:bookmarkStart w:id="11" w:name="_Toc30452"/>
      <w:bookmarkStart w:id="12" w:name="_Toc3676"/>
      <w:r>
        <w:rPr>
          <w:rFonts w:hint="eastAsia" w:ascii="仿宋" w:hAnsi="仿宋" w:eastAsia="仿宋" w:cs="仿宋"/>
          <w:b/>
          <w:bCs/>
          <w:color w:val="auto"/>
          <w:highlight w:val="none"/>
        </w:rPr>
        <w:t>第三章 评标程序</w:t>
      </w:r>
      <w:bookmarkEnd w:id="10"/>
      <w:bookmarkEnd w:id="11"/>
      <w:bookmarkEnd w:id="12"/>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一、依法成立评审委员会。评审委员会由前海管理局组织相关工作人员或有关专家不少于三人的单数组成，评审委员会在开标开始前一天组成。</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二、参加会议人员：评审委员会成员、机关纪委工作人员、项目负责人代表、招标代理工作人员、投标人代表（如需）。</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三、会议主持人：友和保险经纪有限公司工作人员。</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四、开标时间：202</w:t>
      </w:r>
      <w:r>
        <w:rPr>
          <w:rFonts w:hint="eastAsia" w:ascii="仿宋" w:hAnsi="仿宋" w:eastAsia="仿宋" w:cs="仿宋"/>
          <w:color w:val="auto"/>
          <w:sz w:val="22"/>
          <w:szCs w:val="22"/>
          <w:highlight w:val="none"/>
          <w:lang w:val="en-US" w:eastAsia="zh-CN" w:bidi="ar"/>
        </w:rPr>
        <w:t>3</w:t>
      </w:r>
      <w:r>
        <w:rPr>
          <w:rFonts w:hint="eastAsia" w:ascii="仿宋" w:hAnsi="仿宋" w:eastAsia="仿宋" w:cs="仿宋"/>
          <w:color w:val="auto"/>
          <w:sz w:val="22"/>
          <w:szCs w:val="22"/>
          <w:highlight w:val="none"/>
          <w:lang w:bidi="ar"/>
        </w:rPr>
        <w:t>年</w:t>
      </w:r>
      <w:r>
        <w:rPr>
          <w:rFonts w:hint="eastAsia" w:ascii="仿宋" w:hAnsi="仿宋" w:eastAsia="仿宋" w:cs="仿宋"/>
          <w:color w:val="auto"/>
          <w:sz w:val="22"/>
          <w:szCs w:val="22"/>
          <w:highlight w:val="none"/>
          <w:lang w:val="en-US" w:eastAsia="zh-CN" w:bidi="ar"/>
        </w:rPr>
        <w:t xml:space="preserve"> 1</w:t>
      </w:r>
      <w:r>
        <w:rPr>
          <w:rFonts w:hint="eastAsia" w:ascii="仿宋" w:hAnsi="仿宋" w:eastAsia="仿宋" w:cs="仿宋"/>
          <w:color w:val="auto"/>
          <w:sz w:val="22"/>
          <w:szCs w:val="22"/>
          <w:highlight w:val="none"/>
          <w:lang w:bidi="ar"/>
        </w:rPr>
        <w:t>月</w:t>
      </w:r>
      <w:r>
        <w:rPr>
          <w:rFonts w:hint="eastAsia" w:ascii="仿宋" w:hAnsi="仿宋" w:eastAsia="仿宋" w:cs="仿宋"/>
          <w:color w:val="auto"/>
          <w:sz w:val="22"/>
          <w:szCs w:val="22"/>
          <w:highlight w:val="none"/>
          <w:lang w:val="en-US" w:eastAsia="zh-CN" w:bidi="ar"/>
        </w:rPr>
        <w:t>18</w:t>
      </w:r>
      <w:r>
        <w:rPr>
          <w:rFonts w:hint="eastAsia" w:ascii="仿宋" w:hAnsi="仿宋" w:eastAsia="仿宋" w:cs="仿宋"/>
          <w:color w:val="auto"/>
          <w:sz w:val="22"/>
          <w:szCs w:val="22"/>
          <w:highlight w:val="none"/>
          <w:lang w:bidi="ar"/>
        </w:rPr>
        <w:t>日</w:t>
      </w:r>
      <w:r>
        <w:rPr>
          <w:rFonts w:hint="eastAsia" w:ascii="仿宋" w:hAnsi="仿宋" w:eastAsia="仿宋" w:cs="仿宋"/>
          <w:color w:val="auto"/>
          <w:sz w:val="22"/>
          <w:szCs w:val="22"/>
          <w:highlight w:val="none"/>
          <w:lang w:eastAsia="zh-CN" w:bidi="ar"/>
        </w:rPr>
        <w:t>上午</w:t>
      </w:r>
      <w:r>
        <w:rPr>
          <w:rFonts w:hint="eastAsia" w:ascii="仿宋" w:hAnsi="仿宋" w:eastAsia="仿宋" w:cs="仿宋"/>
          <w:color w:val="auto"/>
          <w:sz w:val="22"/>
          <w:szCs w:val="22"/>
          <w:highlight w:val="none"/>
          <w:lang w:val="en-US" w:eastAsia="zh-CN" w:bidi="ar"/>
        </w:rPr>
        <w:t>10:00:00</w:t>
      </w:r>
      <w:r>
        <w:rPr>
          <w:rFonts w:hint="eastAsia" w:ascii="仿宋" w:hAnsi="仿宋" w:eastAsia="仿宋" w:cs="仿宋"/>
          <w:color w:val="auto"/>
          <w:sz w:val="22"/>
          <w:szCs w:val="22"/>
          <w:highlight w:val="none"/>
          <w:lang w:bidi="ar"/>
        </w:rPr>
        <w:t>。</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五、会议开始：202</w:t>
      </w:r>
      <w:r>
        <w:rPr>
          <w:rFonts w:hint="eastAsia" w:ascii="仿宋" w:hAnsi="仿宋" w:eastAsia="仿宋" w:cs="仿宋"/>
          <w:color w:val="auto"/>
          <w:sz w:val="22"/>
          <w:szCs w:val="22"/>
          <w:highlight w:val="none"/>
          <w:lang w:val="en-US" w:eastAsia="zh-CN" w:bidi="ar"/>
        </w:rPr>
        <w:t>3</w:t>
      </w:r>
      <w:r>
        <w:rPr>
          <w:rFonts w:hint="eastAsia" w:ascii="仿宋" w:hAnsi="仿宋" w:eastAsia="仿宋" w:cs="仿宋"/>
          <w:color w:val="auto"/>
          <w:sz w:val="22"/>
          <w:szCs w:val="22"/>
          <w:highlight w:val="none"/>
          <w:lang w:bidi="ar"/>
        </w:rPr>
        <w:t>年</w:t>
      </w:r>
      <w:r>
        <w:rPr>
          <w:rFonts w:hint="eastAsia" w:ascii="仿宋" w:hAnsi="仿宋" w:eastAsia="仿宋" w:cs="仿宋"/>
          <w:color w:val="auto"/>
          <w:sz w:val="22"/>
          <w:szCs w:val="22"/>
          <w:highlight w:val="none"/>
          <w:lang w:val="en-US" w:eastAsia="zh-CN" w:bidi="ar"/>
        </w:rPr>
        <w:t>1</w:t>
      </w:r>
      <w:r>
        <w:rPr>
          <w:rFonts w:hint="eastAsia" w:ascii="仿宋" w:hAnsi="仿宋" w:eastAsia="仿宋" w:cs="仿宋"/>
          <w:color w:val="auto"/>
          <w:sz w:val="22"/>
          <w:szCs w:val="22"/>
          <w:highlight w:val="none"/>
          <w:lang w:bidi="ar"/>
        </w:rPr>
        <w:t>月</w:t>
      </w:r>
      <w:r>
        <w:rPr>
          <w:rFonts w:hint="eastAsia" w:ascii="仿宋" w:hAnsi="仿宋" w:eastAsia="仿宋" w:cs="仿宋"/>
          <w:color w:val="auto"/>
          <w:sz w:val="22"/>
          <w:szCs w:val="22"/>
          <w:highlight w:val="none"/>
          <w:lang w:val="en-US" w:eastAsia="zh-CN" w:bidi="ar"/>
        </w:rPr>
        <w:t>18</w:t>
      </w:r>
      <w:r>
        <w:rPr>
          <w:rFonts w:hint="eastAsia" w:ascii="仿宋" w:hAnsi="仿宋" w:eastAsia="仿宋" w:cs="仿宋"/>
          <w:color w:val="auto"/>
          <w:sz w:val="22"/>
          <w:szCs w:val="22"/>
          <w:highlight w:val="none"/>
          <w:lang w:bidi="ar"/>
        </w:rPr>
        <w:t>日</w:t>
      </w:r>
      <w:r>
        <w:rPr>
          <w:rFonts w:hint="eastAsia" w:ascii="仿宋" w:hAnsi="仿宋" w:eastAsia="仿宋" w:cs="仿宋"/>
          <w:color w:val="auto"/>
          <w:sz w:val="22"/>
          <w:szCs w:val="22"/>
          <w:highlight w:val="none"/>
          <w:lang w:eastAsia="zh-CN" w:bidi="ar"/>
        </w:rPr>
        <w:t>上午</w:t>
      </w:r>
      <w:r>
        <w:rPr>
          <w:rFonts w:hint="eastAsia" w:ascii="仿宋" w:hAnsi="仿宋" w:eastAsia="仿宋" w:cs="仿宋"/>
          <w:color w:val="auto"/>
          <w:sz w:val="22"/>
          <w:szCs w:val="22"/>
          <w:highlight w:val="none"/>
          <w:lang w:val="en-US" w:eastAsia="zh-CN" w:bidi="ar"/>
        </w:rPr>
        <w:t>10:00:00</w:t>
      </w:r>
      <w:r>
        <w:rPr>
          <w:rFonts w:hint="eastAsia" w:ascii="仿宋" w:hAnsi="仿宋" w:eastAsia="仿宋" w:cs="仿宋"/>
          <w:color w:val="auto"/>
          <w:sz w:val="22"/>
          <w:szCs w:val="22"/>
          <w:highlight w:val="none"/>
          <w:lang w:bidi="ar"/>
        </w:rPr>
        <w:t>，由会议主持人宣布定标会议开始。</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六、项目负责代表向监督部门代表送交投标文件，监督部门代表确认投标文件密封完整，未密封投标文件将作为无效投标。</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七、由监督部门代表现场拆封投标文件，并分发给评审委员会成员。</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八、评审委员会审查供应商的投标文件，工作人员记录审查的情况。</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九、评审委员会按以下工作程序进行：</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1.评标委员会对各供应商的投标文件进行初审，对未能通过初审的投标文件作投标无效处理。</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2.对通过初审的供应商的投标文件进行详细的比较和评价。如需要，进行必要的澄清/说明工作。</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3.根据参与投标且符合招标文件要求的供应商数量情况，确定本项目的评审方法。</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4.采用综合评分法的情况：评审委员会将分别对供应商递交的投标文件进行评审。</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（1）评审委员会将根据供应商的服务能力、成果的质量、是否满足本次采购的商务条件、报价等方面的情况进行综合评价，评标委员会依据得分情况推荐综合得分第一名</w:t>
      </w:r>
      <w:r>
        <w:rPr>
          <w:rFonts w:hint="eastAsia" w:ascii="仿宋" w:hAnsi="仿宋" w:eastAsia="仿宋" w:cs="仿宋"/>
          <w:color w:val="auto"/>
          <w:sz w:val="22"/>
          <w:szCs w:val="22"/>
          <w:highlight w:val="none"/>
          <w:lang w:eastAsia="zh-CN" w:bidi="ar"/>
        </w:rPr>
        <w:t>及第二名</w:t>
      </w:r>
      <w:r>
        <w:rPr>
          <w:rFonts w:hint="eastAsia" w:ascii="仿宋" w:hAnsi="仿宋" w:eastAsia="仿宋" w:cs="仿宋"/>
          <w:color w:val="auto"/>
          <w:sz w:val="22"/>
          <w:szCs w:val="22"/>
          <w:highlight w:val="none"/>
          <w:lang w:bidi="ar"/>
        </w:rPr>
        <w:t>的供应商为中标候选人；</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（2）如果二个及以上供应商的综合评分相同时，取投标价格低者。综合评分和投标报价均相同的并列。投标文件满足招标文件全部实质性要求，且按照评审因素的量化指标评审得分最高</w:t>
      </w:r>
      <w:r>
        <w:rPr>
          <w:rFonts w:hint="eastAsia" w:ascii="仿宋" w:hAnsi="仿宋" w:eastAsia="仿宋" w:cs="仿宋"/>
          <w:color w:val="auto"/>
          <w:sz w:val="22"/>
          <w:szCs w:val="22"/>
          <w:highlight w:val="none"/>
          <w:lang w:eastAsia="zh-CN" w:bidi="ar"/>
        </w:rPr>
        <w:t>前两家</w:t>
      </w:r>
      <w:r>
        <w:rPr>
          <w:rFonts w:hint="eastAsia" w:ascii="仿宋" w:hAnsi="仿宋" w:eastAsia="仿宋" w:cs="仿宋"/>
          <w:color w:val="auto"/>
          <w:sz w:val="22"/>
          <w:szCs w:val="22"/>
          <w:highlight w:val="none"/>
          <w:lang w:bidi="ar"/>
        </w:rPr>
        <w:t>的供应商为第一</w:t>
      </w:r>
      <w:r>
        <w:rPr>
          <w:rFonts w:hint="eastAsia" w:ascii="仿宋" w:hAnsi="仿宋" w:eastAsia="仿宋" w:cs="仿宋"/>
          <w:color w:val="auto"/>
          <w:sz w:val="22"/>
          <w:szCs w:val="22"/>
          <w:highlight w:val="none"/>
          <w:lang w:eastAsia="zh-CN" w:bidi="ar"/>
        </w:rPr>
        <w:t>、第二</w:t>
      </w:r>
      <w:r>
        <w:rPr>
          <w:rFonts w:hint="eastAsia" w:ascii="仿宋" w:hAnsi="仿宋" w:eastAsia="仿宋" w:cs="仿宋"/>
          <w:color w:val="auto"/>
          <w:sz w:val="22"/>
          <w:szCs w:val="22"/>
          <w:highlight w:val="none"/>
          <w:lang w:bidi="ar"/>
        </w:rPr>
        <w:t>的中标候选人。</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5.如参与投标且符合招标文件要求的供应商仅有</w:t>
      </w:r>
      <w:r>
        <w:rPr>
          <w:rFonts w:hint="eastAsia" w:ascii="仿宋" w:hAnsi="仿宋" w:eastAsia="仿宋" w:cs="仿宋"/>
          <w:color w:val="auto"/>
          <w:sz w:val="22"/>
          <w:szCs w:val="22"/>
          <w:highlight w:val="none"/>
          <w:lang w:val="en-US" w:eastAsia="zh-CN" w:bidi="ar"/>
        </w:rPr>
        <w:t>两</w:t>
      </w:r>
      <w:r>
        <w:rPr>
          <w:rFonts w:hint="eastAsia" w:ascii="仿宋" w:hAnsi="仿宋" w:eastAsia="仿宋" w:cs="仿宋"/>
          <w:color w:val="auto"/>
          <w:sz w:val="22"/>
          <w:szCs w:val="22"/>
          <w:highlight w:val="none"/>
          <w:lang w:bidi="ar"/>
        </w:rPr>
        <w:t>家，评审委员会应与投标供应商进行谈判，谈判按以下工作程序进行：</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（1）供应商在谈判时由项目负责人与评审委员会进行谈判；</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（2）原则上成交价应在最初报价基础上自动下浮5%；</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（3）评审委员会在谈判环节确定本项目最后的方案和承诺的内容，确定符合本次采购要求。如经谈判，供应商无法对招标实质性要求作出完全的响应，该供应商将被要求退出本次谈判，项目招标失败。</w:t>
      </w:r>
    </w:p>
    <w:p>
      <w:pPr>
        <w:snapToGrid w:val="0"/>
        <w:spacing w:line="360" w:lineRule="auto"/>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6.评审委员会按照本项目招标文件中规定的评标方法确定中标供应商。</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十、根据本次采购的结果，十五天内与中标供应商签订合同。</w:t>
      </w:r>
    </w:p>
    <w:p>
      <w:pPr>
        <w:spacing w:line="400" w:lineRule="exact"/>
        <w:rPr>
          <w:rFonts w:hint="eastAsia" w:ascii="仿宋" w:hAnsi="仿宋" w:eastAsia="仿宋" w:cs="仿宋"/>
          <w:color w:val="auto"/>
          <w:sz w:val="24"/>
          <w:highlight w:val="none"/>
        </w:rPr>
      </w:pPr>
    </w:p>
    <w:p>
      <w:pPr>
        <w:spacing w:line="400" w:lineRule="exact"/>
        <w:rPr>
          <w:rFonts w:hint="eastAsia" w:ascii="仿宋" w:hAnsi="仿宋" w:eastAsia="仿宋" w:cs="仿宋"/>
          <w:color w:val="auto"/>
          <w:sz w:val="24"/>
          <w:highlight w:val="none"/>
        </w:rPr>
      </w:pPr>
    </w:p>
    <w:p>
      <w:pPr>
        <w:spacing w:line="400" w:lineRule="exact"/>
        <w:rPr>
          <w:rFonts w:hint="eastAsia" w:ascii="仿宋" w:hAnsi="仿宋" w:eastAsia="仿宋" w:cs="仿宋"/>
          <w:color w:val="auto"/>
          <w:sz w:val="24"/>
          <w:highlight w:val="none"/>
        </w:rPr>
      </w:pPr>
    </w:p>
    <w:p>
      <w:pPr>
        <w:spacing w:line="400" w:lineRule="exact"/>
        <w:rPr>
          <w:rFonts w:hint="eastAsia" w:ascii="仿宋" w:hAnsi="仿宋" w:eastAsia="仿宋" w:cs="仿宋"/>
          <w:color w:val="auto"/>
          <w:sz w:val="24"/>
          <w:highlight w:val="none"/>
        </w:rPr>
      </w:pPr>
    </w:p>
    <w:p>
      <w:pPr>
        <w:pStyle w:val="5"/>
        <w:tabs>
          <w:tab w:val="left" w:pos="3150"/>
        </w:tabs>
        <w:jc w:val="center"/>
        <w:rPr>
          <w:rStyle w:val="22"/>
          <w:rFonts w:hint="eastAsia" w:ascii="仿宋" w:hAnsi="仿宋" w:eastAsia="仿宋" w:cs="仿宋"/>
          <w:b/>
          <w:color w:val="auto"/>
          <w:sz w:val="30"/>
          <w:szCs w:val="30"/>
          <w:highlight w:val="none"/>
        </w:rPr>
      </w:pPr>
      <w:bookmarkStart w:id="13" w:name="_Toc27704"/>
      <w:bookmarkStart w:id="14" w:name="_Toc31999"/>
      <w:bookmarkStart w:id="15" w:name="_Toc8706"/>
      <w:r>
        <w:rPr>
          <w:rFonts w:hint="eastAsia" w:ascii="仿宋" w:hAnsi="仿宋" w:eastAsia="仿宋" w:cs="仿宋"/>
          <w:bCs/>
          <w:color w:val="auto"/>
          <w:sz w:val="28"/>
          <w:szCs w:val="28"/>
          <w:highlight w:val="none"/>
        </w:rPr>
        <w:br w:type="page"/>
      </w:r>
      <w:r>
        <w:rPr>
          <w:rFonts w:hint="eastAsia" w:ascii="仿宋" w:hAnsi="仿宋" w:eastAsia="仿宋" w:cs="仿宋"/>
          <w:bCs/>
          <w:color w:val="auto"/>
          <w:sz w:val="28"/>
          <w:szCs w:val="28"/>
          <w:highlight w:val="none"/>
        </w:rPr>
        <w:t>第四章</w:t>
      </w:r>
      <w:bookmarkEnd w:id="13"/>
      <w:bookmarkEnd w:id="14"/>
      <w:bookmarkEnd w:id="15"/>
      <w:bookmarkStart w:id="16" w:name="_Toc30454_WPSOffice_Level1"/>
      <w:r>
        <w:rPr>
          <w:rStyle w:val="22"/>
          <w:rFonts w:hint="eastAsia" w:ascii="仿宋" w:hAnsi="仿宋" w:eastAsia="仿宋" w:cs="仿宋"/>
          <w:b/>
          <w:color w:val="auto"/>
          <w:sz w:val="30"/>
          <w:szCs w:val="30"/>
          <w:highlight w:val="none"/>
        </w:rPr>
        <w:t xml:space="preserve"> 合同</w:t>
      </w:r>
      <w:bookmarkEnd w:id="16"/>
    </w:p>
    <w:p>
      <w:pPr>
        <w:snapToGrid w:val="0"/>
        <w:spacing w:line="360" w:lineRule="auto"/>
        <w:jc w:val="right"/>
        <w:rPr>
          <w:rFonts w:hint="eastAsia" w:ascii="仿宋" w:hAnsi="仿宋" w:eastAsia="仿宋" w:cs="仿宋"/>
          <w:color w:val="auto"/>
          <w:szCs w:val="21"/>
          <w:highlight w:val="none"/>
          <w:lang w:bidi="ar"/>
        </w:rPr>
      </w:pPr>
    </w:p>
    <w:p>
      <w:pPr>
        <w:bidi w:val="0"/>
        <w:jc w:val="center"/>
        <w:rPr>
          <w:rFonts w:hint="eastAsia" w:ascii="仿宋" w:hAnsi="仿宋" w:eastAsia="仿宋" w:cs="仿宋"/>
          <w:color w:val="auto"/>
          <w:sz w:val="20"/>
          <w:szCs w:val="22"/>
          <w:highlight w:val="none"/>
        </w:rPr>
      </w:pPr>
      <w:r>
        <w:rPr>
          <w:rFonts w:hint="eastAsia" w:ascii="仿宋" w:hAnsi="仿宋" w:eastAsia="仿宋" w:cs="仿宋"/>
          <w:b/>
          <w:bCs/>
          <w:color w:val="auto"/>
          <w:sz w:val="28"/>
          <w:szCs w:val="36"/>
          <w:highlight w:val="none"/>
          <w:lang w:eastAsia="zh-CN"/>
        </w:rPr>
        <w:t>2021年前海办公用房租金评估项目</w:t>
      </w:r>
      <w:r>
        <w:rPr>
          <w:rFonts w:hint="eastAsia" w:ascii="仿宋" w:hAnsi="仿宋" w:eastAsia="仿宋" w:cs="仿宋"/>
          <w:b/>
          <w:bCs/>
          <w:color w:val="auto"/>
          <w:sz w:val="28"/>
          <w:szCs w:val="36"/>
          <w:highlight w:val="none"/>
        </w:rPr>
        <w:t>合同</w:t>
      </w:r>
    </w:p>
    <w:p>
      <w:pPr>
        <w:spacing w:line="360" w:lineRule="auto"/>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（参考文本，在双方沟通达成一致时，可对非实质性内容进行优化）</w:t>
      </w:r>
    </w:p>
    <w:p>
      <w:pPr>
        <w:shd w:val="clear" w:color="auto" w:fill="FFFFFF"/>
        <w:tabs>
          <w:tab w:val="left" w:pos="180"/>
        </w:tabs>
        <w:adjustRightInd w:val="0"/>
        <w:snapToGrid w:val="0"/>
        <w:jc w:val="right"/>
        <w:rPr>
          <w:rFonts w:hint="eastAsia" w:ascii="仿宋" w:hAnsi="仿宋" w:eastAsia="仿宋" w:cs="仿宋"/>
          <w:bCs/>
          <w:color w:val="auto"/>
          <w:szCs w:val="21"/>
          <w:highlight w:val="none"/>
        </w:rPr>
      </w:pPr>
    </w:p>
    <w:p>
      <w:pPr>
        <w:shd w:val="clear" w:color="auto" w:fill="FFFFFF"/>
        <w:tabs>
          <w:tab w:val="left" w:pos="180"/>
        </w:tabs>
        <w:adjustRightInd w:val="0"/>
        <w:snapToGrid w:val="0"/>
        <w:spacing w:line="440" w:lineRule="exact"/>
        <w:jc w:val="right"/>
        <w:rPr>
          <w:rFonts w:hint="eastAsia" w:ascii="仿宋" w:hAnsi="仿宋" w:eastAsia="仿宋" w:cs="仿宋"/>
          <w:color w:val="auto"/>
          <w:szCs w:val="21"/>
          <w:highlight w:val="none"/>
        </w:rPr>
      </w:pP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甲方：深圳市前海深港现代服务业合作区管理局</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乙方： </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 </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地址： </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根据《中华人民共和国民法典》等法律、法规的相关规定，经友好协商，各方就甲方委托乙方承担《</w:t>
      </w:r>
      <w:r>
        <w:rPr>
          <w:rFonts w:hint="eastAsia" w:ascii="仿宋" w:hAnsi="仿宋" w:eastAsia="仿宋" w:cs="仿宋"/>
          <w:color w:val="auto"/>
          <w:szCs w:val="21"/>
          <w:highlight w:val="none"/>
          <w:lang w:eastAsia="zh-CN"/>
        </w:rPr>
        <w:t>2021年前海办公用房租金评估项目</w:t>
      </w:r>
      <w:r>
        <w:rPr>
          <w:rFonts w:hint="eastAsia" w:ascii="仿宋" w:hAnsi="仿宋" w:eastAsia="仿宋" w:cs="仿宋"/>
          <w:color w:val="auto"/>
          <w:szCs w:val="21"/>
          <w:highlight w:val="none"/>
        </w:rPr>
        <w:t>》项目（以下简称“本项目”）工作事宜达成一致，约定如下：</w:t>
      </w:r>
    </w:p>
    <w:p>
      <w:pPr>
        <w:shd w:val="clear" w:color="auto" w:fill="FFFFFF"/>
        <w:adjustRightInd w:val="0"/>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第一条 项目内容</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主要工作内容包括对前海合作区内的</w:t>
      </w:r>
      <w:r>
        <w:rPr>
          <w:rFonts w:hint="eastAsia" w:ascii="仿宋" w:hAnsi="仿宋" w:eastAsia="仿宋" w:cs="仿宋"/>
          <w:color w:val="auto"/>
          <w:szCs w:val="21"/>
          <w:highlight w:val="none"/>
          <w:lang w:val="en-US" w:eastAsia="zh-CN"/>
        </w:rPr>
        <w:t>30个</w:t>
      </w:r>
      <w:r>
        <w:rPr>
          <w:rFonts w:hint="eastAsia" w:ascii="仿宋" w:hAnsi="仿宋" w:eastAsia="仿宋" w:cs="仿宋"/>
          <w:color w:val="auto"/>
          <w:szCs w:val="21"/>
          <w:highlight w:val="none"/>
        </w:rPr>
        <w:t>办公用房项目进行2021年度租金价格评估，并负责解释、答疑。</w:t>
      </w:r>
    </w:p>
    <w:p>
      <w:pPr>
        <w:shd w:val="clear" w:color="auto" w:fill="FFFFFF"/>
        <w:adjustRightInd w:val="0"/>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第二条 项目服务要求</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前海合作区内需评估的办公用房项目进行物业查勘、市场调研，并科学合理建立评估模型；以项目为单位，根据项目实际情况，评估项目市场租金，并出具市场评估租金报告。公开发布相关项目市场评估租金，并根据需要进行解释、答疑。</w:t>
      </w:r>
    </w:p>
    <w:p>
      <w:pPr>
        <w:shd w:val="clear" w:color="auto" w:fill="auto"/>
        <w:spacing w:line="360" w:lineRule="auto"/>
        <w:ind w:firstLine="42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拟对2021年前海合作区原区域（15平方公里）内办公用房租金价格进行评估，主要涉及前海卓越金融中心、基金小镇、华润金融中心、景兴海上广场、景兴海上大厦、弘毅大厦、前海大厦、企业公馆、创新中心、嘉里中心、世茂金融中心、信利康大厦、香江金融大厦、香缤大厦、自贸大厦、招商海运中心、顺丰总部大厦、文创小镇一期、招商前海经贸中心、深国际前海颐都大厦等</w:t>
      </w:r>
      <w:r>
        <w:rPr>
          <w:rFonts w:hint="eastAsia" w:ascii="仿宋" w:hAnsi="仿宋" w:eastAsia="仿宋" w:cs="仿宋"/>
          <w:color w:val="auto"/>
          <w:szCs w:val="21"/>
          <w:highlight w:val="none"/>
          <w:lang w:val="en-US" w:eastAsia="zh-CN"/>
        </w:rPr>
        <w:t>30栋办公</w:t>
      </w:r>
      <w:r>
        <w:rPr>
          <w:rFonts w:hint="eastAsia" w:ascii="仿宋" w:hAnsi="仿宋" w:eastAsia="仿宋" w:cs="仿宋"/>
          <w:color w:val="auto"/>
          <w:szCs w:val="21"/>
          <w:highlight w:val="none"/>
        </w:rPr>
        <w:t>楼宇</w:t>
      </w:r>
      <w:r>
        <w:rPr>
          <w:rFonts w:hint="eastAsia" w:ascii="仿宋" w:hAnsi="仿宋" w:eastAsia="仿宋" w:cs="仿宋"/>
          <w:color w:val="auto"/>
          <w:szCs w:val="21"/>
          <w:highlight w:val="none"/>
          <w:lang w:eastAsia="zh-CN"/>
        </w:rPr>
        <w:t>，评估租金要求按楼层给出数据。</w:t>
      </w:r>
    </w:p>
    <w:p>
      <w:pPr>
        <w:shd w:val="clear" w:color="auto" w:fill="FFFFFF"/>
        <w:adjustRightInd w:val="0"/>
        <w:snapToGrid w:val="0"/>
        <w:spacing w:line="440" w:lineRule="exact"/>
        <w:ind w:firstLine="422" w:firstLineChars="200"/>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第三条 人员及管理要求</w:t>
      </w:r>
    </w:p>
    <w:p>
      <w:pPr>
        <w:shd w:val="clear" w:color="auto" w:fill="auto"/>
        <w:spacing w:line="360" w:lineRule="auto"/>
        <w:ind w:firstLine="42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一</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人员要求</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1.人员配备要求：供应商应指派</w:t>
      </w:r>
      <w:r>
        <w:rPr>
          <w:rFonts w:hint="eastAsia" w:ascii="仿宋" w:hAnsi="仿宋" w:eastAsia="仿宋" w:cs="仿宋"/>
          <w:color w:val="auto"/>
          <w:szCs w:val="21"/>
          <w:highlight w:val="none"/>
          <w:lang w:eastAsia="zh-CN"/>
        </w:rPr>
        <w:t>不少于</w:t>
      </w:r>
      <w:r>
        <w:rPr>
          <w:rFonts w:hint="eastAsia" w:ascii="仿宋" w:hAnsi="仿宋" w:eastAsia="仿宋" w:cs="仿宋"/>
          <w:color w:val="auto"/>
          <w:szCs w:val="21"/>
          <w:highlight w:val="none"/>
          <w:lang w:val="en-US" w:eastAsia="zh-CN"/>
        </w:rPr>
        <w:t>5名团队</w:t>
      </w:r>
      <w:r>
        <w:rPr>
          <w:rFonts w:hint="eastAsia" w:ascii="仿宋" w:hAnsi="仿宋" w:eastAsia="仿宋" w:cs="仿宋"/>
          <w:color w:val="auto"/>
          <w:szCs w:val="21"/>
          <w:highlight w:val="none"/>
        </w:rPr>
        <w:t>人员，配合</w:t>
      </w:r>
      <w:r>
        <w:rPr>
          <w:rFonts w:hint="eastAsia" w:ascii="仿宋" w:hAnsi="仿宋" w:eastAsia="仿宋" w:cs="仿宋"/>
          <w:color w:val="auto"/>
          <w:szCs w:val="21"/>
          <w:highlight w:val="none"/>
          <w:lang w:val="en-US" w:eastAsia="zh-CN"/>
        </w:rPr>
        <w:t>甲</w:t>
      </w:r>
      <w:r>
        <w:rPr>
          <w:rFonts w:hint="eastAsia" w:ascii="仿宋" w:hAnsi="仿宋" w:eastAsia="仿宋" w:cs="仿宋"/>
          <w:color w:val="auto"/>
          <w:szCs w:val="21"/>
          <w:highlight w:val="none"/>
        </w:rPr>
        <w:t>方开展项目全过程管理。</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2.人员资质要求：至少3名人员具有租金评估资质，且有租金价格评估工作经验；身体健康，沟通能力强，有责任心，有较高的职业素养和敬业精神。</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3.在服务期限内，项目人员应相对稳定，中标方不得随意更换项目负责人和项目组成员，及减少项目团队人数，或降低项目团队标准。若团队成员更换，须经</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书面同意后方可更换。</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4.中标方应在合同签订后5个工作日内按</w:t>
      </w:r>
      <w:r>
        <w:rPr>
          <w:rFonts w:hint="eastAsia" w:ascii="仿宋" w:hAnsi="仿宋" w:eastAsia="仿宋" w:cs="仿宋"/>
          <w:color w:val="auto"/>
          <w:highlight w:val="none"/>
        </w:rPr>
        <w:t>甲</w:t>
      </w:r>
      <w:r>
        <w:rPr>
          <w:rFonts w:hint="eastAsia" w:ascii="仿宋" w:hAnsi="仿宋" w:eastAsia="仿宋" w:cs="仿宋"/>
          <w:color w:val="auto"/>
          <w:szCs w:val="21"/>
          <w:highlight w:val="none"/>
        </w:rPr>
        <w:t>方要求安排人员到岗开展服务工作，否则，每超期1天处以5000元/人次</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日的违约金；若超期5天仍未按招标方要求安排人员到岗开展服务工作，采购方有权解除合同。若甲方根据工作需求提出更换团队服务人员的，中标方在10个工作日内未更换或拒不更换人员，采购方有权解除合同。</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5.本项目服务团队人员不得有下列情形之一：</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5.1受过刑事处罚或者涉嫌违法犯罪尚未查清的。</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5.2曾被行政拘留或者有吸毒史的。</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5.3因违规违纪被机关、事业单位开除、辞退的。</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5.4有个人不良信用记录的。</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5.5曾参加过非法组织、邪教组织或危害国家安全活动的。</w:t>
      </w:r>
    </w:p>
    <w:p>
      <w:pPr>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二</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项目管理要求</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1.中标方应指定一名团队负责人与甲方做好工作业务沟通对接、人员管理工作。</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2.投入项目的团队成员工作时间应与甲方上班时间保持一致，不得无故缺勤，不得违反采购方单位工作纪律。</w:t>
      </w:r>
    </w:p>
    <w:p>
      <w:pPr>
        <w:pStyle w:val="2"/>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3.如需派驻，甲方应为派驻人员提供必要的工作条件及设施。</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（三）项目服务期限</w:t>
      </w:r>
    </w:p>
    <w:p>
      <w:pPr>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项目服务期限原则上为自合同签订之日起一年内。</w:t>
      </w:r>
    </w:p>
    <w:p>
      <w:pPr>
        <w:shd w:val="clear" w:color="auto" w:fill="FFFFFF"/>
        <w:adjustRightInd w:val="0"/>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第四条 合同费用及付款方式</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（一）合同费用</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本合同金额（含税费）共计人民币     万元整(￥    )。服务费已包含乙方提供本合同项下服务的全部费用，包括但不限于如下内容：</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1.乙方为甲方所提供的所有服务和技术支持费用；</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2.乙方工作人员工资、差旅费；</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.乙方的办公、通讯、交通费用；</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.项目材料统计、分析费用；</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.项目成果文本印刷费用；</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.乙方以各种方式将文件资料发送至甲方的费用；</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.本合同项下产生的一切税费;</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.本合同项下产生的其他合理费用。</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（二）支付方式</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合同价款由甲方分3期支付至乙方指定银行账户：</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首期：本合同签订后</w:t>
      </w:r>
      <w:r>
        <w:rPr>
          <w:rFonts w:hint="eastAsia" w:ascii="仿宋" w:hAnsi="仿宋" w:eastAsia="仿宋" w:cs="仿宋"/>
          <w:color w:val="auto"/>
          <w:szCs w:val="21"/>
          <w:highlight w:val="none"/>
          <w:lang w:eastAsia="zh-CN"/>
        </w:rPr>
        <w:t>，乙方接到甲方开账通知的</w:t>
      </w:r>
      <w:r>
        <w:rPr>
          <w:rFonts w:hint="eastAsia" w:ascii="仿宋" w:hAnsi="仿宋" w:eastAsia="仿宋" w:cs="仿宋"/>
          <w:color w:val="auto"/>
          <w:szCs w:val="21"/>
          <w:highlight w:val="none"/>
        </w:rPr>
        <w:t>15个工作日内，乙方向甲方提出付款申请，甲方向乙方支付合同总价款的30%；</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第2期：乙方完成提交送审成果，乙方向甲方提出付款申请，甲方向乙方支付总价款的50%；</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第3期：甲方在完成租金评估价格公示后15个工作日内，乙方向甲方提出付款申请，甲方向乙方支付总价款的20%。</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上述每期款项均在满足付款条件，且甲方收到乙方开具的载明相应金额的合格发票后15个工作日内付至乙方指定银行账户。如未及时收到发票，则甲方相应付款时间顺延。</w:t>
      </w:r>
      <w:r>
        <w:rPr>
          <w:rFonts w:hint="eastAsia" w:ascii="仿宋" w:hAnsi="仿宋" w:eastAsia="仿宋" w:cs="仿宋"/>
          <w:color w:val="auto"/>
          <w:kern w:val="0"/>
          <w:szCs w:val="21"/>
          <w:highlight w:val="none"/>
        </w:rPr>
        <w:t>若因甲方付款审批影响支付进度，请乙方予以谅解，并不得就此向甲方索赔。</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开户名：</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lang w:eastAsia="zh-CN"/>
        </w:rPr>
        <w:t>账号</w:t>
      </w:r>
      <w:r>
        <w:rPr>
          <w:rFonts w:hint="eastAsia" w:ascii="仿宋" w:hAnsi="仿宋" w:eastAsia="仿宋" w:cs="仿宋"/>
          <w:color w:val="auto"/>
          <w:szCs w:val="21"/>
          <w:highlight w:val="none"/>
        </w:rPr>
        <w:t>：</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开户银行地址：</w:t>
      </w:r>
    </w:p>
    <w:p>
      <w:pPr>
        <w:widowControl/>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kern w:val="0"/>
          <w:szCs w:val="21"/>
          <w:highlight w:val="none"/>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pPr>
        <w:shd w:val="clear" w:color="auto" w:fill="FFFFFF"/>
        <w:adjustRightInd w:val="0"/>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第五条 双方的权利义务</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（一）甲方的权利和义务</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1.甲方有权向乙方询问项目工作进展及相关情况，并要求乙方在合理时间内做出答复。</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2.甲方有权对乙方提交的阶段性成果、最终成果送审稿等相关文件进行审核并提出修改意见。</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Hans"/>
        </w:rPr>
        <w:t>甲方有权</w:t>
      </w:r>
      <w:r>
        <w:rPr>
          <w:rFonts w:hint="eastAsia" w:ascii="仿宋" w:hAnsi="仿宋" w:eastAsia="仿宋" w:cs="仿宋"/>
          <w:color w:val="auto"/>
          <w:sz w:val="21"/>
          <w:szCs w:val="21"/>
          <w:highlight w:val="none"/>
        </w:rPr>
        <w:t>检查乙方研究人员到位情况，如因人力、能力不足致使研究工作不能按计划完成时，可要求乙方增加或替换相应的人员，直至甲方认可，乙方不得拒绝。</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4.甲方对乙方在委托权限范围内完成委托事项提供必要的配合和支持，应为乙方在深圳开展调研出具函件联系相关部门协助开展工作，对于乙方遵照学术规律开展的研究活动不得无理由干涉。</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 甲方在不违反相关法律法规及自身纪律前提下，应为乙方开展调研提供必要的支持协助。应将服务项目所需相关资料、案例、数据等提供给乙方，确保所提供材料的准确性、真实性，确保不涉密。</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6.甲方应按照本合同的约定向乙方支付费用。</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7.甲方对乙方在委托权限范围内完成委托事项有指导、监督权利。</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r>
        <w:rPr>
          <w:rFonts w:hint="eastAsia" w:ascii="仿宋" w:hAnsi="仿宋" w:eastAsia="仿宋" w:cs="仿宋"/>
          <w:color w:val="auto"/>
          <w:sz w:val="21"/>
          <w:szCs w:val="21"/>
          <w:highlight w:val="none"/>
        </w:rPr>
        <w:t>甲方有权要求乙方全面履行合同。甲方不接受部分履行，如本合同项下部分成果文件未能按时交付则视为整体延误。</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9．甲方指定项目联系人：</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姓名：</w:t>
      </w:r>
      <w:r>
        <w:rPr>
          <w:rFonts w:hint="eastAsia" w:ascii="仿宋" w:hAnsi="仿宋" w:eastAsia="仿宋" w:cs="仿宋"/>
          <w:color w:val="auto"/>
          <w:szCs w:val="21"/>
          <w:highlight w:val="none"/>
          <w:lang w:eastAsia="zh-CN"/>
        </w:rPr>
        <w:t>柯女士</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lang w:val="en-US" w:eastAsia="zh-CN"/>
        </w:rPr>
        <w:t>88105382</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（二）乙方的权利和义务</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保证项目成果的质量，乙方在合同履行期间，应按照服务内容要求组织专家队伍，成立项目团队（团队成员名单见附件），并保障项目团队成员到位，确保服务项目按照合同顺利进行，并在工作结束后及时组织专家论证。</w:t>
      </w:r>
      <w:r>
        <w:rPr>
          <w:rFonts w:hint="eastAsia" w:ascii="仿宋" w:hAnsi="仿宋" w:eastAsia="仿宋" w:cs="仿宋"/>
          <w:color w:val="auto"/>
          <w:highlight w:val="none"/>
        </w:rPr>
        <w:t>项目团队成员应不少于</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人（不含项目负责人），</w:t>
      </w:r>
      <w:r>
        <w:rPr>
          <w:rFonts w:hint="eastAsia" w:ascii="仿宋" w:hAnsi="仿宋" w:eastAsia="仿宋" w:cs="仿宋"/>
          <w:color w:val="auto"/>
          <w:szCs w:val="21"/>
          <w:highlight w:val="none"/>
        </w:rPr>
        <w:t>负责人及相关工作人员名单在甲方确认后如需更换，乙方应事先征得甲方的书面同意，且接替的工作人员的职位、资历、资质应与原定工作人员相当。如</w:t>
      </w:r>
      <w:r>
        <w:rPr>
          <w:rFonts w:hint="eastAsia" w:ascii="仿宋" w:hAnsi="仿宋" w:eastAsia="仿宋" w:cs="仿宋"/>
          <w:color w:val="auto"/>
          <w:szCs w:val="21"/>
          <w:highlight w:val="none"/>
          <w:lang w:val="en-US" w:eastAsia="zh-Hans"/>
        </w:rPr>
        <w:t>乙方</w:t>
      </w:r>
      <w:r>
        <w:rPr>
          <w:rFonts w:hint="eastAsia" w:ascii="仿宋" w:hAnsi="仿宋" w:eastAsia="仿宋" w:cs="仿宋"/>
          <w:color w:val="auto"/>
          <w:szCs w:val="21"/>
          <w:highlight w:val="none"/>
        </w:rPr>
        <w:t>不经</w:t>
      </w:r>
      <w:r>
        <w:rPr>
          <w:rFonts w:hint="eastAsia" w:ascii="仿宋" w:hAnsi="仿宋" w:eastAsia="仿宋" w:cs="仿宋"/>
          <w:color w:val="auto"/>
          <w:szCs w:val="21"/>
          <w:highlight w:val="none"/>
          <w:lang w:val="en-US" w:eastAsia="zh-Hans"/>
        </w:rPr>
        <w:t>甲方</w:t>
      </w:r>
      <w:r>
        <w:rPr>
          <w:rFonts w:hint="eastAsia" w:ascii="仿宋" w:hAnsi="仿宋" w:eastAsia="仿宋" w:cs="仿宋"/>
          <w:color w:val="auto"/>
          <w:szCs w:val="21"/>
          <w:highlight w:val="none"/>
        </w:rPr>
        <w:t>同意擅自更换，</w:t>
      </w:r>
      <w:r>
        <w:rPr>
          <w:rFonts w:hint="eastAsia" w:ascii="仿宋" w:hAnsi="仿宋" w:eastAsia="仿宋" w:cs="仿宋"/>
          <w:color w:val="auto"/>
          <w:szCs w:val="21"/>
          <w:highlight w:val="none"/>
          <w:lang w:val="en-US" w:eastAsia="zh-Hans"/>
        </w:rPr>
        <w:t>甲方</w:t>
      </w:r>
      <w:r>
        <w:rPr>
          <w:rFonts w:hint="eastAsia" w:ascii="仿宋" w:hAnsi="仿宋" w:eastAsia="仿宋" w:cs="仿宋"/>
          <w:color w:val="auto"/>
          <w:szCs w:val="21"/>
          <w:highlight w:val="none"/>
        </w:rPr>
        <w:t>有权解除合同或根据情节</w:t>
      </w:r>
      <w:r>
        <w:rPr>
          <w:rFonts w:hint="eastAsia" w:ascii="仿宋" w:hAnsi="仿宋" w:eastAsia="仿宋" w:cs="仿宋"/>
          <w:color w:val="auto"/>
          <w:szCs w:val="21"/>
          <w:highlight w:val="none"/>
          <w:lang w:val="en-US" w:eastAsia="zh-Hans"/>
        </w:rPr>
        <w:t>要求乙方支付</w:t>
      </w:r>
      <w:r>
        <w:rPr>
          <w:rFonts w:hint="eastAsia" w:ascii="仿宋" w:hAnsi="仿宋" w:eastAsia="仿宋" w:cs="仿宋"/>
          <w:color w:val="auto"/>
          <w:szCs w:val="21"/>
          <w:highlight w:val="none"/>
        </w:rPr>
        <w:t>5000元/</w:t>
      </w:r>
      <w:r>
        <w:rPr>
          <w:rFonts w:hint="eastAsia" w:ascii="仿宋" w:hAnsi="仿宋" w:eastAsia="仿宋" w:cs="仿宋"/>
          <w:color w:val="auto"/>
          <w:szCs w:val="21"/>
          <w:highlight w:val="none"/>
          <w:lang w:val="en-US" w:eastAsia="zh-Hans"/>
        </w:rPr>
        <w:t>人</w:t>
      </w:r>
      <w:r>
        <w:rPr>
          <w:rFonts w:hint="eastAsia" w:ascii="仿宋" w:hAnsi="仿宋" w:eastAsia="仿宋" w:cs="仿宋"/>
          <w:color w:val="auto"/>
          <w:szCs w:val="21"/>
          <w:highlight w:val="none"/>
        </w:rPr>
        <w:t>/次的</w:t>
      </w:r>
      <w:r>
        <w:rPr>
          <w:rFonts w:hint="eastAsia" w:ascii="仿宋" w:hAnsi="仿宋" w:eastAsia="仿宋" w:cs="仿宋"/>
          <w:color w:val="auto"/>
          <w:szCs w:val="21"/>
          <w:highlight w:val="none"/>
          <w:lang w:val="en-US" w:eastAsia="zh-Hans"/>
        </w:rPr>
        <w:t>违约金</w:t>
      </w:r>
      <w:r>
        <w:rPr>
          <w:rFonts w:hint="eastAsia" w:ascii="仿宋" w:hAnsi="仿宋" w:eastAsia="仿宋" w:cs="仿宋"/>
          <w:color w:val="auto"/>
          <w:szCs w:val="21"/>
          <w:highlight w:val="none"/>
        </w:rPr>
        <w:t>。</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乙方保证调查研究的方法科学合理，按本合同约定的内容、标准和期限完成项目工作，并按照甲方要求将完成委托事项的成果报告交给甲方。项目工作完成后，乙方应按照甲方要求将完成本项目的工作总结和相关台帐资料交给甲方。</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3.乙方应配合甲方验收人员的工作,对于验收过程中发现的问题，乙方应在发现问题</w:t>
      </w:r>
      <w:r>
        <w:rPr>
          <w:rFonts w:hint="eastAsia" w:ascii="仿宋" w:hAnsi="仿宋" w:eastAsia="仿宋" w:cs="仿宋"/>
          <w:color w:val="auto"/>
          <w:szCs w:val="21"/>
          <w:highlight w:val="none"/>
          <w:lang w:val="en-US" w:eastAsia="zh-CN"/>
        </w:rPr>
        <w:t>后立即整改，最晚不超过</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日内</w:t>
      </w:r>
      <w:r>
        <w:rPr>
          <w:rFonts w:hint="eastAsia" w:ascii="仿宋" w:hAnsi="仿宋" w:eastAsia="仿宋" w:cs="仿宋"/>
          <w:color w:val="auto"/>
          <w:szCs w:val="21"/>
          <w:highlight w:val="none"/>
        </w:rPr>
        <w:t>进行改正，以符合甲方的需要。</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4.乙方有维护甲方声誉的义务，乙方不能以甲方名义从事与本项目无关的任何事务。</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5.乙方应独立完成本项目。未经甲方书面同意，乙方不得向任何第三方全部或部分转让本项目。</w:t>
      </w:r>
    </w:p>
    <w:p>
      <w:pPr>
        <w:spacing w:line="440" w:lineRule="exact"/>
        <w:ind w:firstLine="472" w:firstLineChars="225"/>
        <w:rPr>
          <w:rFonts w:hint="eastAsia" w:ascii="仿宋" w:hAnsi="仿宋" w:eastAsia="仿宋" w:cs="仿宋"/>
          <w:color w:val="auto"/>
          <w:szCs w:val="21"/>
          <w:highlight w:val="none"/>
        </w:rPr>
      </w:pPr>
      <w:r>
        <w:rPr>
          <w:rFonts w:hint="eastAsia" w:ascii="仿宋" w:hAnsi="仿宋" w:eastAsia="仿宋" w:cs="仿宋"/>
          <w:color w:val="auto"/>
          <w:szCs w:val="21"/>
          <w:highlight w:val="none"/>
        </w:rPr>
        <w:t>6.乙方对其工作人员在协议履行期间的行为负责，期间发生的安全事故责任及因此发生的人身损害赔偿和其他费用由乙方自行承担，概与甲方无关。若因乙方工作人员的行为导致甲方支付赔偿或其他费用，乙方应当全部偿还给甲方。</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7.乙方应确保投标文件中提供的所有资料、信息真实、有效。</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8.乙方不得单独对外发布本项目任何成果。如必要，应提前征得甲方书面同意。</w:t>
      </w:r>
    </w:p>
    <w:p>
      <w:pPr>
        <w:pStyle w:val="2"/>
        <w:spacing w:line="44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9.本合同期满或提前解除、终止后，乙方应将甲方的档案资料、信息数据等交还甲方，并应销毁或删除所有备份。</w:t>
      </w:r>
    </w:p>
    <w:p>
      <w:pPr>
        <w:spacing w:line="44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10.针对甲方就乙方提交的工作报告等相关文件提出的修改意见，乙方应当在甲方指定的修改时间内完成修改。</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乙方指定项目联系人：</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w:t>
      </w:r>
    </w:p>
    <w:p>
      <w:pPr>
        <w:shd w:val="clear" w:color="auto" w:fill="FFFFFF"/>
        <w:adjustRightInd w:val="0"/>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第六条 成果权属与知识产权</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（一）本项目全部阶段性成果和最终成果的所有权、知识产权以及与之相关的所有权利归甲方所有；本合同签署前双方已经拥有的知识产权权利，仍归各自所有。</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（二）双方确定，甲方有权对乙方按照本合同约定提供的成果进行后续改进。由此产生的具有实质性或创造性技术进步特征的新的技术成果及其权利全部由甲方享有。</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（五）乙方完成本项目的研究人员享有在有关技术成果文件上署名的权利和与甲方共同获得有关荣誉证书、奖励的权利。</w:t>
      </w:r>
    </w:p>
    <w:p>
      <w:pPr>
        <w:shd w:val="clear" w:color="auto" w:fill="FFFFFF"/>
        <w:adjustRightInd w:val="0"/>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第七条 保密条款</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（三）乙方实施项目的程序应符合国家安全、保密的有关规定和标准。</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（四）上述保密义务不适用以下情况：</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1.获取的信息已被合法公开；</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2.获得信息拥有方书面许可并在该许可范围内披露；</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3.国家法律、法规规定的情形。</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如乙方违反上述保密条款，甲方有权解除本合同，乙方应在合同解除通知发出之日起10日内向甲方支付本合同服务费总金额20%的违约金，如果违约金无法弥补甲方损失，甲方保留要求乙方赔偿全部损失的权利。</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（六）无论本合同或本合同其他条款是否有效，本保密条款始终约束双方。国家秘密的保密期限由国家有关部门确定，工作秘密的保密期限由甲方确定。</w:t>
      </w:r>
    </w:p>
    <w:p>
      <w:pPr>
        <w:shd w:val="clear" w:color="auto" w:fill="FFFFFF"/>
        <w:adjustRightInd w:val="0"/>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第八条 合同解除</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（一）双方协商同意提前终止本协议的，按双方约定进行清算执行。</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（二）如果一方发生以下任一情形，另一方有权解除协议。当事方有义务在事由发生后15个工作日内以书面方式通知对方：</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1.破产、解散、被依法关闭、撤销或已进入清算阶段；</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2.出现了协议约定的或法定解除事由。</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3.有下列情形之一的，本协议自甲方向乙方发出书面通知之日起终止：</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（1）甲方的职能发生转变，不再具有委托职能。</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（2）本协议签订时适用的法律法规或政策发生变化，且对本协议的继续履行造成重大影响。</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发生以上情形，甲方已向乙方支付的款项不退还，同时乙方应向甲方提交在协议终止日前完成的所有项目文件和相关资料。</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4.如发生不可抗力，如行政命令、政策法规、罢工、禁运、战争、自然灾害（如洪水或地震）或其他超出协议双方控制的事件，致使一方无法履行协议，协议解除。</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协议所称不可抗力是指自然灾害、战争、地震突发事件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（2）发生不可抗力，甲乙双方承担各自的损失。由于其中一方延迟履行协议义务后发生不可抗力的，不能免除责任。</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（3）不可抗力事件导致一方无法履行协议义务或继续履行已无意义，由双方协商进行本协议的清算。</w:t>
      </w:r>
    </w:p>
    <w:p>
      <w:pPr>
        <w:shd w:val="clear" w:color="auto" w:fill="FFFFFF"/>
        <w:adjustRightInd w:val="0"/>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第九条 违约责任</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（一）如乙方未按照本合同约定的时间完成本项目各阶段工作，且未经甲方书面同意延长服务成果完成期限的，每迟延一日，甲方有权要求乙方支付本合同服务费总金额的1‰的逾期违约金。</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（1）乙方未能按合同约定的日期(含协商延缓的日期)提交各阶段成果或最终成果，延误时间超过15个工作日；</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（2）因乙方工作的错误或遗漏造成成果质量损失，</w:t>
      </w:r>
      <w:r>
        <w:rPr>
          <w:rFonts w:hint="eastAsia" w:ascii="仿宋" w:hAnsi="仿宋" w:eastAsia="仿宋" w:cs="仿宋"/>
          <w:color w:val="auto"/>
          <w:szCs w:val="21"/>
          <w:highlight w:val="none"/>
          <w:lang w:val="zh-CN"/>
        </w:rPr>
        <w:t>工作成果质量低劣，不能满足甲方工作需要和要求</w:t>
      </w:r>
      <w:r>
        <w:rPr>
          <w:rFonts w:hint="eastAsia" w:ascii="仿宋" w:hAnsi="仿宋" w:eastAsia="仿宋" w:cs="仿宋"/>
          <w:color w:val="auto"/>
          <w:szCs w:val="21"/>
          <w:highlight w:val="none"/>
        </w:rPr>
        <w:t>；</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（3）乙方虽如期提交最终成果，但连续二次未能通过甲方验收的；</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（4）未经甲方书面在先同意，乙方擅自将本合同项目与任何第三方合作，或将本合同标的全部或部分擅自转包或分包给任何第三方，且未按甲方的要求终止与第三方的合同的；</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（5）项目负责人未承担本合同项目实质性工作，或未经甲方书面在先同意，乙方擅自更换项目负责人的；</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（6）发现乙方或乙方工作人员出现全部或部分丧失履行委托服务能力的情况，甲方有权通知乙方限期整改或更换工作人员，期限届满乙方并未进行改善的；</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（7）乙方明确表示或者以自己的行为表明不履行本合同的。</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w:t>
      </w:r>
      <w:bookmarkStart w:id="17" w:name="_Hlk32923857"/>
      <w:r>
        <w:rPr>
          <w:rFonts w:hint="eastAsia" w:ascii="仿宋" w:hAnsi="仿宋" w:eastAsia="仿宋" w:cs="仿宋"/>
          <w:color w:val="auto"/>
          <w:szCs w:val="21"/>
          <w:highlight w:val="none"/>
        </w:rPr>
        <w:t>除因</w:t>
      </w:r>
      <w:r>
        <w:rPr>
          <w:rFonts w:hint="eastAsia" w:ascii="仿宋" w:hAnsi="仿宋" w:eastAsia="仿宋" w:cs="仿宋"/>
          <w:color w:val="auto"/>
          <w:kern w:val="0"/>
          <w:szCs w:val="21"/>
          <w:highlight w:val="none"/>
        </w:rPr>
        <w:t>甲方付款审批影响支付进度的情况外，</w:t>
      </w:r>
      <w:bookmarkEnd w:id="17"/>
      <w:r>
        <w:rPr>
          <w:rFonts w:hint="eastAsia" w:ascii="仿宋" w:hAnsi="仿宋" w:eastAsia="仿宋" w:cs="仿宋"/>
          <w:color w:val="auto"/>
          <w:szCs w:val="21"/>
          <w:highlight w:val="none"/>
        </w:rPr>
        <w:t>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（四）上述违约责任各自独立且可累加。如本合同所约定的违约金无法弥补因违约行为所造成的损失，违约方应补偿上述不足部分的损失。</w:t>
      </w:r>
    </w:p>
    <w:p>
      <w:pPr>
        <w:shd w:val="clear" w:color="auto" w:fill="FFFFFF"/>
        <w:adjustRightInd w:val="0"/>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第十条 争议解决</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执行本合同发生的争议，由甲乙双方协商解决。协商不成，双方可依法向深圳前海合作区人民法院起诉。</w:t>
      </w:r>
    </w:p>
    <w:p>
      <w:pPr>
        <w:shd w:val="clear" w:color="auto" w:fill="FFFFFF"/>
        <w:adjustRightInd w:val="0"/>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第十一条 项目变更</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（一）本合同履行过程中的需求变更和进度调整，以甲乙双方达成一致的书面文件为准。</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（二）乙方遇到不能按期完成工作的情况，应及时以书面形式将不能按期完成工作的理由、延误时间通知甲方。甲方在收到乙方通知后，根据情况决定是否延长完成时间。如同意延长，则乙方责任期也相应延长。</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（三）因非乙方责任造成项目进度推迟或延误，无法按照本合同约定的日期完成相应工作，双方经过协商可以进一步约定完成的日期，乙方的责任期也随之顺延。</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（四）在本项目进展过程中，经双方同意的研究、编制内容等方面的增减，如所涉增加费用的金额不超过本合同项下服务费总金额的10%,由双方商定变更内容及具体价格后签订书面补充协议予以确认。 </w:t>
      </w:r>
    </w:p>
    <w:p>
      <w:pPr>
        <w:shd w:val="clear" w:color="auto" w:fill="FFFFFF"/>
        <w:adjustRightInd w:val="0"/>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第十二条 其他约定</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1.合同书及补充协议；</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2.中标通知书；</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3.招标文件（编号：    ）及其澄清、补正公告；</w:t>
      </w:r>
    </w:p>
    <w:p>
      <w:pPr>
        <w:pStyle w:val="32"/>
        <w:shd w:val="clear" w:color="auto" w:fill="FFFFFF"/>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4.投标书。</w:t>
      </w:r>
    </w:p>
    <w:p>
      <w:pPr>
        <w:pStyle w:val="32"/>
        <w:shd w:val="clear" w:color="auto" w:fill="FFFFFF"/>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（二）本合同替代此前双方所有关于本合同事项的口头或书面的纪要、备忘录、合同、协议。</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（三）本合同附件（如有）为合同不可分割的组成部分，与本合同一并加盖骑缝章后具有同等法律效力。若附件与合同正文有任何冲突，以合同正文为准。</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（四）本合同各条标题仅为提示之用，应以条文内容确定各方的权利义务。</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（五）本合同未尽事宜，由双方协商签订补充协议进行约定。补充协议应以书面形式作成，经双方法定代表人或其授权代表签字、盖章后与本合同具有同等法律效力。</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（六）本合同约定的权利和义务不因合同双方发生收购、兼并、重组、分立而发生变化。如果发生上述情形，则本合同约定的权利和义务随之转移至收购、兼并、重组或分立后成立的单位。</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（七）本合同在国家法律、法规和规章规定的范围内执行。当国家法律、法规和规章发生变化导致本合同有关条款与之抵触时，双方协商变更或废止该条款，在此情况下，双方互不承担责任。</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（八）如果本合同的任何条款在任何时候变成不合法、无效或不可强制执行而不从根本上影响本合同的效力时，本合同的其他条款不受影响。</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（十）本合同的任何内容不应被视为或解释为双方之间具有合资、合伙、代理关系。</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（十一）任何一方未经另一方同意不得向任何第三方透露本合同的签订及其内容。甲方向其关联公司透露前述内容的，不受此限。</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（十三）本合同自双方法定代表人或其授权代表签字、盖章之日起生效，有效期至合同所有义务履行完毕之日止。</w:t>
      </w:r>
    </w:p>
    <w:p>
      <w:pPr>
        <w:pStyle w:val="32"/>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（十四）本合同一式六份正本，甲方与乙方各执三份，均具同等法律效力。</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（以下无正文）</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甲方（盖章）：深圳市前海深港现代服务业合作区管理局</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法定代表人或授权代表（签字）：</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日期：     年    月   日            </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乙方（盖章）： </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法定代表人或授权代表（签字）：</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日期：     年    月    日  </w:t>
      </w:r>
    </w:p>
    <w:p>
      <w:pPr>
        <w:pStyle w:val="2"/>
        <w:rPr>
          <w:rFonts w:hint="eastAsia" w:ascii="仿宋" w:hAnsi="仿宋" w:eastAsia="仿宋" w:cs="仿宋"/>
          <w:color w:val="auto"/>
          <w:highlight w:val="none"/>
        </w:rPr>
      </w:pPr>
    </w:p>
    <w:p>
      <w:pPr>
        <w:rPr>
          <w:rFonts w:hint="eastAsia" w:ascii="仿宋" w:hAnsi="仿宋" w:eastAsia="仿宋" w:cs="仿宋"/>
          <w:color w:val="auto"/>
          <w:highlight w:val="none"/>
        </w:rPr>
      </w:pPr>
    </w:p>
    <w:p>
      <w:pPr>
        <w:shd w:val="clear" w:color="auto" w:fill="FFFFFF"/>
        <w:adjustRightInd w:val="0"/>
        <w:snapToGrid w:val="0"/>
        <w:spacing w:line="300" w:lineRule="auto"/>
        <w:rPr>
          <w:rFonts w:hint="eastAsia" w:ascii="仿宋" w:hAnsi="仿宋" w:eastAsia="仿宋" w:cs="仿宋"/>
          <w:color w:val="auto"/>
          <w:szCs w:val="21"/>
          <w:highlight w:val="none"/>
        </w:rPr>
      </w:pPr>
    </w:p>
    <w:p>
      <w:pPr>
        <w:spacing w:line="360" w:lineRule="auto"/>
        <w:ind w:firstLine="422" w:firstLineChars="200"/>
        <w:rPr>
          <w:rFonts w:hint="eastAsia" w:ascii="仿宋" w:hAnsi="仿宋" w:eastAsia="仿宋" w:cs="仿宋"/>
          <w:color w:val="auto"/>
          <w:szCs w:val="21"/>
          <w:highlight w:val="none"/>
        </w:rPr>
        <w:sectPr>
          <w:headerReference r:id="rId5" w:type="default"/>
          <w:footerReference r:id="rId6" w:type="default"/>
          <w:pgSz w:w="11906" w:h="16838"/>
          <w:pgMar w:top="1440" w:right="1800" w:bottom="1440" w:left="1800" w:header="851" w:footer="992" w:gutter="0"/>
          <w:pgNumType w:start="1"/>
          <w:cols w:space="720" w:num="1"/>
          <w:titlePg/>
          <w:docGrid w:type="lines" w:linePitch="312" w:charSpace="0"/>
        </w:sectPr>
      </w:pPr>
      <w:r>
        <w:rPr>
          <w:rFonts w:hint="eastAsia" w:ascii="仿宋" w:hAnsi="仿宋" w:eastAsia="仿宋" w:cs="仿宋"/>
          <w:b/>
          <w:bCs/>
          <w:color w:val="auto"/>
          <w:szCs w:val="21"/>
          <w:highlight w:val="none"/>
        </w:rPr>
        <w:t>注：本合同样本仅供参考，具体条款内容采购单位和中标单位按前海管理局合同样本签订。签订合同内容不改变本合同模板中的实质性条款。</w:t>
      </w:r>
    </w:p>
    <w:p>
      <w:pPr>
        <w:spacing w:line="400" w:lineRule="exact"/>
        <w:jc w:val="center"/>
        <w:outlineLvl w:val="0"/>
        <w:rPr>
          <w:rFonts w:hint="eastAsia" w:ascii="仿宋" w:hAnsi="仿宋" w:eastAsia="仿宋" w:cs="仿宋"/>
          <w:b/>
          <w:bCs/>
          <w:color w:val="auto"/>
          <w:sz w:val="28"/>
          <w:szCs w:val="28"/>
          <w:highlight w:val="none"/>
        </w:rPr>
      </w:pPr>
      <w:bookmarkStart w:id="18" w:name="_Toc2114"/>
      <w:bookmarkStart w:id="19" w:name="_Toc21620"/>
      <w:bookmarkStart w:id="20" w:name="_Toc22925"/>
      <w:r>
        <w:rPr>
          <w:rFonts w:hint="eastAsia" w:ascii="仿宋" w:hAnsi="仿宋" w:eastAsia="仿宋" w:cs="仿宋"/>
          <w:b/>
          <w:bCs/>
          <w:color w:val="auto"/>
          <w:sz w:val="28"/>
          <w:szCs w:val="28"/>
          <w:highlight w:val="none"/>
        </w:rPr>
        <w:t>第五章 用户需求书</w:t>
      </w:r>
      <w:bookmarkEnd w:id="18"/>
      <w:bookmarkEnd w:id="19"/>
      <w:bookmarkEnd w:id="20"/>
    </w:p>
    <w:p>
      <w:pPr>
        <w:adjustRightInd w:val="0"/>
        <w:snapToGrid w:val="0"/>
        <w:spacing w:line="360" w:lineRule="auto"/>
        <w:ind w:firstLine="422" w:firstLineChars="200"/>
        <w:outlineLvl w:val="1"/>
        <w:rPr>
          <w:rFonts w:hint="eastAsia" w:ascii="仿宋" w:hAnsi="仿宋" w:eastAsia="仿宋" w:cs="仿宋"/>
          <w:b/>
          <w:color w:val="auto"/>
          <w:kern w:val="0"/>
          <w:szCs w:val="21"/>
          <w:highlight w:val="none"/>
          <w:lang w:val="en-US" w:eastAsia="zh-CN"/>
        </w:rPr>
      </w:pPr>
      <w:r>
        <w:rPr>
          <w:rFonts w:hint="eastAsia" w:ascii="仿宋" w:hAnsi="仿宋" w:eastAsia="仿宋" w:cs="仿宋"/>
          <w:b/>
          <w:color w:val="auto"/>
          <w:kern w:val="0"/>
          <w:szCs w:val="21"/>
          <w:highlight w:val="none"/>
        </w:rPr>
        <w:t>一、项目</w:t>
      </w:r>
      <w:r>
        <w:rPr>
          <w:rFonts w:hint="eastAsia" w:ascii="仿宋" w:hAnsi="仿宋" w:eastAsia="仿宋" w:cs="仿宋"/>
          <w:b/>
          <w:color w:val="auto"/>
          <w:kern w:val="0"/>
          <w:szCs w:val="21"/>
          <w:highlight w:val="none"/>
          <w:lang w:val="en-US" w:eastAsia="zh-CN"/>
        </w:rPr>
        <w:t>背景</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深圳前海深港现代服务业合作区促进企业回归办公用房租金补贴办法》（深前海规〔2019〕8号）和《深圳前海深港现代服务业合作区促进产业集聚办公用房资金补贴办法》（深前海规〔2021〕5号）规定，前海管理局需委托第三方专业机构评估项目市场评估价格。</w:t>
      </w:r>
    </w:p>
    <w:p>
      <w:pPr>
        <w:adjustRightInd w:val="0"/>
        <w:snapToGrid w:val="0"/>
        <w:spacing w:line="360" w:lineRule="auto"/>
        <w:ind w:firstLine="422" w:firstLineChars="200"/>
        <w:outlineLvl w:val="1"/>
        <w:rPr>
          <w:rFonts w:hint="eastAsia" w:ascii="仿宋" w:hAnsi="仿宋" w:eastAsia="仿宋" w:cs="仿宋"/>
          <w:b/>
          <w:color w:val="auto"/>
          <w:kern w:val="0"/>
          <w:szCs w:val="21"/>
          <w:highlight w:val="none"/>
        </w:rPr>
      </w:pPr>
      <w:bookmarkStart w:id="21" w:name="_Toc51746099"/>
      <w:bookmarkStart w:id="22" w:name="_Toc86918424"/>
      <w:bookmarkStart w:id="23" w:name="_Toc17684"/>
      <w:bookmarkStart w:id="24" w:name="_Toc548"/>
      <w:bookmarkStart w:id="25" w:name="_Toc10679"/>
      <w:bookmarkStart w:id="26" w:name="_Toc83405799"/>
      <w:r>
        <w:rPr>
          <w:rFonts w:hint="eastAsia" w:ascii="仿宋" w:hAnsi="仿宋" w:eastAsia="仿宋" w:cs="仿宋"/>
          <w:b/>
          <w:color w:val="auto"/>
          <w:kern w:val="0"/>
          <w:szCs w:val="21"/>
          <w:highlight w:val="none"/>
        </w:rPr>
        <w:t>二、技术要求</w:t>
      </w:r>
      <w:bookmarkEnd w:id="21"/>
      <w:bookmarkEnd w:id="22"/>
      <w:bookmarkEnd w:id="23"/>
      <w:bookmarkEnd w:id="24"/>
      <w:bookmarkEnd w:id="25"/>
      <w:bookmarkEnd w:id="26"/>
    </w:p>
    <w:p>
      <w:pPr>
        <w:shd w:val="clear" w:color="auto" w:fill="auto"/>
        <w:spacing w:line="360" w:lineRule="auto"/>
        <w:ind w:firstLine="420"/>
        <w:rPr>
          <w:rFonts w:hint="eastAsia" w:ascii="仿宋" w:hAnsi="仿宋" w:eastAsia="仿宋" w:cs="仿宋"/>
          <w:b/>
          <w:bCs w:val="0"/>
          <w:color w:val="auto"/>
          <w:szCs w:val="21"/>
          <w:highlight w:val="none"/>
          <w:lang w:val="en-US" w:eastAsia="zh-CN"/>
        </w:rPr>
      </w:pPr>
      <w:bookmarkStart w:id="27" w:name="_Toc16772"/>
      <w:bookmarkStart w:id="28" w:name="_Toc51746100"/>
      <w:bookmarkStart w:id="29" w:name="_Toc83405800"/>
      <w:bookmarkStart w:id="30" w:name="_Toc86918425"/>
      <w:bookmarkStart w:id="31" w:name="_Toc13746"/>
      <w:bookmarkStart w:id="32" w:name="_Toc21616"/>
      <w:r>
        <w:rPr>
          <w:rFonts w:hint="eastAsia" w:ascii="仿宋" w:hAnsi="仿宋" w:eastAsia="仿宋" w:cs="仿宋"/>
          <w:b/>
          <w:bCs w:val="0"/>
          <w:color w:val="auto"/>
          <w:szCs w:val="21"/>
          <w:highlight w:val="none"/>
        </w:rPr>
        <w:t>（一）</w:t>
      </w:r>
      <w:r>
        <w:rPr>
          <w:rFonts w:hint="eastAsia" w:ascii="仿宋" w:hAnsi="仿宋" w:eastAsia="仿宋" w:cs="仿宋"/>
          <w:b/>
          <w:bCs w:val="0"/>
          <w:color w:val="auto"/>
          <w:szCs w:val="21"/>
          <w:highlight w:val="none"/>
          <w:lang w:val="en-US" w:eastAsia="zh-CN"/>
        </w:rPr>
        <w:t>项目目标</w:t>
      </w:r>
    </w:p>
    <w:p>
      <w:pPr>
        <w:pStyle w:val="2"/>
        <w:spacing w:after="0" w:line="360"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对前海合作区内的办公用房项目进行2021年度租金价格评估，并负责解释、答疑。</w:t>
      </w:r>
    </w:p>
    <w:p>
      <w:pPr>
        <w:shd w:val="clear" w:color="auto" w:fill="auto"/>
        <w:spacing w:line="360" w:lineRule="auto"/>
        <w:ind w:firstLine="42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lang w:val="en-US" w:eastAsia="zh-CN"/>
        </w:rPr>
        <w:t>（二）</w:t>
      </w:r>
      <w:r>
        <w:rPr>
          <w:rFonts w:hint="eastAsia" w:ascii="仿宋" w:hAnsi="仿宋" w:eastAsia="仿宋" w:cs="仿宋"/>
          <w:b/>
          <w:bCs w:val="0"/>
          <w:color w:val="auto"/>
          <w:szCs w:val="21"/>
          <w:highlight w:val="none"/>
        </w:rPr>
        <w:t>办公用房租金评估</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前海合作区内需评估的办公用房项目进行物业查勘、市场调研，并科学合理建立评估模型；以项目为单位，根据项目实际情况，评估项目市场租金，并出具市场评估租金报告。公开发布相关项目市场评估租金，并根据需要进行解释、答疑。</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拟对2021年前海合作区原区域（15平方公里）内办公用房租金价格进行评估，主要涉及前海卓越金融中心、基金小镇、华润金融中心、景兴海上广场、景兴海上大厦、弘毅大厦、前海大厦、企业公馆、创新中心、嘉里中心、世茂金融中心、信利康大厦、香江金融大厦、香缤大厦、自贸大厦、招商海运中心、顺丰总部大厦、文创小镇一期、招商前海经贸中心、深国际前海颐都大厦等楼宇。</w:t>
      </w:r>
    </w:p>
    <w:p>
      <w:pPr>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三</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项目人员要求</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1.人员配备要求：供应商应指派</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lang w:val="en-US" w:eastAsia="zh-CN"/>
        </w:rPr>
        <w:t>名团队</w:t>
      </w:r>
      <w:r>
        <w:rPr>
          <w:rFonts w:hint="eastAsia" w:ascii="仿宋" w:hAnsi="仿宋" w:eastAsia="仿宋" w:cs="仿宋"/>
          <w:color w:val="auto"/>
          <w:szCs w:val="21"/>
          <w:highlight w:val="none"/>
        </w:rPr>
        <w:t>人员，配合采购方开展项目全过程管理。</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2.人员资质要求：至少3名人员具有租金评估资质，且有租金价格评估工作经验；身体健康，沟通能力强，有责任心，有较高的职业素养和敬业精神。</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3.在服务期限内，项目人员应相对稳定，中标方不得随意更换项目负责人和项目组成员，及减少项目团队人数，或降低项目团队标准。若团队成员更换，须经采购方书面同意后方可更换。</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4.中标方应在合同签订后5个工作日内按采购方要求安排人员到岗开展服务工作，否则，每超期1天处以5000元/人次</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日的违约金；若超期5天仍未按招标方要求安排人员到岗开展服务工作，采购方有权解除合同。若采购方根据工作需求提出更换团队服务人员的，中标方在10个工作日内未更换或拒不更换人员，采购方有权解除合同。</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5.本项目服务团队人员不得有下列情形之一：</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5.1受过刑事处罚或者涉嫌违法犯罪尚未查清的。</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5.2曾被行政拘留或者有吸毒史的。</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5.3因违规违纪被机关、事业单位开除、辞退的。</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5.4有个人不良信用记录的。</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5.5曾参加过非法组织、邪教组织或危害国家安全活动的。</w:t>
      </w:r>
    </w:p>
    <w:p>
      <w:pPr>
        <w:ind w:firstLine="211" w:firstLineChars="1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四</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项目管理要求</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1.中标方应指定一名团队负责人与采购方做好工作业务沟通对接、人员管理工作。</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2.投入项目的团队成员工作时间应与采购方上班时间保持一致，不得无故缺勤，不得违反采购方单位工作纪律。</w:t>
      </w:r>
    </w:p>
    <w:p>
      <w:pPr>
        <w:pStyle w:val="2"/>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t>3.采购方应为派驻人员提供必要的工作条件及设施。</w:t>
      </w:r>
    </w:p>
    <w:p>
      <w:pPr>
        <w:pStyle w:val="15"/>
        <w:spacing w:before="0" w:beforeAutospacing="0" w:after="0" w:afterAutospacing="0" w:line="360" w:lineRule="auto"/>
        <w:ind w:firstLine="422" w:firstLineChars="200"/>
        <w:jc w:val="both"/>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三、商务要求</w:t>
      </w:r>
      <w:bookmarkEnd w:id="27"/>
      <w:bookmarkEnd w:id="28"/>
      <w:bookmarkEnd w:id="29"/>
      <w:bookmarkEnd w:id="30"/>
      <w:bookmarkEnd w:id="31"/>
      <w:bookmarkEnd w:id="32"/>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（一）服务期限及要求：</w:t>
      </w:r>
    </w:p>
    <w:p>
      <w:pPr>
        <w:shd w:val="clear" w:color="auto" w:fill="auto"/>
        <w:spacing w:line="360" w:lineRule="auto"/>
        <w:ind w:firstLine="42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服务范围为前海合作区内。</w:t>
      </w:r>
    </w:p>
    <w:p>
      <w:pPr>
        <w:shd w:val="clear" w:color="auto" w:fill="auto"/>
        <w:spacing w:line="360" w:lineRule="auto"/>
        <w:ind w:firstLine="42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服务期限为：自合同签订之日起一年内。</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（二）项目预算</w:t>
      </w:r>
    </w:p>
    <w:p>
      <w:pPr>
        <w:shd w:val="clear" w:color="auto" w:fill="auto"/>
        <w:spacing w:line="360" w:lineRule="auto"/>
        <w:ind w:firstLine="42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本项目招标总价控制为</w:t>
      </w:r>
      <w:r>
        <w:rPr>
          <w:rFonts w:hint="eastAsia" w:ascii="仿宋" w:hAnsi="仿宋" w:eastAsia="仿宋" w:cs="仿宋"/>
          <w:color w:val="auto"/>
          <w:szCs w:val="21"/>
          <w:highlight w:val="none"/>
          <w:lang w:val="en-US" w:eastAsia="zh-CN"/>
        </w:rPr>
        <w:t>31.5</w:t>
      </w:r>
      <w:r>
        <w:rPr>
          <w:rFonts w:hint="eastAsia" w:ascii="仿宋" w:hAnsi="仿宋" w:eastAsia="仿宋" w:cs="仿宋"/>
          <w:color w:val="auto"/>
          <w:szCs w:val="21"/>
          <w:highlight w:val="none"/>
        </w:rPr>
        <w:t>万元，财政性资金100%</w:t>
      </w:r>
      <w:r>
        <w:rPr>
          <w:rFonts w:hint="eastAsia" w:ascii="仿宋" w:hAnsi="仿宋" w:eastAsia="仿宋" w:cs="仿宋"/>
          <w:color w:val="auto"/>
          <w:szCs w:val="21"/>
          <w:highlight w:val="none"/>
          <w:lang w:eastAsia="zh-CN"/>
        </w:rPr>
        <w:t>，</w:t>
      </w:r>
      <w:r>
        <w:rPr>
          <w:rFonts w:hint="eastAsia" w:ascii="仿宋" w:hAnsi="仿宋" w:eastAsia="仿宋" w:cs="仿宋"/>
          <w:color w:val="auto"/>
          <w:sz w:val="22"/>
          <w:szCs w:val="22"/>
          <w:highlight w:val="none"/>
          <w:lang w:bidi="ar"/>
        </w:rPr>
        <w:t>共招两家中标人，每家中标人预算金额</w:t>
      </w:r>
      <w:r>
        <w:rPr>
          <w:rFonts w:hint="eastAsia" w:ascii="仿宋" w:hAnsi="仿宋" w:eastAsia="仿宋" w:cs="仿宋"/>
          <w:color w:val="auto"/>
          <w:sz w:val="22"/>
          <w:szCs w:val="22"/>
          <w:highlight w:val="none"/>
          <w:lang w:eastAsia="zh-CN" w:bidi="ar"/>
        </w:rPr>
        <w:t>上限</w:t>
      </w:r>
      <w:r>
        <w:rPr>
          <w:rFonts w:hint="eastAsia" w:ascii="仿宋" w:hAnsi="仿宋" w:eastAsia="仿宋" w:cs="仿宋"/>
          <w:color w:val="auto"/>
          <w:sz w:val="22"/>
          <w:szCs w:val="22"/>
          <w:highlight w:val="none"/>
          <w:lang w:bidi="ar"/>
        </w:rPr>
        <w:t>为</w:t>
      </w:r>
      <w:r>
        <w:rPr>
          <w:rFonts w:hint="eastAsia" w:ascii="仿宋" w:hAnsi="仿宋" w:eastAsia="仿宋" w:cs="仿宋"/>
          <w:color w:val="auto"/>
          <w:sz w:val="22"/>
          <w:szCs w:val="22"/>
          <w:highlight w:val="none"/>
          <w:lang w:val="en-US" w:eastAsia="zh-CN" w:bidi="ar"/>
        </w:rPr>
        <w:t>15.75</w:t>
      </w:r>
      <w:r>
        <w:rPr>
          <w:rFonts w:hint="eastAsia" w:ascii="仿宋" w:hAnsi="仿宋" w:eastAsia="仿宋" w:cs="仿宋"/>
          <w:color w:val="auto"/>
          <w:sz w:val="22"/>
          <w:szCs w:val="22"/>
          <w:highlight w:val="none"/>
          <w:lang w:bidi="ar"/>
        </w:rPr>
        <w:t>万元</w:t>
      </w:r>
      <w:r>
        <w:rPr>
          <w:rFonts w:hint="eastAsia" w:ascii="仿宋" w:hAnsi="仿宋" w:eastAsia="仿宋" w:cs="仿宋"/>
          <w:color w:val="auto"/>
          <w:sz w:val="22"/>
          <w:szCs w:val="22"/>
          <w:highlight w:val="none"/>
          <w:lang w:val="en-US" w:eastAsia="zh-CN" w:bidi="ar"/>
        </w:rPr>
        <w:t xml:space="preserve"> </w:t>
      </w:r>
      <w:r>
        <w:rPr>
          <w:rFonts w:hint="eastAsia" w:ascii="仿宋" w:hAnsi="仿宋" w:eastAsia="仿宋" w:cs="仿宋"/>
          <w:color w:val="auto"/>
          <w:sz w:val="22"/>
          <w:szCs w:val="22"/>
          <w:highlight w:val="none"/>
          <w:lang w:bidi="ar"/>
        </w:rPr>
        <w:t>。</w:t>
      </w:r>
      <w:r>
        <w:rPr>
          <w:rFonts w:hint="eastAsia" w:ascii="仿宋" w:hAnsi="仿宋" w:eastAsia="仿宋" w:cs="仿宋"/>
          <w:color w:val="auto"/>
          <w:sz w:val="22"/>
          <w:szCs w:val="22"/>
          <w:highlight w:val="none"/>
          <w:lang w:eastAsia="zh-CN" w:bidi="ar"/>
        </w:rPr>
        <w:t>投标超过上限价则会导致废标。预计需评估项目共计</w:t>
      </w:r>
      <w:r>
        <w:rPr>
          <w:rFonts w:hint="eastAsia" w:ascii="仿宋" w:hAnsi="仿宋" w:eastAsia="仿宋" w:cs="仿宋"/>
          <w:color w:val="auto"/>
          <w:sz w:val="22"/>
          <w:szCs w:val="22"/>
          <w:highlight w:val="none"/>
          <w:lang w:val="en-US" w:eastAsia="zh-CN" w:bidi="ar"/>
        </w:rPr>
        <w:t>30</w:t>
      </w:r>
      <w:r>
        <w:rPr>
          <w:rFonts w:hint="eastAsia" w:ascii="仿宋" w:hAnsi="仿宋" w:eastAsia="仿宋" w:cs="仿宋"/>
          <w:color w:val="auto"/>
          <w:sz w:val="22"/>
          <w:szCs w:val="22"/>
          <w:highlight w:val="none"/>
          <w:lang w:eastAsia="zh-CN" w:bidi="ar"/>
        </w:rPr>
        <w:t>个，每家单位分别独立完成</w:t>
      </w:r>
      <w:r>
        <w:rPr>
          <w:rFonts w:hint="eastAsia" w:ascii="仿宋" w:hAnsi="仿宋" w:eastAsia="仿宋" w:cs="仿宋"/>
          <w:color w:val="auto"/>
          <w:sz w:val="22"/>
          <w:szCs w:val="22"/>
          <w:highlight w:val="none"/>
          <w:lang w:val="en-US" w:eastAsia="zh-CN" w:bidi="ar"/>
        </w:rPr>
        <w:t>30个项目进行评估。评估具体数量以实际为准。</w:t>
      </w:r>
    </w:p>
    <w:p>
      <w:pPr>
        <w:shd w:val="clear" w:color="auto" w:fill="auto"/>
        <w:spacing w:line="360" w:lineRule="auto"/>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本次投标为总价包干，投标报价包括了投标人完成本招标项目而发生的全部费用，包括调研费、交通费、中标服务费、各种资料费</w:t>
      </w:r>
      <w:r>
        <w:rPr>
          <w:rFonts w:hint="eastAsia" w:ascii="仿宋" w:hAnsi="仿宋" w:eastAsia="仿宋" w:cs="仿宋"/>
          <w:color w:val="auto"/>
          <w:highlight w:val="none"/>
        </w:rPr>
        <w:t>、保险、税金、会议评审、广告宣传、公开展示、公众咨询等所有费用，并提供合同要求的成果文件，以及其它相关服务的全部费用。</w:t>
      </w:r>
    </w:p>
    <w:p>
      <w:pPr>
        <w:pStyle w:val="6"/>
        <w:tabs>
          <w:tab w:val="left" w:pos="4680"/>
        </w:tabs>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（三）付款方式</w:t>
      </w:r>
    </w:p>
    <w:p>
      <w:pPr>
        <w:pStyle w:val="6"/>
        <w:tabs>
          <w:tab w:val="left" w:pos="4680"/>
        </w:tabs>
        <w:spacing w:line="360" w:lineRule="auto"/>
        <w:rPr>
          <w:rFonts w:hint="eastAsia" w:ascii="仿宋" w:hAnsi="仿宋" w:eastAsia="仿宋" w:cs="仿宋"/>
          <w:color w:val="auto"/>
          <w:highlight w:val="none"/>
        </w:rPr>
      </w:pPr>
      <w:bookmarkStart w:id="33" w:name="_Toc86918426"/>
      <w:bookmarkStart w:id="34" w:name="_Toc31978"/>
      <w:r>
        <w:rPr>
          <w:rFonts w:hint="eastAsia" w:ascii="仿宋" w:hAnsi="仿宋" w:eastAsia="仿宋" w:cs="仿宋"/>
          <w:color w:val="auto"/>
          <w:highlight w:val="none"/>
        </w:rPr>
        <w:t>合同价款由采购人分3期付至中标单位指定银行账户，支付比例为30%（签订合同之日起15个工作日内）、50%（乙方完成送审成果，并通过专家评审会评审）、20%（乙方完成最终成果，并完成报批程序）。</w:t>
      </w:r>
    </w:p>
    <w:bookmarkEnd w:id="33"/>
    <w:bookmarkEnd w:id="34"/>
    <w:p>
      <w:pPr>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四</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投标报价要求</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服务费采用包干制，其报价应包括项目投入成本及其他费用。由企业根据招标文件所提供的资料自行测算投标报价；一经中标，投标报价总价作为中标单位与采购单位签定的合同金额，合同期限内不做调整；</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的报价明显低于其他通过符合性审查投标人的报价，评标委员会认为有可能影响服务质量或者不能诚信履约的，投标人需提供报价合理性说明。投标人补充的书面说明或提供的证明材料仍不能证明其报价合理性的，评标委员会应当做出投标无效认定，不得以扣减得分等方式保留投标人的投标资格。</w:t>
      </w:r>
    </w:p>
    <w:p>
      <w:pPr>
        <w:ind w:firstLine="422" w:firstLineChars="200"/>
        <w:rPr>
          <w:rFonts w:hint="eastAsia" w:ascii="仿宋" w:hAnsi="仿宋" w:eastAsia="仿宋" w:cs="仿宋"/>
          <w:b/>
          <w:color w:val="auto"/>
          <w:szCs w:val="21"/>
          <w:highlight w:val="none"/>
        </w:rPr>
      </w:pPr>
      <w:bookmarkStart w:id="35" w:name="_Toc222480776"/>
      <w:bookmarkStart w:id="36" w:name="_Toc260314564"/>
      <w:r>
        <w:rPr>
          <w:rFonts w:hint="eastAsia" w:ascii="仿宋" w:hAnsi="仿宋" w:eastAsia="仿宋" w:cs="仿宋"/>
          <w:b/>
          <w:color w:val="auto"/>
          <w:szCs w:val="21"/>
          <w:highlight w:val="none"/>
          <w:lang w:val="en-US" w:eastAsia="zh-CN"/>
        </w:rPr>
        <w:t>（五）</w:t>
      </w:r>
      <w:r>
        <w:rPr>
          <w:rFonts w:hint="eastAsia" w:ascii="仿宋" w:hAnsi="仿宋" w:eastAsia="仿宋" w:cs="仿宋"/>
          <w:b/>
          <w:color w:val="auto"/>
          <w:szCs w:val="21"/>
          <w:highlight w:val="none"/>
        </w:rPr>
        <w:t>项目管理及进度要求</w:t>
      </w:r>
      <w:bookmarkEnd w:id="35"/>
      <w:bookmarkEnd w:id="36"/>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1.组织实施要求</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为确保本次项目投标工作管理规范、实施有力，投标方应成立项目组，按采购人要求完成各项工作。</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2.项目服务期限要求</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本项目合同服务期限为</w:t>
      </w:r>
      <w:r>
        <w:rPr>
          <w:rFonts w:hint="eastAsia" w:ascii="仿宋" w:hAnsi="仿宋" w:eastAsia="仿宋" w:cs="仿宋"/>
          <w:color w:val="auto"/>
          <w:szCs w:val="21"/>
          <w:highlight w:val="none"/>
          <w:lang w:val="en-US" w:eastAsia="zh-CN"/>
        </w:rPr>
        <w:t>自签订合同之日起一年，以合同签订时间为准</w:t>
      </w:r>
      <w:r>
        <w:rPr>
          <w:rFonts w:hint="eastAsia" w:ascii="仿宋" w:hAnsi="仿宋" w:eastAsia="仿宋" w:cs="仿宋"/>
          <w:color w:val="auto"/>
          <w:szCs w:val="21"/>
          <w:highlight w:val="none"/>
        </w:rPr>
        <w:t>。</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工作时间：工作日上午9:00-12:00，下午2:00-6:00。若有紧急工作需安排加班，由中标方负责安排协调，不另计费用。</w:t>
      </w:r>
    </w:p>
    <w:p>
      <w:pPr>
        <w:shd w:val="clear" w:color="auto" w:fill="auto"/>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3.项目人员安排要求</w:t>
      </w:r>
    </w:p>
    <w:p>
      <w:pPr>
        <w:numPr>
          <w:ilvl w:val="0"/>
          <w:numId w:val="0"/>
        </w:numPr>
        <w:spacing w:line="360" w:lineRule="auto"/>
        <w:ind w:firstLine="420" w:firstLineChars="200"/>
        <w:rPr>
          <w:rFonts w:hint="eastAsia" w:ascii="仿宋" w:hAnsi="仿宋" w:eastAsia="仿宋" w:cs="仿宋"/>
          <w:b/>
          <w:color w:val="auto"/>
          <w:szCs w:val="21"/>
          <w:highlight w:val="none"/>
          <w:lang w:val="en-US" w:eastAsia="zh-CN"/>
        </w:rPr>
      </w:pPr>
      <w:r>
        <w:rPr>
          <w:rFonts w:hint="eastAsia" w:ascii="仿宋" w:hAnsi="仿宋" w:eastAsia="仿宋" w:cs="仿宋"/>
          <w:color w:val="auto"/>
          <w:szCs w:val="21"/>
          <w:highlight w:val="none"/>
        </w:rPr>
        <w:t>中标方不得随意更换项目负责人和项目组成员，如不经采购单位同意擅自更换，则采购单位有权解除合同或根据情节要求中标方支付5000元/人/次的违约金。</w:t>
      </w:r>
    </w:p>
    <w:p>
      <w:pPr>
        <w:numPr>
          <w:ilvl w:val="0"/>
          <w:numId w:val="0"/>
        </w:num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（六）</w:t>
      </w:r>
      <w:r>
        <w:rPr>
          <w:rFonts w:hint="eastAsia" w:ascii="仿宋" w:hAnsi="仿宋" w:eastAsia="仿宋" w:cs="仿宋"/>
          <w:b/>
          <w:color w:val="auto"/>
          <w:szCs w:val="21"/>
          <w:highlight w:val="none"/>
        </w:rPr>
        <w:t>项目</w:t>
      </w:r>
      <w:r>
        <w:rPr>
          <w:rFonts w:hint="eastAsia" w:ascii="仿宋" w:hAnsi="仿宋" w:eastAsia="仿宋" w:cs="仿宋"/>
          <w:b/>
          <w:color w:val="auto"/>
          <w:szCs w:val="21"/>
          <w:highlight w:val="none"/>
          <w:lang w:val="en-US" w:eastAsia="zh-CN"/>
        </w:rPr>
        <w:t>成果要求及</w:t>
      </w:r>
      <w:r>
        <w:rPr>
          <w:rFonts w:hint="eastAsia" w:ascii="仿宋" w:hAnsi="仿宋" w:eastAsia="仿宋" w:cs="仿宋"/>
          <w:b/>
          <w:color w:val="auto"/>
          <w:szCs w:val="21"/>
          <w:highlight w:val="none"/>
        </w:rPr>
        <w:t>验收</w:t>
      </w:r>
    </w:p>
    <w:p>
      <w:pPr>
        <w:pStyle w:val="17"/>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1.成果要求：形成《</w:t>
      </w:r>
      <w:r>
        <w:rPr>
          <w:rFonts w:hint="eastAsia" w:ascii="仿宋" w:hAnsi="仿宋" w:eastAsia="仿宋" w:cs="仿宋"/>
          <w:color w:val="auto"/>
          <w:szCs w:val="21"/>
          <w:highlight w:val="none"/>
        </w:rPr>
        <w:t>前海办公用房租金评估</w:t>
      </w:r>
      <w:r>
        <w:rPr>
          <w:rFonts w:hint="eastAsia" w:ascii="仿宋" w:hAnsi="仿宋" w:eastAsia="仿宋" w:cs="仿宋"/>
          <w:color w:val="auto"/>
          <w:szCs w:val="21"/>
          <w:highlight w:val="none"/>
          <w:lang w:eastAsia="zh-CN"/>
        </w:rPr>
        <w:t>项目</w:t>
      </w:r>
      <w:r>
        <w:rPr>
          <w:rFonts w:hint="eastAsia" w:ascii="仿宋" w:hAnsi="仿宋" w:eastAsia="仿宋" w:cs="仿宋"/>
          <w:color w:val="auto"/>
          <w:szCs w:val="21"/>
          <w:highlight w:val="none"/>
          <w:lang w:val="en-US" w:eastAsia="zh-CN"/>
        </w:rPr>
        <w:t>评估报告</w:t>
      </w:r>
      <w:r>
        <w:rPr>
          <w:rFonts w:hint="eastAsia" w:ascii="仿宋" w:hAnsi="仿宋" w:eastAsia="仿宋" w:cs="仿宋"/>
          <w:b/>
          <w:color w:val="auto"/>
          <w:szCs w:val="21"/>
          <w:highlight w:val="none"/>
          <w:lang w:val="en-US" w:eastAsia="zh-CN"/>
        </w:rPr>
        <w:t>》；</w:t>
      </w:r>
    </w:p>
    <w:p>
      <w:pPr>
        <w:pStyle w:val="17"/>
        <w:rPr>
          <w:rFonts w:hint="eastAsia" w:ascii="仿宋" w:hAnsi="仿宋" w:eastAsia="仿宋" w:cs="仿宋"/>
          <w:color w:val="auto"/>
          <w:highlight w:val="none"/>
        </w:rPr>
      </w:pPr>
      <w:r>
        <w:rPr>
          <w:rFonts w:hint="eastAsia" w:ascii="仿宋" w:hAnsi="仿宋" w:eastAsia="仿宋" w:cs="仿宋"/>
          <w:b/>
          <w:color w:val="auto"/>
          <w:szCs w:val="21"/>
          <w:highlight w:val="none"/>
          <w:lang w:val="en-US" w:eastAsia="zh-CN"/>
        </w:rPr>
        <w:t>2.验收要求：形成评估报告，通过专家评审会并经过采购方审议后进行验收。</w:t>
      </w:r>
    </w:p>
    <w:p>
      <w:pPr>
        <w:rPr>
          <w:rFonts w:hint="eastAsia" w:ascii="仿宋" w:hAnsi="仿宋" w:eastAsia="仿宋" w:cs="仿宋"/>
          <w:color w:val="auto"/>
          <w:highlight w:val="none"/>
        </w:rPr>
      </w:pPr>
    </w:p>
    <w:p>
      <w:pPr>
        <w:pStyle w:val="15"/>
        <w:spacing w:before="0" w:beforeAutospacing="0" w:after="0" w:afterAutospacing="0" w:line="360" w:lineRule="auto"/>
        <w:ind w:firstLine="422" w:firstLineChars="200"/>
        <w:jc w:val="both"/>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四</w:t>
      </w:r>
      <w:r>
        <w:rPr>
          <w:rFonts w:hint="eastAsia" w:ascii="仿宋" w:hAnsi="仿宋" w:eastAsia="仿宋" w:cs="仿宋"/>
          <w:b/>
          <w:color w:val="auto"/>
          <w:sz w:val="21"/>
          <w:szCs w:val="21"/>
          <w:highlight w:val="none"/>
        </w:rPr>
        <w:t>、★成果归属与知识产权</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（一）本项目全部阶段性成果和最终成果的所有权、知识产权以及与之相关的所有权利归采购人所有；本合同签署前双方已经拥有的知识产权权利，仍归各自所有。</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（二）双方确定，采购人有权对中标人按照本合同约定提供的成果进行后续改进。由此产生的具有实质性或创造性技术进步特征的新的技术成果及其权利全部由采购人享有。</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（五）中标人完成本项目的研究人员享有在有关技术成果文件上署名的权利和与采购人共同获得有关荣誉证书、奖励的权利。</w:t>
      </w:r>
    </w:p>
    <w:p>
      <w:pPr>
        <w:pStyle w:val="15"/>
        <w:spacing w:before="0" w:beforeAutospacing="0" w:after="0" w:afterAutospacing="0" w:line="360" w:lineRule="auto"/>
        <w:ind w:firstLine="422" w:firstLineChars="200"/>
        <w:jc w:val="both"/>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五</w:t>
      </w:r>
      <w:r>
        <w:rPr>
          <w:rFonts w:hint="eastAsia" w:ascii="仿宋" w:hAnsi="仿宋" w:eastAsia="仿宋" w:cs="仿宋"/>
          <w:b/>
          <w:color w:val="auto"/>
          <w:sz w:val="21"/>
          <w:szCs w:val="21"/>
          <w:highlight w:val="none"/>
        </w:rPr>
        <w:t>、★保密条款</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（三）中标人实施项目的程序应符合国家安全、保密的有关规定和标准。</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（四）上述保密义务不适用以下情况：</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1.获取的信息已被合法公开；</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2.获得信息拥有方书面许可并在该许可范围内披露；</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3.国家法律、法规规定的情形。</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（六）无论本合同或本合同其他条款是否有效，本保密条款始终约束双方。国家秘密的保密期限由国家有关部门确定，工作秘密的保密期限由采购人确定。</w:t>
      </w:r>
    </w:p>
    <w:p>
      <w:pPr>
        <w:pStyle w:val="15"/>
        <w:spacing w:before="0" w:beforeAutospacing="0" w:after="0" w:afterAutospacing="0" w:line="360" w:lineRule="auto"/>
        <w:ind w:firstLine="422" w:firstLineChars="200"/>
        <w:jc w:val="both"/>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六</w:t>
      </w:r>
      <w:r>
        <w:rPr>
          <w:rFonts w:hint="eastAsia" w:ascii="仿宋" w:hAnsi="仿宋" w:eastAsia="仿宋" w:cs="仿宋"/>
          <w:b/>
          <w:color w:val="auto"/>
          <w:sz w:val="21"/>
          <w:szCs w:val="21"/>
          <w:highlight w:val="none"/>
        </w:rPr>
        <w:t>、★违约责任</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（一）如中标人未按照本合同约定的时间完成本项目各阶段工作，且未经采购人书面同意延长服务成果完成期限的，每迟延一日，采购人有权要求中标人支付本合同服务费总金额的1‰的逾期违约金。</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（1）中标人未能按合同约定的日期(含协商延缓的日期)提交各阶段成果或最终成果，延误时间超过15个工作日；</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（2）因中标人工作的错误或遗漏造成成果质量损失，</w:t>
      </w:r>
      <w:r>
        <w:rPr>
          <w:rFonts w:hint="eastAsia" w:ascii="仿宋" w:hAnsi="仿宋" w:eastAsia="仿宋" w:cs="仿宋"/>
          <w:color w:val="auto"/>
          <w:szCs w:val="21"/>
          <w:highlight w:val="none"/>
          <w:lang w:val="zh-CN"/>
        </w:rPr>
        <w:t>工作成果质量低劣，不能满足采购人工作需要和要求</w:t>
      </w:r>
      <w:r>
        <w:rPr>
          <w:rFonts w:hint="eastAsia" w:ascii="仿宋" w:hAnsi="仿宋" w:eastAsia="仿宋" w:cs="仿宋"/>
          <w:color w:val="auto"/>
          <w:szCs w:val="21"/>
          <w:highlight w:val="none"/>
        </w:rPr>
        <w:t>；</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（3）中标人虽如期提交最终成果，但连续二次未能通过采购人验收的；</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（5）项目负责人未承担本合同项目实质性工作，或未经采购人书面在先同意，中标人擅自更换项目负责人的；</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（7）中标人明确表示或者以自己的行为表明不履行本合同的。</w:t>
      </w:r>
    </w:p>
    <w:p>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 除因</w:t>
      </w:r>
      <w:r>
        <w:rPr>
          <w:rFonts w:hint="eastAsia" w:ascii="仿宋" w:hAnsi="仿宋" w:eastAsia="仿宋" w:cs="仿宋"/>
          <w:color w:val="auto"/>
          <w:kern w:val="0"/>
          <w:szCs w:val="21"/>
          <w:highlight w:val="none"/>
        </w:rPr>
        <w:t>采购人付款审批影响支付进度的情况外，</w:t>
      </w:r>
      <w:r>
        <w:rPr>
          <w:rFonts w:hint="eastAsia" w:ascii="仿宋" w:hAnsi="仿宋" w:eastAsia="仿宋" w:cs="仿宋"/>
          <w:color w:val="auto"/>
          <w:szCs w:val="21"/>
          <w:highlight w:val="none"/>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shd w:val="clear" w:color="auto" w:fill="FFFFFF"/>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（四）上述违约责任各自独立且可累加。如本合同所约定的违约金无法弥补因违约行为所造成的损失，违约方应补偿上述不足部分的损失。</w:t>
      </w:r>
    </w:p>
    <w:p>
      <w:pPr>
        <w:pStyle w:val="2"/>
        <w:spacing w:line="400" w:lineRule="exact"/>
        <w:rPr>
          <w:rFonts w:hint="eastAsia" w:ascii="仿宋" w:hAnsi="仿宋" w:eastAsia="仿宋" w:cs="仿宋"/>
          <w:color w:val="auto"/>
          <w:highlight w:val="none"/>
        </w:rPr>
      </w:pPr>
    </w:p>
    <w:p>
      <w:pPr>
        <w:spacing w:line="400" w:lineRule="exact"/>
        <w:jc w:val="center"/>
        <w:outlineLvl w:val="0"/>
        <w:rPr>
          <w:rFonts w:hint="eastAsia" w:ascii="仿宋" w:hAnsi="仿宋" w:eastAsia="仿宋" w:cs="仿宋"/>
          <w:b/>
          <w:bCs/>
          <w:color w:val="auto"/>
          <w:sz w:val="24"/>
          <w:highlight w:val="none"/>
        </w:rPr>
      </w:pPr>
      <w:bookmarkStart w:id="37" w:name="_Toc20655"/>
      <w:bookmarkStart w:id="38" w:name="_Toc26860"/>
      <w:bookmarkStart w:id="39" w:name="_Toc2426"/>
      <w:r>
        <w:rPr>
          <w:rFonts w:hint="eastAsia" w:ascii="仿宋" w:hAnsi="仿宋" w:eastAsia="仿宋" w:cs="仿宋"/>
          <w:b/>
          <w:bCs/>
          <w:color w:val="auto"/>
          <w:sz w:val="28"/>
          <w:szCs w:val="28"/>
          <w:highlight w:val="none"/>
        </w:rPr>
        <w:br w:type="column"/>
      </w:r>
      <w:r>
        <w:rPr>
          <w:rFonts w:hint="eastAsia" w:ascii="仿宋" w:hAnsi="仿宋" w:eastAsia="仿宋" w:cs="仿宋"/>
          <w:b/>
          <w:bCs/>
          <w:color w:val="auto"/>
          <w:sz w:val="28"/>
          <w:szCs w:val="28"/>
          <w:highlight w:val="none"/>
        </w:rPr>
        <w:t>第六章 投标文件初审及招标项目评分表</w:t>
      </w:r>
      <w:bookmarkEnd w:id="37"/>
      <w:bookmarkEnd w:id="38"/>
      <w:bookmarkEnd w:id="39"/>
    </w:p>
    <w:p>
      <w:pPr>
        <w:spacing w:line="400" w:lineRule="exact"/>
        <w:jc w:val="center"/>
        <w:rPr>
          <w:rFonts w:hint="eastAsia" w:ascii="仿宋" w:hAnsi="仿宋" w:eastAsia="仿宋" w:cs="仿宋"/>
          <w:b/>
          <w:color w:val="auto"/>
          <w:sz w:val="24"/>
          <w:highlight w:val="none"/>
        </w:rPr>
      </w:pPr>
    </w:p>
    <w:p>
      <w:pPr>
        <w:spacing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投标文件初审表（不可偏离条款）</w:t>
      </w:r>
    </w:p>
    <w:p>
      <w:pPr>
        <w:spacing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（凡有下列情形之一的，投标文件无效，投标作废标处理）</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881" w:type="dxa"/>
            <w:noWrap w:val="0"/>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881" w:type="dxa"/>
            <w:noWrap w:val="0"/>
            <w:vAlign w:val="center"/>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881" w:type="dxa"/>
            <w:noWrap w:val="0"/>
            <w:vAlign w:val="center"/>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7881" w:type="dxa"/>
            <w:noWrap w:val="0"/>
            <w:vAlign w:val="center"/>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881" w:type="dxa"/>
            <w:noWrap w:val="0"/>
            <w:vAlign w:val="center"/>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7881" w:type="dxa"/>
            <w:noWrap w:val="0"/>
            <w:vAlign w:val="center"/>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7881" w:type="dxa"/>
            <w:noWrap w:val="0"/>
            <w:vAlign w:val="center"/>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7881" w:type="dxa"/>
            <w:noWrap w:val="0"/>
            <w:vAlign w:val="center"/>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7881" w:type="dxa"/>
            <w:noWrap w:val="0"/>
            <w:vAlign w:val="center"/>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7881" w:type="dxa"/>
            <w:noWrap w:val="0"/>
            <w:vAlign w:val="center"/>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法律、法规规定的其他情形</w:t>
            </w:r>
          </w:p>
        </w:tc>
      </w:tr>
    </w:tbl>
    <w:p>
      <w:pPr>
        <w:spacing w:line="400" w:lineRule="exact"/>
        <w:rPr>
          <w:rFonts w:hint="eastAsia" w:ascii="仿宋" w:hAnsi="仿宋" w:eastAsia="仿宋" w:cs="仿宋"/>
          <w:color w:val="auto"/>
          <w:sz w:val="24"/>
          <w:highlight w:val="none"/>
        </w:rPr>
      </w:pPr>
    </w:p>
    <w:p>
      <w:pPr>
        <w:spacing w:line="400" w:lineRule="exact"/>
        <w:rPr>
          <w:rFonts w:hint="eastAsia" w:ascii="仿宋" w:hAnsi="仿宋" w:eastAsia="仿宋" w:cs="仿宋"/>
          <w:color w:val="auto"/>
          <w:sz w:val="24"/>
          <w:highlight w:val="none"/>
        </w:rPr>
      </w:pPr>
    </w:p>
    <w:p>
      <w:pPr>
        <w:spacing w:line="400" w:lineRule="exact"/>
        <w:rPr>
          <w:rFonts w:hint="eastAsia" w:ascii="仿宋" w:hAnsi="仿宋" w:eastAsia="仿宋" w:cs="仿宋"/>
          <w:color w:val="auto"/>
          <w:sz w:val="24"/>
          <w:highlight w:val="none"/>
        </w:rPr>
      </w:pPr>
    </w:p>
    <w:p>
      <w:pPr>
        <w:spacing w:line="400" w:lineRule="exact"/>
        <w:rPr>
          <w:rFonts w:hint="eastAsia" w:ascii="仿宋" w:hAnsi="仿宋" w:eastAsia="仿宋" w:cs="仿宋"/>
          <w:color w:val="auto"/>
          <w:sz w:val="24"/>
          <w:highlight w:val="none"/>
        </w:rPr>
      </w:pPr>
    </w:p>
    <w:p>
      <w:pPr>
        <w:spacing w:line="400" w:lineRule="exact"/>
        <w:rPr>
          <w:rFonts w:hint="eastAsia" w:ascii="仿宋" w:hAnsi="仿宋" w:eastAsia="仿宋" w:cs="仿宋"/>
          <w:color w:val="auto"/>
          <w:sz w:val="24"/>
          <w:highlight w:val="none"/>
        </w:rPr>
      </w:pPr>
    </w:p>
    <w:p>
      <w:pPr>
        <w:spacing w:line="400" w:lineRule="exact"/>
        <w:rPr>
          <w:rFonts w:hint="eastAsia" w:ascii="仿宋" w:hAnsi="仿宋" w:eastAsia="仿宋" w:cs="仿宋"/>
          <w:color w:val="auto"/>
          <w:sz w:val="24"/>
          <w:highlight w:val="none"/>
        </w:rPr>
      </w:pPr>
    </w:p>
    <w:p>
      <w:pPr>
        <w:spacing w:line="400" w:lineRule="exact"/>
        <w:rPr>
          <w:rFonts w:hint="eastAsia" w:ascii="仿宋" w:hAnsi="仿宋" w:eastAsia="仿宋" w:cs="仿宋"/>
          <w:color w:val="auto"/>
          <w:sz w:val="24"/>
          <w:highlight w:val="none"/>
        </w:rPr>
      </w:pPr>
    </w:p>
    <w:p>
      <w:pPr>
        <w:spacing w:line="400" w:lineRule="exact"/>
        <w:jc w:val="center"/>
        <w:outlineLvl w:val="1"/>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br w:type="page"/>
      </w:r>
      <w:bookmarkStart w:id="40" w:name="_Toc25422"/>
      <w:bookmarkStart w:id="41" w:name="_Toc29787"/>
      <w:bookmarkStart w:id="42" w:name="_Toc16392"/>
      <w:bookmarkStart w:id="43" w:name="_Hlk28269117"/>
      <w:r>
        <w:rPr>
          <w:rFonts w:hint="eastAsia" w:ascii="仿宋" w:hAnsi="仿宋" w:eastAsia="仿宋" w:cs="仿宋"/>
          <w:b/>
          <w:bCs/>
          <w:color w:val="auto"/>
          <w:sz w:val="24"/>
          <w:highlight w:val="none"/>
        </w:rPr>
        <w:t>招标项目评分表</w:t>
      </w:r>
    </w:p>
    <w:p>
      <w:pPr>
        <w:rPr>
          <w:rFonts w:hint="eastAsia" w:ascii="仿宋" w:hAnsi="仿宋" w:eastAsia="仿宋" w:cs="仿宋"/>
          <w:color w:val="auto"/>
          <w:highlight w:val="none"/>
        </w:rPr>
      </w:pPr>
    </w:p>
    <w:p>
      <w:pPr>
        <w:spacing w:line="400" w:lineRule="exact"/>
        <w:jc w:val="center"/>
        <w:outlineLvl w:val="0"/>
        <w:rPr>
          <w:rFonts w:hint="eastAsia" w:ascii="仿宋" w:hAnsi="仿宋" w:eastAsia="仿宋" w:cs="仿宋"/>
          <w:b/>
          <w:bCs/>
          <w:color w:val="auto"/>
          <w:sz w:val="28"/>
          <w:szCs w:val="28"/>
          <w:highlight w:val="none"/>
        </w:rPr>
      </w:pPr>
    </w:p>
    <w:p>
      <w:pPr>
        <w:spacing w:line="400" w:lineRule="exact"/>
        <w:jc w:val="center"/>
        <w:outlineLvl w:val="0"/>
        <w:rPr>
          <w:rFonts w:hint="eastAsia" w:ascii="仿宋" w:hAnsi="仿宋" w:eastAsia="仿宋" w:cs="仿宋"/>
          <w:b/>
          <w:bCs/>
          <w:color w:val="auto"/>
          <w:sz w:val="28"/>
          <w:szCs w:val="28"/>
          <w:highlight w:val="none"/>
        </w:rPr>
      </w:pPr>
    </w:p>
    <w:tbl>
      <w:tblPr>
        <w:tblStyle w:val="18"/>
        <w:tblW w:w="94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2"/>
        <w:gridCol w:w="1686"/>
        <w:gridCol w:w="800"/>
        <w:gridCol w:w="5301"/>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349" w:type="dxa"/>
            <w:gridSpan w:val="4"/>
            <w:noWrap w:val="0"/>
            <w:vAlign w:val="center"/>
          </w:tcPr>
          <w:p>
            <w:pPr>
              <w:autoSpaceDE w:val="0"/>
              <w:autoSpaceDN w:val="0"/>
              <w:adjustRightInd w:val="0"/>
              <w:jc w:val="center"/>
              <w:rPr>
                <w:rFonts w:hint="eastAsia"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评分项及评分规则</w:t>
            </w:r>
          </w:p>
        </w:tc>
        <w:tc>
          <w:tcPr>
            <w:tcW w:w="1134" w:type="dxa"/>
            <w:noWrap w:val="0"/>
            <w:vAlign w:val="center"/>
          </w:tcPr>
          <w:p>
            <w:pPr>
              <w:autoSpaceDE w:val="0"/>
              <w:autoSpaceDN w:val="0"/>
              <w:adjustRightInd w:val="0"/>
              <w:jc w:val="center"/>
              <w:rPr>
                <w:rFonts w:hint="eastAsia"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349" w:type="dxa"/>
            <w:gridSpan w:val="4"/>
            <w:noWrap w:val="0"/>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lang w:val="zh-CN"/>
              </w:rPr>
              <w:t>一、价格部分</w:t>
            </w:r>
          </w:p>
        </w:tc>
        <w:tc>
          <w:tcPr>
            <w:tcW w:w="1134" w:type="dxa"/>
            <w:noWrap w:val="0"/>
            <w:vAlign w:val="center"/>
          </w:tcPr>
          <w:p>
            <w:pPr>
              <w:autoSpaceDE w:val="0"/>
              <w:autoSpaceDN w:val="0"/>
              <w:adjustRightIn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8349" w:type="dxa"/>
            <w:gridSpan w:val="4"/>
            <w:noWrap w:val="0"/>
            <w:vAlign w:val="center"/>
          </w:tcPr>
          <w:p>
            <w:pPr>
              <w:pStyle w:val="15"/>
              <w:widowControl w:val="0"/>
              <w:tabs>
                <w:tab w:val="left" w:pos="960"/>
              </w:tabs>
              <w:spacing w:before="0" w:beforeAutospacing="0" w:after="0" w:afterAutospacing="0" w:line="300" w:lineRule="exact"/>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根据《政府采购货物和服务招标投标管理办法》（财政部令第87号）采用低价优先法，即满足招标文件要求且投标价格最低的投标报价为评标基准价，其价格分为满分。其他投标人的价格分按照下列公式计算：</w:t>
            </w:r>
          </w:p>
          <w:p>
            <w:pPr>
              <w:pStyle w:val="15"/>
              <w:widowControl w:val="0"/>
              <w:tabs>
                <w:tab w:val="left" w:pos="960"/>
              </w:tabs>
              <w:spacing w:before="0" w:beforeAutospacing="0" w:after="0" w:afterAutospacing="0" w:line="300" w:lineRule="exact"/>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投标报价得分=(评标基准价／投标报价)×价格分</w:t>
            </w:r>
          </w:p>
          <w:p>
            <w:pPr>
              <w:pStyle w:val="15"/>
              <w:widowControl w:val="0"/>
              <w:tabs>
                <w:tab w:val="left" w:pos="960"/>
              </w:tabs>
              <w:spacing w:before="0" w:beforeAutospacing="0" w:after="0" w:afterAutospacing="0" w:line="300" w:lineRule="exact"/>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注：根据财库〔2020〕46号、财库[2014]68号及财库[2017]141号文件规定：本项目非专门面向中小企业的项目，对小型和微型企业的价格给予10%的扣除，对监狱企业或残疾人福利性企业的价格给予10%的扣除，用扣除后的价格即为“经评审合格的投标报价”参与价格评审。</w:t>
            </w:r>
          </w:p>
          <w:p>
            <w:pPr>
              <w:autoSpaceDE w:val="0"/>
              <w:autoSpaceDN w:val="0"/>
              <w:adjustRightInd w:val="0"/>
              <w:rPr>
                <w:rFonts w:hint="eastAsia" w:ascii="仿宋" w:hAnsi="仿宋" w:eastAsia="仿宋" w:cs="仿宋"/>
                <w:color w:val="auto"/>
                <w:szCs w:val="21"/>
                <w:highlight w:val="none"/>
                <w:lang w:val="zh-CN"/>
              </w:rPr>
            </w:pPr>
            <w:r>
              <w:rPr>
                <w:rFonts w:hint="eastAsia" w:ascii="仿宋" w:hAnsi="仿宋" w:eastAsia="仿宋" w:cs="仿宋"/>
                <w:color w:val="auto"/>
                <w:kern w:val="2"/>
                <w:sz w:val="22"/>
                <w:szCs w:val="22"/>
                <w:highlight w:val="none"/>
              </w:rPr>
              <w:t>监狱企业应当提供由省级以上监狱管理局、戒毒管理局（含新疆生产建设兵团）出具的属于监狱企业的证明文件，中小企业提供中小企业声明函，残疾人福利性企业提供残疾人福利性企业声明函。</w:t>
            </w:r>
          </w:p>
        </w:tc>
        <w:tc>
          <w:tcPr>
            <w:tcW w:w="1134" w:type="dxa"/>
            <w:noWrap w:val="0"/>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349" w:type="dxa"/>
            <w:gridSpan w:val="4"/>
            <w:noWrap w:val="0"/>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lang w:val="zh-CN"/>
              </w:rPr>
              <w:t>二、商务部分</w:t>
            </w:r>
          </w:p>
        </w:tc>
        <w:tc>
          <w:tcPr>
            <w:tcW w:w="1134" w:type="dxa"/>
            <w:noWrap w:val="0"/>
            <w:vAlign w:val="center"/>
          </w:tcPr>
          <w:p>
            <w:pPr>
              <w:autoSpaceDE w:val="0"/>
              <w:autoSpaceDN w:val="0"/>
              <w:adjustRightIn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noWrap w:val="0"/>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序号</w:t>
            </w:r>
          </w:p>
        </w:tc>
        <w:tc>
          <w:tcPr>
            <w:tcW w:w="1686" w:type="dxa"/>
            <w:noWrap w:val="0"/>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内容</w:t>
            </w:r>
          </w:p>
        </w:tc>
        <w:tc>
          <w:tcPr>
            <w:tcW w:w="800" w:type="dxa"/>
            <w:noWrap w:val="0"/>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权重</w:t>
            </w:r>
          </w:p>
        </w:tc>
        <w:tc>
          <w:tcPr>
            <w:tcW w:w="5301" w:type="dxa"/>
            <w:noWrap w:val="0"/>
            <w:vAlign w:val="center"/>
          </w:tcPr>
          <w:p>
            <w:pPr>
              <w:autoSpaceDE w:val="0"/>
              <w:autoSpaceDN w:val="0"/>
              <w:adjustRightInd w:val="0"/>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评分规则</w:t>
            </w:r>
          </w:p>
        </w:tc>
        <w:tc>
          <w:tcPr>
            <w:tcW w:w="1134" w:type="dxa"/>
            <w:noWrap w:val="0"/>
            <w:vAlign w:val="center"/>
          </w:tcPr>
          <w:p>
            <w:pPr>
              <w:autoSpaceDE w:val="0"/>
              <w:autoSpaceDN w:val="0"/>
              <w:adjustRightInd w:val="0"/>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noWrap w:val="0"/>
            <w:vAlign w:val="center"/>
          </w:tcPr>
          <w:p>
            <w:pPr>
              <w:autoSpaceDE w:val="0"/>
              <w:autoSpaceDN w:val="0"/>
              <w:adjustRightInd w:val="0"/>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w:t>
            </w:r>
          </w:p>
        </w:tc>
        <w:tc>
          <w:tcPr>
            <w:tcW w:w="1686" w:type="dxa"/>
            <w:noWrap w:val="0"/>
            <w:vAlign w:val="center"/>
          </w:tcPr>
          <w:p>
            <w:pPr>
              <w:jc w:val="center"/>
              <w:rPr>
                <w:rFonts w:hint="eastAsia" w:ascii="仿宋" w:hAnsi="仿宋" w:eastAsia="仿宋" w:cs="仿宋"/>
                <w:b w:val="0"/>
                <w:bCs/>
                <w:color w:val="auto"/>
                <w:szCs w:val="21"/>
                <w:highlight w:val="none"/>
                <w:lang w:val="zh-CN"/>
              </w:rPr>
            </w:pPr>
            <w:r>
              <w:rPr>
                <w:rFonts w:hint="eastAsia" w:ascii="仿宋" w:hAnsi="仿宋" w:eastAsia="仿宋" w:cs="仿宋"/>
                <w:color w:val="auto"/>
                <w:szCs w:val="21"/>
                <w:highlight w:val="none"/>
              </w:rPr>
              <w:t>实施方案</w:t>
            </w:r>
          </w:p>
        </w:tc>
        <w:tc>
          <w:tcPr>
            <w:tcW w:w="800"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15</w:t>
            </w:r>
          </w:p>
        </w:tc>
        <w:tc>
          <w:tcPr>
            <w:tcW w:w="5301"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highlight w:val="none"/>
              </w:rPr>
              <w:t>按照投标文件相应情况进行横向比较，分档评分：</w:t>
            </w:r>
            <w:r>
              <w:rPr>
                <w:rFonts w:hint="eastAsia" w:ascii="仿宋" w:hAnsi="仿宋" w:eastAsia="仿宋" w:cs="仿宋"/>
                <w:color w:val="auto"/>
                <w:kern w:val="0"/>
                <w:sz w:val="21"/>
                <w:szCs w:val="21"/>
                <w:highlight w:val="none"/>
                <w:lang w:val="en-US" w:eastAsia="zh-CN" w:bidi="ar"/>
              </w:rPr>
              <w:t>考察投标人对本项目需求的理解程度。投标人提供具体实施方案</w:t>
            </w:r>
            <w:r>
              <w:rPr>
                <w:rFonts w:hint="eastAsia" w:ascii="仿宋" w:hAnsi="仿宋" w:eastAsia="仿宋" w:cs="仿宋"/>
                <w:color w:val="auto"/>
                <w:kern w:val="0"/>
                <w:sz w:val="21"/>
                <w:szCs w:val="21"/>
                <w:highlight w:val="none"/>
                <w:lang w:eastAsia="zh-CN" w:bidi="ar"/>
              </w:rPr>
              <w:t>得分</w:t>
            </w:r>
            <w:r>
              <w:rPr>
                <w:rFonts w:hint="eastAsia" w:ascii="仿宋" w:hAnsi="仿宋" w:eastAsia="仿宋" w:cs="仿宋"/>
                <w:color w:val="auto"/>
                <w:kern w:val="0"/>
                <w:sz w:val="21"/>
                <w:szCs w:val="21"/>
                <w:highlight w:val="none"/>
                <w:lang w:val="en-US" w:eastAsia="zh-CN" w:bidi="ar"/>
              </w:rPr>
              <w:t xml:space="preserve">，不提供不得分：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1.针对本项目的需求制定工作措施；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2.有具体的工作方法及工作手段；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3.明确了具体的工作流程；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满足以上3点得</w:t>
            </w:r>
            <w:r>
              <w:rPr>
                <w:rFonts w:hint="eastAsia" w:ascii="仿宋" w:hAnsi="仿宋" w:eastAsia="仿宋" w:cs="仿宋"/>
                <w:color w:val="auto"/>
                <w:kern w:val="0"/>
                <w:sz w:val="21"/>
                <w:szCs w:val="21"/>
                <w:highlight w:val="none"/>
                <w:lang w:eastAsia="zh-CN" w:bidi="ar"/>
              </w:rPr>
              <w:t>9</w:t>
            </w:r>
            <w:r>
              <w:rPr>
                <w:rFonts w:hint="eastAsia" w:ascii="仿宋" w:hAnsi="仿宋" w:eastAsia="仿宋" w:cs="仿宋"/>
                <w:color w:val="auto"/>
                <w:kern w:val="0"/>
                <w:sz w:val="21"/>
                <w:szCs w:val="21"/>
                <w:highlight w:val="none"/>
                <w:lang w:val="en-US" w:eastAsia="zh-CN" w:bidi="ar"/>
              </w:rPr>
              <w:t xml:space="preserve">分，满足任意2点得 </w:t>
            </w:r>
            <w:r>
              <w:rPr>
                <w:rFonts w:hint="eastAsia" w:ascii="仿宋" w:hAnsi="仿宋" w:eastAsia="仿宋" w:cs="仿宋"/>
                <w:color w:val="auto"/>
                <w:kern w:val="0"/>
                <w:sz w:val="21"/>
                <w:szCs w:val="21"/>
                <w:highlight w:val="none"/>
                <w:lang w:eastAsia="zh-CN" w:bidi="ar"/>
              </w:rPr>
              <w:t>6</w:t>
            </w:r>
            <w:r>
              <w:rPr>
                <w:rFonts w:hint="eastAsia" w:ascii="仿宋" w:hAnsi="仿宋" w:eastAsia="仿宋" w:cs="仿宋"/>
                <w:color w:val="auto"/>
                <w:kern w:val="0"/>
                <w:sz w:val="21"/>
                <w:szCs w:val="21"/>
                <w:highlight w:val="none"/>
                <w:lang w:val="en-US" w:eastAsia="zh-CN" w:bidi="ar"/>
              </w:rPr>
              <w:t>分，满足任意1点得</w:t>
            </w:r>
            <w:r>
              <w:rPr>
                <w:rFonts w:hint="eastAsia" w:ascii="仿宋" w:hAnsi="仿宋" w:eastAsia="仿宋" w:cs="仿宋"/>
                <w:color w:val="auto"/>
                <w:kern w:val="0"/>
                <w:sz w:val="21"/>
                <w:szCs w:val="21"/>
                <w:highlight w:val="none"/>
                <w:lang w:eastAsia="zh-CN" w:bidi="ar"/>
              </w:rPr>
              <w:t>3</w:t>
            </w:r>
            <w:r>
              <w:rPr>
                <w:rFonts w:hint="eastAsia" w:ascii="仿宋" w:hAnsi="仿宋" w:eastAsia="仿宋" w:cs="仿宋"/>
                <w:color w:val="auto"/>
                <w:kern w:val="0"/>
                <w:sz w:val="21"/>
                <w:szCs w:val="21"/>
                <w:highlight w:val="none"/>
                <w:lang w:val="en-US" w:eastAsia="zh-CN" w:bidi="ar"/>
              </w:rPr>
              <w:t xml:space="preserve">分，未满足不得分。在此基础上，专家根据各供应商的具体响应内容按照量化的评审因素指标进一步评审：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1.实施方案分析准确、符合项目要求，具体实施措施科学有效的评审为优得</w:t>
            </w:r>
            <w:r>
              <w:rPr>
                <w:rFonts w:hint="eastAsia" w:ascii="仿宋" w:hAnsi="仿宋" w:eastAsia="仿宋" w:cs="仿宋"/>
                <w:color w:val="auto"/>
                <w:kern w:val="0"/>
                <w:sz w:val="21"/>
                <w:szCs w:val="21"/>
                <w:highlight w:val="none"/>
                <w:lang w:eastAsia="zh-CN" w:bidi="ar"/>
              </w:rPr>
              <w:t>6</w:t>
            </w:r>
            <w:r>
              <w:rPr>
                <w:rFonts w:hint="eastAsia" w:ascii="仿宋" w:hAnsi="仿宋" w:eastAsia="仿宋" w:cs="仿宋"/>
                <w:color w:val="auto"/>
                <w:kern w:val="0"/>
                <w:sz w:val="21"/>
                <w:szCs w:val="21"/>
                <w:highlight w:val="none"/>
                <w:lang w:val="en-US" w:eastAsia="zh-CN" w:bidi="ar"/>
              </w:rPr>
              <w:t xml:space="preserve">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2.实施方案分析较准确、较符合项目要求，具体实施措施较科学有效评审为良的得</w:t>
            </w:r>
            <w:r>
              <w:rPr>
                <w:rFonts w:hint="eastAsia" w:ascii="仿宋" w:hAnsi="仿宋" w:eastAsia="仿宋" w:cs="仿宋"/>
                <w:color w:val="auto"/>
                <w:kern w:val="0"/>
                <w:sz w:val="21"/>
                <w:szCs w:val="21"/>
                <w:highlight w:val="none"/>
                <w:lang w:eastAsia="zh-CN" w:bidi="ar"/>
              </w:rPr>
              <w:t>3</w:t>
            </w:r>
            <w:r>
              <w:rPr>
                <w:rFonts w:hint="eastAsia" w:ascii="仿宋" w:hAnsi="仿宋" w:eastAsia="仿宋" w:cs="仿宋"/>
                <w:color w:val="auto"/>
                <w:kern w:val="0"/>
                <w:sz w:val="21"/>
                <w:szCs w:val="21"/>
                <w:highlight w:val="none"/>
                <w:lang w:val="en-US" w:eastAsia="zh-CN" w:bidi="ar"/>
              </w:rPr>
              <w:t xml:space="preserve">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3.实施方案分析基本准确、基本符合项目要求，具体实施措施基本科学有效评审为中的得</w:t>
            </w:r>
            <w:r>
              <w:rPr>
                <w:rFonts w:hint="eastAsia" w:ascii="仿宋" w:hAnsi="仿宋" w:eastAsia="仿宋" w:cs="仿宋"/>
                <w:color w:val="auto"/>
                <w:kern w:val="0"/>
                <w:sz w:val="21"/>
                <w:szCs w:val="21"/>
                <w:highlight w:val="none"/>
                <w:lang w:eastAsia="zh-CN" w:bidi="ar"/>
              </w:rPr>
              <w:t>1</w:t>
            </w:r>
            <w:r>
              <w:rPr>
                <w:rFonts w:hint="eastAsia" w:ascii="仿宋" w:hAnsi="仿宋" w:eastAsia="仿宋" w:cs="仿宋"/>
                <w:color w:val="auto"/>
                <w:kern w:val="0"/>
                <w:sz w:val="21"/>
                <w:szCs w:val="21"/>
                <w:highlight w:val="none"/>
                <w:lang w:val="en-US" w:eastAsia="zh-CN" w:bidi="ar"/>
              </w:rPr>
              <w:t xml:space="preserve">分； </w:t>
            </w:r>
          </w:p>
          <w:p>
            <w:pPr>
              <w:pStyle w:val="7"/>
              <w:rPr>
                <w:rFonts w:hint="eastAsia" w:ascii="仿宋" w:hAnsi="仿宋" w:eastAsia="仿宋" w:cs="仿宋"/>
                <w:color w:val="auto"/>
                <w:highlight w:val="none"/>
                <w:lang w:val="en-US" w:eastAsia="zh-CN"/>
              </w:rPr>
            </w:pPr>
            <w:r>
              <w:rPr>
                <w:rFonts w:hint="eastAsia" w:ascii="仿宋" w:hAnsi="仿宋" w:eastAsia="仿宋" w:cs="仿宋"/>
                <w:color w:val="auto"/>
                <w:kern w:val="0"/>
                <w:sz w:val="21"/>
                <w:szCs w:val="21"/>
                <w:highlight w:val="none"/>
                <w:lang w:val="en-US" w:eastAsia="zh-CN" w:bidi="ar"/>
              </w:rPr>
              <w:t>4.实施方案分析不准确、不符合项目要求，具体实施措施不科学有效评审为差的得 0 分。</w:t>
            </w:r>
          </w:p>
          <w:p>
            <w:pPr>
              <w:pStyle w:val="11"/>
              <w:rPr>
                <w:rFonts w:hint="eastAsia" w:ascii="仿宋" w:hAnsi="仿宋" w:eastAsia="仿宋" w:cs="仿宋"/>
                <w:color w:val="auto"/>
                <w:highlight w:val="none"/>
                <w:lang w:eastAsia="zh-CN"/>
              </w:rPr>
            </w:pPr>
            <w:r>
              <w:rPr>
                <w:rFonts w:hint="eastAsia" w:ascii="仿宋" w:hAnsi="仿宋" w:eastAsia="仿宋" w:cs="仿宋"/>
                <w:color w:val="auto"/>
                <w:sz w:val="21"/>
                <w:szCs w:val="21"/>
                <w:highlight w:val="none"/>
              </w:rPr>
              <w:t>如果评审为差，要求专家书面说明理由，并记录在档。</w:t>
            </w:r>
          </w:p>
        </w:tc>
        <w:tc>
          <w:tcPr>
            <w:tcW w:w="1134" w:type="dxa"/>
            <w:noWrap w:val="0"/>
            <w:vAlign w:val="center"/>
          </w:tcPr>
          <w:p>
            <w:pPr>
              <w:autoSpaceDE w:val="0"/>
              <w:autoSpaceDN w:val="0"/>
              <w:adjustRightInd w:val="0"/>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noWrap w:val="0"/>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686" w:type="dxa"/>
            <w:noWrap w:val="0"/>
            <w:vAlign w:val="center"/>
          </w:tcPr>
          <w:p>
            <w:pPr>
              <w:jc w:val="center"/>
              <w:rPr>
                <w:rFonts w:hint="eastAsia" w:ascii="仿宋" w:hAnsi="仿宋" w:eastAsia="仿宋" w:cs="仿宋"/>
                <w:b w:val="0"/>
                <w:bCs/>
                <w:color w:val="auto"/>
                <w:szCs w:val="21"/>
                <w:highlight w:val="none"/>
                <w:lang w:val="zh-CN"/>
              </w:rPr>
            </w:pPr>
            <w:r>
              <w:rPr>
                <w:rFonts w:hint="eastAsia" w:ascii="仿宋" w:hAnsi="仿宋" w:eastAsia="仿宋" w:cs="仿宋"/>
                <w:color w:val="auto"/>
                <w:szCs w:val="21"/>
                <w:highlight w:val="none"/>
              </w:rPr>
              <w:t>项目重点难点分析、应对措施及相关的合理化建议</w:t>
            </w:r>
          </w:p>
        </w:tc>
        <w:tc>
          <w:tcPr>
            <w:tcW w:w="800"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5301"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highlight w:val="none"/>
              </w:rPr>
              <w:t>按照投标文件相应情况进行横向比较，</w:t>
            </w:r>
            <w:r>
              <w:rPr>
                <w:rFonts w:hint="eastAsia" w:ascii="仿宋" w:hAnsi="仿宋" w:eastAsia="仿宋" w:cs="仿宋"/>
                <w:color w:val="auto"/>
                <w:kern w:val="0"/>
                <w:sz w:val="21"/>
                <w:szCs w:val="21"/>
                <w:highlight w:val="none"/>
                <w:lang w:val="en-US" w:eastAsia="zh-CN" w:bidi="ar"/>
              </w:rPr>
              <w:t>考察投标人对本项目需求的理解程度。投标人提供具体实施方案</w:t>
            </w:r>
            <w:r>
              <w:rPr>
                <w:rFonts w:hint="eastAsia" w:ascii="仿宋" w:hAnsi="仿宋" w:eastAsia="仿宋" w:cs="仿宋"/>
                <w:color w:val="auto"/>
                <w:kern w:val="0"/>
                <w:sz w:val="21"/>
                <w:szCs w:val="21"/>
                <w:highlight w:val="none"/>
                <w:lang w:eastAsia="zh-CN" w:bidi="ar"/>
              </w:rPr>
              <w:t>得分</w:t>
            </w:r>
            <w:r>
              <w:rPr>
                <w:rFonts w:hint="eastAsia" w:ascii="仿宋" w:hAnsi="仿宋" w:eastAsia="仿宋" w:cs="仿宋"/>
                <w:color w:val="auto"/>
                <w:kern w:val="0"/>
                <w:sz w:val="21"/>
                <w:szCs w:val="21"/>
                <w:highlight w:val="none"/>
                <w:lang w:val="en-US" w:eastAsia="zh-CN" w:bidi="ar"/>
              </w:rPr>
              <w:t xml:space="preserve">，不提供不得分：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kern w:val="0"/>
                <w:sz w:val="21"/>
                <w:szCs w:val="21"/>
                <w:highlight w:val="none"/>
                <w:lang w:eastAsia="zh-CN" w:bidi="ar"/>
              </w:rPr>
              <w:t>准确分析项目的重点难点</w:t>
            </w:r>
            <w:r>
              <w:rPr>
                <w:rFonts w:hint="eastAsia" w:ascii="仿宋" w:hAnsi="仿宋" w:eastAsia="仿宋" w:cs="仿宋"/>
                <w:color w:val="auto"/>
                <w:kern w:val="0"/>
                <w:sz w:val="21"/>
                <w:szCs w:val="21"/>
                <w:highlight w:val="no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2.有具体的工作方法及工作手段；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3.明确了具体的工作流程</w:t>
            </w:r>
            <w:r>
              <w:rPr>
                <w:rFonts w:hint="eastAsia" w:ascii="仿宋" w:hAnsi="仿宋" w:eastAsia="仿宋" w:cs="仿宋"/>
                <w:color w:val="auto"/>
                <w:kern w:val="0"/>
                <w:sz w:val="21"/>
                <w:szCs w:val="21"/>
                <w:highlight w:val="none"/>
                <w:lang w:eastAsia="zh-CN" w:bidi="ar"/>
              </w:rPr>
              <w:t>，并提出合理化建议</w:t>
            </w:r>
            <w:r>
              <w:rPr>
                <w:rFonts w:hint="eastAsia" w:ascii="仿宋" w:hAnsi="仿宋" w:eastAsia="仿宋" w:cs="仿宋"/>
                <w:color w:val="auto"/>
                <w:kern w:val="0"/>
                <w:sz w:val="21"/>
                <w:szCs w:val="21"/>
                <w:highlight w:val="no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满足以上3点得</w:t>
            </w:r>
            <w:r>
              <w:rPr>
                <w:rFonts w:hint="eastAsia" w:ascii="仿宋" w:hAnsi="仿宋" w:eastAsia="仿宋" w:cs="仿宋"/>
                <w:color w:val="auto"/>
                <w:kern w:val="0"/>
                <w:sz w:val="21"/>
                <w:szCs w:val="21"/>
                <w:highlight w:val="none"/>
                <w:lang w:eastAsia="zh-CN" w:bidi="ar"/>
              </w:rPr>
              <w:t>9</w:t>
            </w:r>
            <w:r>
              <w:rPr>
                <w:rFonts w:hint="eastAsia" w:ascii="仿宋" w:hAnsi="仿宋" w:eastAsia="仿宋" w:cs="仿宋"/>
                <w:color w:val="auto"/>
                <w:kern w:val="0"/>
                <w:sz w:val="21"/>
                <w:szCs w:val="21"/>
                <w:highlight w:val="none"/>
                <w:lang w:val="en-US" w:eastAsia="zh-CN" w:bidi="ar"/>
              </w:rPr>
              <w:t xml:space="preserve">分，满足任意2点得 </w:t>
            </w:r>
            <w:r>
              <w:rPr>
                <w:rFonts w:hint="eastAsia" w:ascii="仿宋" w:hAnsi="仿宋" w:eastAsia="仿宋" w:cs="仿宋"/>
                <w:color w:val="auto"/>
                <w:kern w:val="0"/>
                <w:sz w:val="21"/>
                <w:szCs w:val="21"/>
                <w:highlight w:val="none"/>
                <w:lang w:eastAsia="zh-CN" w:bidi="ar"/>
              </w:rPr>
              <w:t>6</w:t>
            </w:r>
            <w:r>
              <w:rPr>
                <w:rFonts w:hint="eastAsia" w:ascii="仿宋" w:hAnsi="仿宋" w:eastAsia="仿宋" w:cs="仿宋"/>
                <w:color w:val="auto"/>
                <w:kern w:val="0"/>
                <w:sz w:val="21"/>
                <w:szCs w:val="21"/>
                <w:highlight w:val="none"/>
                <w:lang w:val="en-US" w:eastAsia="zh-CN" w:bidi="ar"/>
              </w:rPr>
              <w:t>分，满足任意1点得</w:t>
            </w:r>
            <w:r>
              <w:rPr>
                <w:rFonts w:hint="eastAsia" w:ascii="仿宋" w:hAnsi="仿宋" w:eastAsia="仿宋" w:cs="仿宋"/>
                <w:color w:val="auto"/>
                <w:kern w:val="0"/>
                <w:sz w:val="21"/>
                <w:szCs w:val="21"/>
                <w:highlight w:val="none"/>
                <w:lang w:eastAsia="zh-CN" w:bidi="ar"/>
              </w:rPr>
              <w:t>3</w:t>
            </w:r>
            <w:r>
              <w:rPr>
                <w:rFonts w:hint="eastAsia" w:ascii="仿宋" w:hAnsi="仿宋" w:eastAsia="仿宋" w:cs="仿宋"/>
                <w:color w:val="auto"/>
                <w:kern w:val="0"/>
                <w:sz w:val="21"/>
                <w:szCs w:val="21"/>
                <w:highlight w:val="none"/>
                <w:lang w:val="en-US" w:eastAsia="zh-CN" w:bidi="ar"/>
              </w:rPr>
              <w:t xml:space="preserve">分，未满足不得分。在此基础上，专家根据各供应商的具体响应内容按照量化的评审因素指标进一步评审：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1.实施方案分析准确、符合项目要求，具体实施措施科学有效的评审为优得</w:t>
            </w:r>
            <w:r>
              <w:rPr>
                <w:rFonts w:hint="eastAsia" w:ascii="仿宋" w:hAnsi="仿宋" w:eastAsia="仿宋" w:cs="仿宋"/>
                <w:color w:val="auto"/>
                <w:kern w:val="0"/>
                <w:sz w:val="21"/>
                <w:szCs w:val="21"/>
                <w:highlight w:val="none"/>
                <w:lang w:eastAsia="zh-CN" w:bidi="ar"/>
              </w:rPr>
              <w:t>6</w:t>
            </w:r>
            <w:r>
              <w:rPr>
                <w:rFonts w:hint="eastAsia" w:ascii="仿宋" w:hAnsi="仿宋" w:eastAsia="仿宋" w:cs="仿宋"/>
                <w:color w:val="auto"/>
                <w:kern w:val="0"/>
                <w:sz w:val="21"/>
                <w:szCs w:val="21"/>
                <w:highlight w:val="none"/>
                <w:lang w:val="en-US" w:eastAsia="zh-CN" w:bidi="ar"/>
              </w:rPr>
              <w:t xml:space="preserve">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2.实施方案分析较准确、较符合项目要求，具体实施措施较科学有效评审为良的得</w:t>
            </w:r>
            <w:r>
              <w:rPr>
                <w:rFonts w:hint="eastAsia" w:ascii="仿宋" w:hAnsi="仿宋" w:eastAsia="仿宋" w:cs="仿宋"/>
                <w:color w:val="auto"/>
                <w:kern w:val="0"/>
                <w:sz w:val="21"/>
                <w:szCs w:val="21"/>
                <w:highlight w:val="none"/>
                <w:lang w:eastAsia="zh-CN" w:bidi="ar"/>
              </w:rPr>
              <w:t>3</w:t>
            </w:r>
            <w:r>
              <w:rPr>
                <w:rFonts w:hint="eastAsia" w:ascii="仿宋" w:hAnsi="仿宋" w:eastAsia="仿宋" w:cs="仿宋"/>
                <w:color w:val="auto"/>
                <w:kern w:val="0"/>
                <w:sz w:val="21"/>
                <w:szCs w:val="21"/>
                <w:highlight w:val="none"/>
                <w:lang w:val="en-US" w:eastAsia="zh-CN" w:bidi="ar"/>
              </w:rPr>
              <w:t xml:space="preserve">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3.实施方案分析基本准确、基本符合项目要求，具体实施措施基本科学有效评审为中的得</w:t>
            </w:r>
            <w:r>
              <w:rPr>
                <w:rFonts w:hint="eastAsia" w:ascii="仿宋" w:hAnsi="仿宋" w:eastAsia="仿宋" w:cs="仿宋"/>
                <w:color w:val="auto"/>
                <w:kern w:val="0"/>
                <w:sz w:val="21"/>
                <w:szCs w:val="21"/>
                <w:highlight w:val="none"/>
                <w:lang w:eastAsia="zh-CN" w:bidi="ar"/>
              </w:rPr>
              <w:t>1</w:t>
            </w:r>
            <w:r>
              <w:rPr>
                <w:rFonts w:hint="eastAsia" w:ascii="仿宋" w:hAnsi="仿宋" w:eastAsia="仿宋" w:cs="仿宋"/>
                <w:color w:val="auto"/>
                <w:kern w:val="0"/>
                <w:sz w:val="21"/>
                <w:szCs w:val="21"/>
                <w:highlight w:val="none"/>
                <w:lang w:val="en-US" w:eastAsia="zh-CN" w:bidi="ar"/>
              </w:rPr>
              <w:t xml:space="preserve">分； </w:t>
            </w:r>
          </w:p>
          <w:p>
            <w:pPr>
              <w:pStyle w:val="7"/>
              <w:rPr>
                <w:rFonts w:hint="eastAsia" w:ascii="仿宋" w:hAnsi="仿宋" w:eastAsia="仿宋" w:cs="仿宋"/>
                <w:color w:val="auto"/>
                <w:highlight w:val="none"/>
                <w:lang w:val="en-US" w:eastAsia="zh-CN"/>
              </w:rPr>
            </w:pPr>
            <w:r>
              <w:rPr>
                <w:rFonts w:hint="eastAsia" w:ascii="仿宋" w:hAnsi="仿宋" w:eastAsia="仿宋" w:cs="仿宋"/>
                <w:color w:val="auto"/>
                <w:kern w:val="0"/>
                <w:sz w:val="21"/>
                <w:szCs w:val="21"/>
                <w:highlight w:val="none"/>
                <w:lang w:val="en-US" w:eastAsia="zh-CN" w:bidi="ar"/>
              </w:rPr>
              <w:t>4.实施方案分析不准确、不符合项目要求，具体实施措施不科学有效评审为差的得 0 分。</w:t>
            </w:r>
          </w:p>
          <w:p>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如果评审为差，要求专家书面说明理由，并记录在档。</w:t>
            </w:r>
          </w:p>
        </w:tc>
        <w:tc>
          <w:tcPr>
            <w:tcW w:w="1134" w:type="dxa"/>
            <w:noWrap w:val="0"/>
            <w:vAlign w:val="center"/>
          </w:tcPr>
          <w:p>
            <w:pP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noWrap w:val="0"/>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686" w:type="dxa"/>
            <w:noWrap w:val="0"/>
            <w:vAlign w:val="center"/>
          </w:tcPr>
          <w:p>
            <w:pPr>
              <w:jc w:val="center"/>
              <w:rPr>
                <w:rFonts w:hint="eastAsia" w:ascii="仿宋" w:hAnsi="仿宋" w:eastAsia="仿宋" w:cs="仿宋"/>
                <w:b w:val="0"/>
                <w:bCs/>
                <w:color w:val="auto"/>
                <w:szCs w:val="21"/>
                <w:highlight w:val="none"/>
                <w:lang w:val="zh-CN"/>
              </w:rPr>
            </w:pPr>
            <w:r>
              <w:rPr>
                <w:rFonts w:hint="eastAsia" w:ascii="仿宋" w:hAnsi="仿宋" w:eastAsia="仿宋" w:cs="仿宋"/>
                <w:color w:val="auto"/>
                <w:szCs w:val="21"/>
                <w:highlight w:val="none"/>
              </w:rPr>
              <w:t>数据和报告质量保障措施及方案</w:t>
            </w:r>
          </w:p>
        </w:tc>
        <w:tc>
          <w:tcPr>
            <w:tcW w:w="800" w:type="dxa"/>
            <w:noWrap w:val="0"/>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10</w:t>
            </w:r>
          </w:p>
        </w:tc>
        <w:tc>
          <w:tcPr>
            <w:tcW w:w="5301" w:type="dxa"/>
            <w:noWrap w:val="0"/>
            <w:vAlign w:val="top"/>
          </w:tcPr>
          <w:p>
            <w:pPr>
              <w:pStyle w:val="7"/>
              <w:rPr>
                <w:rFonts w:hint="eastAsia" w:ascii="仿宋" w:hAnsi="仿宋" w:eastAsia="仿宋" w:cs="仿宋"/>
                <w:color w:val="auto"/>
                <w:highlight w:val="none"/>
              </w:rPr>
            </w:pPr>
            <w:r>
              <w:rPr>
                <w:rFonts w:hint="eastAsia" w:ascii="仿宋" w:hAnsi="仿宋" w:eastAsia="仿宋" w:cs="仿宋"/>
                <w:color w:val="auto"/>
                <w:highlight w:val="none"/>
              </w:rPr>
              <w:t>按照投标文件</w:t>
            </w:r>
            <w:r>
              <w:rPr>
                <w:rFonts w:hint="eastAsia" w:ascii="仿宋" w:hAnsi="仿宋" w:eastAsia="仿宋" w:cs="仿宋"/>
                <w:color w:val="auto"/>
                <w:highlight w:val="none"/>
                <w:lang w:val="en-US" w:eastAsia="zh-CN"/>
              </w:rPr>
              <w:t>响</w:t>
            </w:r>
            <w:r>
              <w:rPr>
                <w:rFonts w:hint="eastAsia" w:ascii="仿宋" w:hAnsi="仿宋" w:eastAsia="仿宋" w:cs="仿宋"/>
                <w:color w:val="auto"/>
                <w:highlight w:val="none"/>
              </w:rPr>
              <w:t>应情况进行横向比较，考察投标人对本项目统计数据质量把控的理解程度。投标人提供具体方案得分，不提供不得分：</w:t>
            </w:r>
          </w:p>
          <w:p>
            <w:pPr>
              <w:pStyle w:val="7"/>
              <w:rPr>
                <w:rFonts w:hint="eastAsia" w:ascii="仿宋" w:hAnsi="仿宋" w:eastAsia="仿宋" w:cs="仿宋"/>
                <w:color w:val="auto"/>
                <w:highlight w:val="none"/>
              </w:rPr>
            </w:pPr>
            <w:r>
              <w:rPr>
                <w:rFonts w:hint="eastAsia" w:ascii="仿宋" w:hAnsi="仿宋" w:eastAsia="仿宋" w:cs="仿宋"/>
                <w:color w:val="auto"/>
                <w:highlight w:val="none"/>
              </w:rPr>
              <w:t>1.列明数据和报告质量保障环节；</w:t>
            </w:r>
          </w:p>
          <w:p>
            <w:pPr>
              <w:pStyle w:val="7"/>
              <w:rPr>
                <w:rFonts w:hint="eastAsia" w:ascii="仿宋" w:hAnsi="仿宋" w:eastAsia="仿宋" w:cs="仿宋"/>
                <w:color w:val="auto"/>
                <w:highlight w:val="none"/>
              </w:rPr>
            </w:pPr>
            <w:r>
              <w:rPr>
                <w:rFonts w:hint="eastAsia" w:ascii="仿宋" w:hAnsi="仿宋" w:eastAsia="仿宋" w:cs="仿宋"/>
                <w:color w:val="auto"/>
                <w:highlight w:val="none"/>
              </w:rPr>
              <w:t>2.明确了具体质量把控流程。</w:t>
            </w:r>
          </w:p>
          <w:p>
            <w:pPr>
              <w:pStyle w:val="7"/>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highlight w:val="none"/>
              </w:rPr>
              <w:t>满足以上2点得6分，</w:t>
            </w:r>
            <w:r>
              <w:rPr>
                <w:rFonts w:hint="eastAsia" w:ascii="仿宋" w:hAnsi="仿宋" w:eastAsia="仿宋" w:cs="仿宋"/>
                <w:color w:val="auto"/>
                <w:kern w:val="0"/>
                <w:sz w:val="21"/>
                <w:szCs w:val="21"/>
                <w:highlight w:val="none"/>
                <w:lang w:val="en-US" w:eastAsia="zh-CN" w:bidi="ar"/>
              </w:rPr>
              <w:t>满足任意1点得</w:t>
            </w:r>
            <w:r>
              <w:rPr>
                <w:rFonts w:hint="eastAsia" w:ascii="仿宋" w:hAnsi="仿宋" w:eastAsia="仿宋" w:cs="仿宋"/>
                <w:color w:val="auto"/>
                <w:kern w:val="0"/>
                <w:sz w:val="21"/>
                <w:szCs w:val="21"/>
                <w:highlight w:val="none"/>
                <w:lang w:eastAsia="zh-CN" w:bidi="ar"/>
              </w:rPr>
              <w:t>3</w:t>
            </w:r>
            <w:r>
              <w:rPr>
                <w:rFonts w:hint="eastAsia" w:ascii="仿宋" w:hAnsi="仿宋" w:eastAsia="仿宋" w:cs="仿宋"/>
                <w:color w:val="auto"/>
                <w:kern w:val="0"/>
                <w:sz w:val="21"/>
                <w:szCs w:val="21"/>
                <w:highlight w:val="none"/>
                <w:lang w:val="en-US" w:eastAsia="zh-CN" w:bidi="ar"/>
              </w:rPr>
              <w:t>分，未满足不得分。在此基础上，专家根据各供应商的具体响应内容按照量化的评审因素指标进一步评审：</w:t>
            </w:r>
          </w:p>
          <w:p>
            <w:pPr>
              <w:pStyle w:val="7"/>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highlight w:val="none"/>
              </w:rPr>
              <w:t>数据和报告质量</w:t>
            </w:r>
            <w:r>
              <w:rPr>
                <w:rFonts w:hint="eastAsia" w:ascii="仿宋" w:hAnsi="仿宋" w:eastAsia="仿宋" w:cs="仿宋"/>
                <w:color w:val="auto"/>
                <w:kern w:val="0"/>
                <w:sz w:val="21"/>
                <w:szCs w:val="21"/>
                <w:highlight w:val="none"/>
                <w:lang w:eastAsia="zh-CN" w:bidi="ar"/>
              </w:rPr>
              <w:t>把控方案</w:t>
            </w:r>
            <w:r>
              <w:rPr>
                <w:rFonts w:hint="eastAsia" w:ascii="仿宋" w:hAnsi="仿宋" w:eastAsia="仿宋" w:cs="仿宋"/>
                <w:color w:val="auto"/>
                <w:kern w:val="0"/>
                <w:sz w:val="21"/>
                <w:szCs w:val="21"/>
                <w:highlight w:val="none"/>
                <w:lang w:val="en-US" w:eastAsia="zh-CN" w:bidi="ar"/>
              </w:rPr>
              <w:t>准确、符合项目要求，具体实施措施科学有效的评审为优得</w:t>
            </w:r>
            <w:r>
              <w:rPr>
                <w:rFonts w:hint="eastAsia" w:ascii="仿宋" w:hAnsi="仿宋" w:eastAsia="仿宋" w:cs="仿宋"/>
                <w:color w:val="auto"/>
                <w:kern w:val="0"/>
                <w:sz w:val="21"/>
                <w:szCs w:val="21"/>
                <w:highlight w:val="none"/>
                <w:lang w:eastAsia="zh-CN" w:bidi="ar"/>
              </w:rPr>
              <w:t>4</w:t>
            </w:r>
            <w:r>
              <w:rPr>
                <w:rFonts w:hint="eastAsia" w:ascii="仿宋" w:hAnsi="仿宋" w:eastAsia="仿宋" w:cs="仿宋"/>
                <w:color w:val="auto"/>
                <w:kern w:val="0"/>
                <w:sz w:val="21"/>
                <w:szCs w:val="21"/>
                <w:highlight w:val="none"/>
                <w:lang w:val="en-US" w:eastAsia="zh-CN" w:bidi="ar"/>
              </w:rPr>
              <w:t xml:space="preserve">分， </w:t>
            </w:r>
          </w:p>
          <w:p>
            <w:pPr>
              <w:pStyle w:val="7"/>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highlight w:val="none"/>
              </w:rPr>
              <w:t>数据和报告质量</w:t>
            </w:r>
            <w:r>
              <w:rPr>
                <w:rFonts w:hint="eastAsia" w:ascii="仿宋" w:hAnsi="仿宋" w:eastAsia="仿宋" w:cs="仿宋"/>
                <w:color w:val="auto"/>
                <w:kern w:val="0"/>
                <w:sz w:val="21"/>
                <w:szCs w:val="21"/>
                <w:highlight w:val="none"/>
                <w:lang w:eastAsia="zh-CN" w:bidi="ar"/>
              </w:rPr>
              <w:t>量把控方案</w:t>
            </w:r>
            <w:r>
              <w:rPr>
                <w:rFonts w:hint="eastAsia" w:ascii="仿宋" w:hAnsi="仿宋" w:eastAsia="仿宋" w:cs="仿宋"/>
                <w:color w:val="auto"/>
                <w:kern w:val="0"/>
                <w:sz w:val="21"/>
                <w:szCs w:val="21"/>
                <w:highlight w:val="none"/>
                <w:lang w:val="en-US" w:eastAsia="zh-CN" w:bidi="ar"/>
              </w:rPr>
              <w:t>较准确、较符合项目要求，具体实施措施较科学有效评审为良的得</w:t>
            </w:r>
            <w:r>
              <w:rPr>
                <w:rFonts w:hint="eastAsia" w:ascii="仿宋" w:hAnsi="仿宋" w:eastAsia="仿宋" w:cs="仿宋"/>
                <w:color w:val="auto"/>
                <w:kern w:val="0"/>
                <w:sz w:val="21"/>
                <w:szCs w:val="21"/>
                <w:highlight w:val="none"/>
                <w:lang w:eastAsia="zh-CN" w:bidi="ar"/>
              </w:rPr>
              <w:t>2</w:t>
            </w:r>
            <w:r>
              <w:rPr>
                <w:rFonts w:hint="eastAsia" w:ascii="仿宋" w:hAnsi="仿宋" w:eastAsia="仿宋" w:cs="仿宋"/>
                <w:color w:val="auto"/>
                <w:kern w:val="0"/>
                <w:sz w:val="21"/>
                <w:szCs w:val="21"/>
                <w:highlight w:val="none"/>
                <w:lang w:val="en-US" w:eastAsia="zh-CN" w:bidi="ar"/>
              </w:rPr>
              <w:t xml:space="preserve">分， </w:t>
            </w:r>
          </w:p>
          <w:p>
            <w:pPr>
              <w:pStyle w:val="7"/>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w:t>
            </w:r>
            <w:r>
              <w:rPr>
                <w:rFonts w:hint="eastAsia" w:ascii="仿宋" w:hAnsi="仿宋" w:eastAsia="仿宋" w:cs="仿宋"/>
                <w:color w:val="auto"/>
                <w:highlight w:val="none"/>
              </w:rPr>
              <w:t>数据和报告质量</w:t>
            </w:r>
            <w:r>
              <w:rPr>
                <w:rFonts w:hint="eastAsia" w:ascii="仿宋" w:hAnsi="仿宋" w:eastAsia="仿宋" w:cs="仿宋"/>
                <w:color w:val="auto"/>
                <w:kern w:val="0"/>
                <w:sz w:val="21"/>
                <w:szCs w:val="21"/>
                <w:highlight w:val="none"/>
                <w:lang w:eastAsia="zh-CN" w:bidi="ar"/>
              </w:rPr>
              <w:t>把控方案</w:t>
            </w:r>
            <w:r>
              <w:rPr>
                <w:rFonts w:hint="eastAsia" w:ascii="仿宋" w:hAnsi="仿宋" w:eastAsia="仿宋" w:cs="仿宋"/>
                <w:color w:val="auto"/>
                <w:kern w:val="0"/>
                <w:sz w:val="21"/>
                <w:szCs w:val="21"/>
                <w:highlight w:val="none"/>
                <w:lang w:val="en-US" w:eastAsia="zh-CN" w:bidi="ar"/>
              </w:rPr>
              <w:t>基本准确、基本符合项目要求，具体实施措施基本科学有效评审为中的得</w:t>
            </w:r>
            <w:r>
              <w:rPr>
                <w:rFonts w:hint="eastAsia" w:ascii="仿宋" w:hAnsi="仿宋" w:eastAsia="仿宋" w:cs="仿宋"/>
                <w:color w:val="auto"/>
                <w:kern w:val="0"/>
                <w:sz w:val="21"/>
                <w:szCs w:val="21"/>
                <w:highlight w:val="none"/>
                <w:lang w:eastAsia="zh-CN" w:bidi="ar"/>
              </w:rPr>
              <w:t>1</w:t>
            </w:r>
            <w:r>
              <w:rPr>
                <w:rFonts w:hint="eastAsia" w:ascii="仿宋" w:hAnsi="仿宋" w:eastAsia="仿宋" w:cs="仿宋"/>
                <w:color w:val="auto"/>
                <w:kern w:val="0"/>
                <w:sz w:val="21"/>
                <w:szCs w:val="21"/>
                <w:highlight w:val="none"/>
                <w:lang w:val="en-US" w:eastAsia="zh-CN" w:bidi="ar"/>
              </w:rPr>
              <w:t xml:space="preserve">分； </w:t>
            </w:r>
          </w:p>
          <w:p>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highlight w:val="none"/>
                <w:lang w:val="en-US" w:eastAsia="zh-CN" w:bidi="ar"/>
              </w:rPr>
              <w:t>4.</w:t>
            </w:r>
            <w:r>
              <w:rPr>
                <w:rFonts w:hint="eastAsia" w:ascii="仿宋" w:hAnsi="仿宋" w:eastAsia="仿宋" w:cs="仿宋"/>
                <w:color w:val="auto"/>
                <w:highlight w:val="none"/>
              </w:rPr>
              <w:t>数据和报告质量</w:t>
            </w:r>
            <w:r>
              <w:rPr>
                <w:rFonts w:hint="eastAsia" w:ascii="仿宋" w:hAnsi="仿宋" w:eastAsia="仿宋" w:cs="仿宋"/>
                <w:color w:val="auto"/>
                <w:kern w:val="0"/>
                <w:sz w:val="21"/>
                <w:szCs w:val="21"/>
                <w:highlight w:val="none"/>
                <w:lang w:eastAsia="zh-CN" w:bidi="ar"/>
              </w:rPr>
              <w:t>把控方案</w:t>
            </w:r>
            <w:r>
              <w:rPr>
                <w:rFonts w:hint="eastAsia" w:ascii="仿宋" w:hAnsi="仿宋" w:eastAsia="仿宋" w:cs="仿宋"/>
                <w:color w:val="auto"/>
                <w:kern w:val="0"/>
                <w:sz w:val="21"/>
                <w:szCs w:val="21"/>
                <w:highlight w:val="none"/>
                <w:lang w:val="en-US" w:eastAsia="zh-CN" w:bidi="ar"/>
              </w:rPr>
              <w:t>不准确、不符合项目要求，具体实施措施不科学有效评审为差的得 0 分。</w:t>
            </w:r>
            <w:r>
              <w:rPr>
                <w:rFonts w:hint="eastAsia" w:ascii="仿宋" w:hAnsi="仿宋" w:eastAsia="仿宋" w:cs="仿宋"/>
                <w:color w:val="auto"/>
                <w:szCs w:val="21"/>
                <w:highlight w:val="none"/>
              </w:rPr>
              <w:t>如果评审为差，要求专家书面说明理由，并记录在档。</w:t>
            </w:r>
          </w:p>
        </w:tc>
        <w:tc>
          <w:tcPr>
            <w:tcW w:w="1134" w:type="dxa"/>
            <w:noWrap w:val="0"/>
            <w:vAlign w:val="center"/>
          </w:tcPr>
          <w:p>
            <w:pP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349" w:type="dxa"/>
            <w:gridSpan w:val="4"/>
            <w:noWrap w:val="0"/>
            <w:vAlign w:val="center"/>
          </w:tcPr>
          <w:p>
            <w:pPr>
              <w:autoSpaceDE w:val="0"/>
              <w:autoSpaceDN w:val="0"/>
              <w:adjustRightInd w:val="0"/>
              <w:jc w:val="center"/>
              <w:rPr>
                <w:rFonts w:hint="eastAsia" w:ascii="仿宋" w:hAnsi="仿宋" w:eastAsia="仿宋" w:cs="仿宋"/>
                <w:color w:val="auto"/>
                <w:szCs w:val="21"/>
                <w:highlight w:val="none"/>
                <w:lang w:val="zh-CN"/>
              </w:rPr>
            </w:pPr>
            <w:r>
              <w:rPr>
                <w:rFonts w:hint="eastAsia" w:ascii="仿宋" w:hAnsi="仿宋" w:eastAsia="仿宋" w:cs="仿宋"/>
                <w:b/>
                <w:bCs/>
                <w:color w:val="auto"/>
                <w:kern w:val="0"/>
                <w:szCs w:val="21"/>
                <w:highlight w:val="none"/>
                <w:lang w:val="zh-CN"/>
              </w:rPr>
              <w:t>三、技术部分</w:t>
            </w:r>
          </w:p>
        </w:tc>
        <w:tc>
          <w:tcPr>
            <w:tcW w:w="1134" w:type="dxa"/>
            <w:noWrap w:val="0"/>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noWrap w:val="0"/>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序号</w:t>
            </w:r>
          </w:p>
        </w:tc>
        <w:tc>
          <w:tcPr>
            <w:tcW w:w="1686" w:type="dxa"/>
            <w:noWrap w:val="0"/>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内容</w:t>
            </w:r>
          </w:p>
        </w:tc>
        <w:tc>
          <w:tcPr>
            <w:tcW w:w="800" w:type="dxa"/>
            <w:noWrap w:val="0"/>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权重</w:t>
            </w:r>
          </w:p>
        </w:tc>
        <w:tc>
          <w:tcPr>
            <w:tcW w:w="5301" w:type="dxa"/>
            <w:noWrap w:val="0"/>
            <w:vAlign w:val="center"/>
          </w:tcPr>
          <w:p>
            <w:pPr>
              <w:autoSpaceDE w:val="0"/>
              <w:autoSpaceDN w:val="0"/>
              <w:adjustRightInd w:val="0"/>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评分规则</w:t>
            </w:r>
          </w:p>
        </w:tc>
        <w:tc>
          <w:tcPr>
            <w:tcW w:w="1134" w:type="dxa"/>
            <w:noWrap w:val="0"/>
            <w:vAlign w:val="center"/>
          </w:tcPr>
          <w:p>
            <w:pPr>
              <w:autoSpaceDE w:val="0"/>
              <w:autoSpaceDN w:val="0"/>
              <w:adjustRightInd w:val="0"/>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562" w:type="dxa"/>
            <w:tcBorders>
              <w:top w:val="single" w:color="auto" w:sz="4" w:space="0"/>
              <w:bottom w:val="single" w:color="auto" w:sz="4" w:space="0"/>
            </w:tcBorders>
            <w:noWrap w:val="0"/>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686" w:type="dxa"/>
            <w:tcBorders>
              <w:top w:val="single" w:color="auto" w:sz="4" w:space="0"/>
              <w:bottom w:val="single" w:color="auto" w:sz="4" w:space="0"/>
            </w:tcBorders>
            <w:noWrap w:val="0"/>
            <w:vAlign w:val="center"/>
          </w:tcPr>
          <w:p>
            <w:pPr>
              <w:jc w:val="center"/>
              <w:rPr>
                <w:rFonts w:hint="eastAsia" w:ascii="仿宋" w:hAnsi="仿宋" w:eastAsia="仿宋" w:cs="仿宋"/>
                <w:b w:val="0"/>
                <w:bCs/>
                <w:color w:val="auto"/>
                <w:szCs w:val="21"/>
                <w:highlight w:val="none"/>
                <w:lang w:val="zh-CN"/>
              </w:rPr>
            </w:pPr>
            <w:r>
              <w:rPr>
                <w:rFonts w:hint="eastAsia" w:ascii="仿宋" w:hAnsi="仿宋" w:eastAsia="仿宋" w:cs="仿宋"/>
                <w:color w:val="auto"/>
                <w:szCs w:val="21"/>
                <w:highlight w:val="none"/>
              </w:rPr>
              <w:t>投标人同类项目业绩情况</w:t>
            </w:r>
          </w:p>
        </w:tc>
        <w:tc>
          <w:tcPr>
            <w:tcW w:w="800" w:type="dxa"/>
            <w:tcBorders>
              <w:top w:val="single" w:color="auto" w:sz="4" w:space="0"/>
              <w:bottom w:val="single" w:color="auto" w:sz="4" w:space="0"/>
            </w:tcBorders>
            <w:noWrap w:val="0"/>
            <w:vAlign w:val="top"/>
          </w:tcPr>
          <w:p>
            <w:pPr>
              <w:jc w:val="center"/>
              <w:rPr>
                <w:rFonts w:hint="eastAsia" w:ascii="仿宋" w:hAnsi="仿宋" w:eastAsia="仿宋" w:cs="仿宋"/>
                <w:color w:val="auto"/>
                <w:szCs w:val="21"/>
                <w:highlight w:val="none"/>
              </w:rPr>
            </w:pPr>
          </w:p>
          <w:p>
            <w:pPr>
              <w:jc w:val="center"/>
              <w:rPr>
                <w:rFonts w:hint="eastAsia" w:ascii="仿宋" w:hAnsi="仿宋" w:eastAsia="仿宋" w:cs="仿宋"/>
                <w:color w:val="auto"/>
                <w:szCs w:val="21"/>
                <w:highlight w:val="none"/>
              </w:rPr>
            </w:pPr>
          </w:p>
          <w:p>
            <w:pPr>
              <w:jc w:val="center"/>
              <w:rPr>
                <w:rFonts w:hint="eastAsia" w:ascii="仿宋" w:hAnsi="仿宋" w:eastAsia="仿宋" w:cs="仿宋"/>
                <w:color w:val="auto"/>
                <w:szCs w:val="21"/>
                <w:highlight w:val="none"/>
              </w:rPr>
            </w:pPr>
          </w:p>
          <w:p>
            <w:pPr>
              <w:jc w:val="center"/>
              <w:rPr>
                <w:rFonts w:hint="eastAsia" w:ascii="仿宋" w:hAnsi="仿宋" w:eastAsia="仿宋" w:cs="仿宋"/>
                <w:color w:val="auto"/>
                <w:szCs w:val="21"/>
                <w:highlight w:val="none"/>
              </w:rPr>
            </w:pPr>
          </w:p>
          <w:p>
            <w:pPr>
              <w:jc w:val="center"/>
              <w:rPr>
                <w:rFonts w:hint="eastAsia" w:ascii="仿宋" w:hAnsi="仿宋" w:eastAsia="仿宋" w:cs="仿宋"/>
                <w:color w:val="auto"/>
                <w:szCs w:val="21"/>
                <w:highlight w:val="none"/>
              </w:rPr>
            </w:pPr>
          </w:p>
          <w:p>
            <w:pPr>
              <w:jc w:val="center"/>
              <w:rPr>
                <w:rFonts w:hint="eastAsia" w:ascii="仿宋" w:hAnsi="仿宋" w:eastAsia="仿宋" w:cs="仿宋"/>
                <w:color w:val="auto"/>
                <w:szCs w:val="21"/>
                <w:highlight w:val="none"/>
              </w:rPr>
            </w:pPr>
          </w:p>
          <w:p>
            <w:pPr>
              <w:jc w:val="center"/>
              <w:rPr>
                <w:rFonts w:hint="eastAsia" w:ascii="仿宋" w:hAnsi="仿宋" w:eastAsia="仿宋" w:cs="仿宋"/>
                <w:color w:val="auto"/>
                <w:szCs w:val="21"/>
                <w:highlight w:val="none"/>
              </w:rPr>
            </w:pPr>
          </w:p>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15</w:t>
            </w:r>
          </w:p>
        </w:tc>
        <w:tc>
          <w:tcPr>
            <w:tcW w:w="5301" w:type="dxa"/>
            <w:tcBorders>
              <w:top w:val="single" w:color="auto" w:sz="4" w:space="0"/>
              <w:bottom w:val="single" w:color="auto" w:sz="4" w:space="0"/>
            </w:tcBorders>
            <w:noWrap w:val="0"/>
            <w:vAlign w:val="top"/>
          </w:tcPr>
          <w:p>
            <w:pPr>
              <w:spacing w:line="24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评审内容：</w:t>
            </w:r>
          </w:p>
          <w:p>
            <w:pPr>
              <w:spacing w:line="2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投标人近五年（201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月-投标截止日，以合同签订时间为准）协助市或区政府部门开展租金项目评估实施经验的，每提供一个有效业绩得5分，本项最高得分15分。</w:t>
            </w:r>
          </w:p>
          <w:p>
            <w:pPr>
              <w:spacing w:line="240" w:lineRule="exact"/>
              <w:jc w:val="lef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须提供</w:t>
            </w:r>
            <w:r>
              <w:rPr>
                <w:rFonts w:hint="eastAsia" w:ascii="仿宋" w:hAnsi="仿宋" w:eastAsia="仿宋" w:cs="仿宋"/>
                <w:color w:val="auto"/>
                <w:szCs w:val="21"/>
                <w:highlight w:val="none"/>
              </w:rPr>
              <w:t>：</w:t>
            </w:r>
          </w:p>
          <w:p>
            <w:pPr>
              <w:spacing w:line="2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1.最近五年承担的类似项目业绩一览表（包含合作单位、合作时间、项目名称、项目简介等信息）；</w:t>
            </w:r>
          </w:p>
          <w:p>
            <w:pPr>
              <w:spacing w:line="2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2.服务项目的合同关键页（包括但不限于合同封面、合作内容、合作时间、双方盖章页等）作为得分依据。</w:t>
            </w:r>
          </w:p>
          <w:p>
            <w:pPr>
              <w:spacing w:line="2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3.同一项目不重复得分。通过合同关键信息无法判断是否得分的，须提供能证明得分的其它证明资料，如项目报告或合同甲方出具的证明文件等。未按要求提供或提供不清晰导致专家无法判断的不得分。</w:t>
            </w:r>
          </w:p>
          <w:p>
            <w:pPr>
              <w:spacing w:line="240" w:lineRule="exact"/>
              <w:jc w:val="left"/>
              <w:rPr>
                <w:rFonts w:hint="eastAsia" w:ascii="仿宋" w:hAnsi="仿宋" w:eastAsia="仿宋" w:cs="仿宋"/>
                <w:color w:val="auto"/>
                <w:highlight w:val="none"/>
                <w:lang w:bidi="ar"/>
              </w:rPr>
            </w:pPr>
            <w:r>
              <w:rPr>
                <w:rFonts w:hint="eastAsia" w:ascii="仿宋" w:hAnsi="仿宋" w:eastAsia="仿宋" w:cs="仿宋"/>
                <w:color w:val="auto"/>
                <w:szCs w:val="21"/>
                <w:highlight w:val="none"/>
              </w:rPr>
              <w:t>4.以上资料均要求提供复印件加盖投标人公章，原件备查。</w:t>
            </w:r>
          </w:p>
        </w:tc>
        <w:tc>
          <w:tcPr>
            <w:tcW w:w="1134" w:type="dxa"/>
            <w:tcBorders>
              <w:top w:val="single" w:color="auto" w:sz="4" w:space="0"/>
              <w:bottom w:val="single" w:color="auto" w:sz="4" w:space="0"/>
            </w:tcBorders>
            <w:noWrap w:val="0"/>
            <w:vAlign w:val="center"/>
          </w:tcPr>
          <w:p>
            <w:pPr>
              <w:autoSpaceDE w:val="0"/>
              <w:autoSpaceDN w:val="0"/>
              <w:adjustRightInd w:val="0"/>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60" w:hRule="atLeast"/>
          <w:jc w:val="center"/>
        </w:trPr>
        <w:tc>
          <w:tcPr>
            <w:tcW w:w="562" w:type="dxa"/>
            <w:tcBorders>
              <w:top w:val="single" w:color="auto" w:sz="4" w:space="0"/>
            </w:tcBorders>
            <w:noWrap w:val="0"/>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686" w:type="dxa"/>
            <w:tcBorders>
              <w:top w:val="single" w:color="auto" w:sz="4" w:space="0"/>
            </w:tcBorders>
            <w:noWrap w:val="0"/>
            <w:vAlign w:val="center"/>
          </w:tcPr>
          <w:p>
            <w:pPr>
              <w:jc w:val="center"/>
              <w:rPr>
                <w:rFonts w:hint="eastAsia" w:ascii="仿宋" w:hAnsi="仿宋" w:eastAsia="仿宋" w:cs="仿宋"/>
                <w:b w:val="0"/>
                <w:bCs/>
                <w:color w:val="auto"/>
                <w:szCs w:val="21"/>
                <w:highlight w:val="none"/>
                <w:lang w:val="zh-CN"/>
              </w:rPr>
            </w:pPr>
            <w:r>
              <w:rPr>
                <w:rFonts w:hint="eastAsia" w:ascii="仿宋" w:hAnsi="仿宋" w:eastAsia="仿宋" w:cs="仿宋"/>
                <w:color w:val="auto"/>
                <w:szCs w:val="21"/>
                <w:highlight w:val="none"/>
              </w:rPr>
              <w:t>拟安排的项目负责人情况（仅限一人）</w:t>
            </w:r>
          </w:p>
        </w:tc>
        <w:tc>
          <w:tcPr>
            <w:tcW w:w="800" w:type="dxa"/>
            <w:tcBorders>
              <w:top w:val="single" w:color="auto" w:sz="4" w:space="0"/>
            </w:tcBorders>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10</w:t>
            </w:r>
          </w:p>
        </w:tc>
        <w:tc>
          <w:tcPr>
            <w:tcW w:w="5301" w:type="dxa"/>
            <w:tcBorders>
              <w:top w:val="single" w:color="auto" w:sz="4" w:space="0"/>
            </w:tcBorders>
            <w:noWrap w:val="0"/>
            <w:vAlign w:val="top"/>
          </w:tcPr>
          <w:p>
            <w:pPr>
              <w:spacing w:line="24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评审内容：</w:t>
            </w:r>
          </w:p>
          <w:p>
            <w:pPr>
              <w:spacing w:line="2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1.项目负责人具有房地产估价师资格证书的得5分；</w:t>
            </w:r>
          </w:p>
          <w:p>
            <w:pPr>
              <w:spacing w:line="2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2.项目负责人具有硕士研究生或以上学历的得5分；</w:t>
            </w:r>
          </w:p>
          <w:p>
            <w:pPr>
              <w:spacing w:line="24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须提供：</w:t>
            </w:r>
          </w:p>
          <w:p>
            <w:pPr>
              <w:spacing w:line="2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1.提供项目负责人职称证书、学历证书（毕业证书或学位证书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同时提供</w:t>
            </w:r>
            <w:r>
              <w:rPr>
                <w:rFonts w:hint="eastAsia" w:ascii="仿宋" w:hAnsi="仿宋" w:eastAsia="仿宋" w:cs="仿宋"/>
                <w:color w:val="auto"/>
                <w:szCs w:val="21"/>
                <w:highlight w:val="none"/>
              </w:rPr>
              <w:t>学信网查询记录，学信网无法查询的，提供毕业院校或者人社部门等颁发机构或者监管机构等单位出具的证明）复印件。</w:t>
            </w:r>
          </w:p>
          <w:p>
            <w:pPr>
              <w:spacing w:line="2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2.要求提供项目负责人投标截止日前6个月的（202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月-202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月，如开标日上一个月的社保材料因社保部门原因暂时无法取得，则可以往前顺延一个月）社保缴纳记录（加盖社保部门公章）。</w:t>
            </w:r>
          </w:p>
          <w:p>
            <w:pPr>
              <w:spacing w:line="240" w:lineRule="exact"/>
              <w:jc w:val="left"/>
              <w:rPr>
                <w:rFonts w:hint="eastAsia" w:ascii="仿宋" w:hAnsi="仿宋" w:eastAsia="仿宋" w:cs="仿宋"/>
                <w:color w:val="auto"/>
                <w:kern w:val="2"/>
                <w:sz w:val="21"/>
                <w:szCs w:val="21"/>
                <w:highlight w:val="none"/>
              </w:rPr>
            </w:pPr>
            <w:r>
              <w:rPr>
                <w:rFonts w:hint="eastAsia" w:ascii="仿宋" w:hAnsi="仿宋" w:eastAsia="仿宋" w:cs="仿宋"/>
                <w:color w:val="auto"/>
                <w:szCs w:val="21"/>
                <w:highlight w:val="none"/>
              </w:rPr>
              <w:t>3.以上资料均要求提供复印件</w:t>
            </w:r>
            <w:r>
              <w:rPr>
                <w:rFonts w:hint="eastAsia" w:ascii="仿宋" w:hAnsi="仿宋" w:eastAsia="仿宋" w:cs="仿宋"/>
                <w:color w:val="auto"/>
                <w:szCs w:val="21"/>
                <w:highlight w:val="none"/>
                <w:lang w:val="en-US" w:eastAsia="zh-CN"/>
              </w:rPr>
              <w:t>加盖投标人公章</w:t>
            </w:r>
            <w:r>
              <w:rPr>
                <w:rFonts w:hint="eastAsia" w:ascii="仿宋" w:hAnsi="仿宋" w:eastAsia="仿宋" w:cs="仿宋"/>
                <w:color w:val="auto"/>
                <w:szCs w:val="21"/>
                <w:highlight w:val="none"/>
              </w:rPr>
              <w:t>，原件备查。未按要求提供或提供不清晰导致专家无法判断的不得分。</w:t>
            </w:r>
          </w:p>
        </w:tc>
        <w:tc>
          <w:tcPr>
            <w:tcW w:w="1134" w:type="dxa"/>
            <w:tcBorders>
              <w:top w:val="single" w:color="auto" w:sz="4" w:space="0"/>
            </w:tcBorders>
            <w:noWrap w:val="0"/>
            <w:vAlign w:val="center"/>
          </w:tcPr>
          <w:p>
            <w:pPr>
              <w:autoSpaceDE w:val="0"/>
              <w:autoSpaceDN w:val="0"/>
              <w:adjustRightInd w:val="0"/>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562" w:type="dxa"/>
            <w:noWrap w:val="0"/>
            <w:vAlign w:val="center"/>
          </w:tcPr>
          <w:p>
            <w:pPr>
              <w:autoSpaceDE w:val="0"/>
              <w:autoSpaceDN w:val="0"/>
              <w:adjustRightIn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3</w:t>
            </w:r>
          </w:p>
        </w:tc>
        <w:tc>
          <w:tcPr>
            <w:tcW w:w="1686" w:type="dxa"/>
            <w:noWrap w:val="0"/>
            <w:vAlign w:val="center"/>
          </w:tcPr>
          <w:p>
            <w:pPr>
              <w:jc w:val="center"/>
              <w:rPr>
                <w:rFonts w:hint="eastAsia" w:ascii="仿宋" w:hAnsi="仿宋" w:eastAsia="仿宋" w:cs="仿宋"/>
                <w:color w:val="auto"/>
                <w:szCs w:val="21"/>
                <w:highlight w:val="none"/>
              </w:rPr>
            </w:pPr>
          </w:p>
          <w:p>
            <w:pPr>
              <w:jc w:val="center"/>
              <w:rPr>
                <w:rFonts w:hint="eastAsia" w:ascii="仿宋" w:hAnsi="仿宋" w:eastAsia="仿宋" w:cs="仿宋"/>
                <w:color w:val="auto"/>
                <w:szCs w:val="21"/>
                <w:highlight w:val="none"/>
              </w:rPr>
            </w:pPr>
          </w:p>
          <w:p>
            <w:pPr>
              <w:jc w:val="center"/>
              <w:rPr>
                <w:rFonts w:hint="eastAsia" w:ascii="仿宋" w:hAnsi="仿宋" w:eastAsia="仿宋" w:cs="仿宋"/>
                <w:b w:val="0"/>
                <w:bCs/>
                <w:color w:val="auto"/>
                <w:kern w:val="0"/>
                <w:szCs w:val="21"/>
                <w:highlight w:val="none"/>
                <w:lang w:val="zh-CN"/>
              </w:rPr>
            </w:pPr>
            <w:r>
              <w:rPr>
                <w:rFonts w:hint="eastAsia" w:ascii="仿宋" w:hAnsi="仿宋" w:eastAsia="仿宋" w:cs="仿宋"/>
                <w:color w:val="auto"/>
                <w:szCs w:val="21"/>
                <w:highlight w:val="none"/>
              </w:rPr>
              <w:t>拟安排的项目主要团队成员（主要技术人员）情况（项目负责人除外）</w:t>
            </w:r>
          </w:p>
        </w:tc>
        <w:tc>
          <w:tcPr>
            <w:tcW w:w="800" w:type="dxa"/>
            <w:noWrap w:val="0"/>
            <w:vAlign w:val="center"/>
          </w:tcPr>
          <w:p>
            <w:pPr>
              <w:jc w:val="center"/>
              <w:rPr>
                <w:rFonts w:hint="eastAsia" w:ascii="仿宋" w:hAnsi="仿宋" w:eastAsia="仿宋" w:cs="仿宋"/>
                <w:color w:val="auto"/>
                <w:szCs w:val="21"/>
                <w:highlight w:val="none"/>
              </w:rPr>
            </w:pPr>
          </w:p>
          <w:p>
            <w:pPr>
              <w:jc w:val="center"/>
              <w:rPr>
                <w:rFonts w:hint="eastAsia" w:ascii="仿宋" w:hAnsi="仿宋" w:eastAsia="仿宋" w:cs="仿宋"/>
                <w:color w:val="auto"/>
                <w:szCs w:val="21"/>
                <w:highlight w:val="none"/>
              </w:rPr>
            </w:pPr>
          </w:p>
          <w:p>
            <w:pPr>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Cs w:val="21"/>
                <w:highlight w:val="none"/>
              </w:rPr>
              <w:t>10</w:t>
            </w:r>
          </w:p>
        </w:tc>
        <w:tc>
          <w:tcPr>
            <w:tcW w:w="5301" w:type="dxa"/>
            <w:noWrap w:val="0"/>
            <w:vAlign w:val="top"/>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每有一个房地产估价师资格证书的得5分，最高为10分。</w:t>
            </w:r>
          </w:p>
          <w:p>
            <w:pPr>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须提供：</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1.提供执业资格证明复印件。</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2.要求提供项目团队成员投标截止日前6个月（202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月-202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月如开标日上一个月的社保材料因社保部门原因暂时无法取得，则可以往前顺延一个月）的社保缴纳记录（加盖社保部门公章）。</w:t>
            </w:r>
          </w:p>
          <w:p>
            <w:pPr>
              <w:jc w:val="left"/>
              <w:rPr>
                <w:rFonts w:hint="eastAsia" w:ascii="仿宋" w:hAnsi="仿宋" w:eastAsia="仿宋" w:cs="仿宋"/>
                <w:color w:val="auto"/>
                <w:kern w:val="0"/>
                <w:szCs w:val="21"/>
                <w:highlight w:val="none"/>
                <w:lang w:val="zh-CN"/>
              </w:rPr>
            </w:pPr>
            <w:r>
              <w:rPr>
                <w:rFonts w:hint="eastAsia" w:ascii="仿宋" w:hAnsi="仿宋" w:eastAsia="仿宋" w:cs="仿宋"/>
                <w:color w:val="auto"/>
                <w:szCs w:val="21"/>
                <w:highlight w:val="none"/>
              </w:rPr>
              <w:t>3.以上资料均要求提供复印件</w:t>
            </w:r>
            <w:r>
              <w:rPr>
                <w:rFonts w:hint="eastAsia" w:ascii="仿宋" w:hAnsi="仿宋" w:eastAsia="仿宋" w:cs="仿宋"/>
                <w:color w:val="auto"/>
                <w:szCs w:val="21"/>
                <w:highlight w:val="none"/>
                <w:lang w:val="en-US" w:eastAsia="zh-CN"/>
              </w:rPr>
              <w:t>加盖投标人公章</w:t>
            </w:r>
            <w:r>
              <w:rPr>
                <w:rFonts w:hint="eastAsia" w:ascii="仿宋" w:hAnsi="仿宋" w:eastAsia="仿宋" w:cs="仿宋"/>
                <w:color w:val="auto"/>
                <w:szCs w:val="21"/>
                <w:highlight w:val="none"/>
              </w:rPr>
              <w:t>，原件备查。未按要求提供或提供不清晰导致专家无法判断的不得分。</w:t>
            </w:r>
          </w:p>
        </w:tc>
        <w:tc>
          <w:tcPr>
            <w:tcW w:w="1134" w:type="dxa"/>
            <w:noWrap w:val="0"/>
            <w:vAlign w:val="center"/>
          </w:tcPr>
          <w:p>
            <w:pPr>
              <w:autoSpaceDE w:val="0"/>
              <w:autoSpaceDN w:val="0"/>
              <w:adjustRightInd w:val="0"/>
              <w:jc w:val="left"/>
              <w:rPr>
                <w:rFonts w:hint="eastAsia" w:ascii="仿宋" w:hAnsi="仿宋" w:eastAsia="仿宋" w:cs="仿宋"/>
                <w:color w:val="auto"/>
                <w:kern w:val="0"/>
                <w:szCs w:val="21"/>
                <w:highlight w:val="none"/>
                <w:lang w:val="zh-CN"/>
              </w:rPr>
            </w:pPr>
            <w:r>
              <w:rPr>
                <w:rFonts w:hint="eastAsia" w:ascii="仿宋" w:hAnsi="仿宋" w:eastAsia="仿宋" w:cs="仿宋"/>
                <w:color w:val="auto"/>
                <w:szCs w:val="21"/>
                <w:highlight w:val="none"/>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562" w:type="dxa"/>
            <w:noWrap w:val="0"/>
            <w:vAlign w:val="center"/>
          </w:tcPr>
          <w:p>
            <w:pPr>
              <w:autoSpaceDE w:val="0"/>
              <w:autoSpaceDN w:val="0"/>
              <w:adjustRightInd w:val="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686" w:type="dxa"/>
            <w:noWrap w:val="0"/>
            <w:vAlign w:val="center"/>
          </w:tcPr>
          <w:p>
            <w:pPr>
              <w:wordWrap w:val="0"/>
              <w:jc w:val="center"/>
              <w:rPr>
                <w:rFonts w:hint="eastAsia" w:ascii="仿宋" w:hAnsi="仿宋" w:eastAsia="仿宋" w:cs="仿宋"/>
                <w:b w:val="0"/>
                <w:bCs/>
                <w:color w:val="auto"/>
                <w:kern w:val="0"/>
                <w:szCs w:val="21"/>
                <w:highlight w:val="none"/>
                <w:lang w:val="zh-CN"/>
              </w:rPr>
            </w:pPr>
            <w:r>
              <w:rPr>
                <w:rFonts w:hint="eastAsia" w:ascii="仿宋" w:hAnsi="仿宋" w:eastAsia="仿宋" w:cs="仿宋"/>
                <w:color w:val="auto"/>
                <w:szCs w:val="21"/>
                <w:highlight w:val="none"/>
              </w:rPr>
              <w:t>诚信管理情况</w:t>
            </w:r>
          </w:p>
        </w:tc>
        <w:tc>
          <w:tcPr>
            <w:tcW w:w="800" w:type="dxa"/>
            <w:noWrap w:val="0"/>
            <w:vAlign w:val="center"/>
          </w:tcPr>
          <w:p>
            <w:pPr>
              <w:wordWrap w:val="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Cs w:val="21"/>
                <w:highlight w:val="none"/>
              </w:rPr>
              <w:t>5</w:t>
            </w:r>
          </w:p>
        </w:tc>
        <w:tc>
          <w:tcPr>
            <w:tcW w:w="5301" w:type="dxa"/>
            <w:noWrap w:val="0"/>
            <w:vAlign w:val="top"/>
          </w:tcPr>
          <w:p>
            <w:pPr>
              <w:wordWrap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投标人在参与政府采购活动中存在诚信相关问题且在主管部门相关处理措施实施期限内的，本项不得分，否则得满分。</w:t>
            </w:r>
          </w:p>
          <w:p>
            <w:pPr>
              <w:wordWrap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证明文件：</w:t>
            </w:r>
          </w:p>
          <w:p>
            <w:pPr>
              <w:wordWrap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须提供《投标人诚信承诺函》原件加盖投标人公章，按招标文件格式要求提供，不提供不得分。如被认定提供的陈述与事实不符的，依法追究其责任。</w:t>
            </w:r>
          </w:p>
        </w:tc>
        <w:tc>
          <w:tcPr>
            <w:tcW w:w="1134" w:type="dxa"/>
            <w:noWrap w:val="0"/>
            <w:vAlign w:val="center"/>
          </w:tcPr>
          <w:p>
            <w:pPr>
              <w:autoSpaceDE w:val="0"/>
              <w:autoSpaceDN w:val="0"/>
              <w:adjustRightInd w:val="0"/>
              <w:jc w:val="left"/>
              <w:rPr>
                <w:rFonts w:hint="eastAsia" w:ascii="仿宋" w:hAnsi="仿宋" w:eastAsia="仿宋" w:cs="仿宋"/>
                <w:color w:val="auto"/>
                <w:kern w:val="0"/>
                <w:szCs w:val="21"/>
                <w:highlight w:val="none"/>
                <w:lang w:val="zh-CN"/>
              </w:rPr>
            </w:pPr>
            <w:r>
              <w:rPr>
                <w:rFonts w:hint="eastAsia" w:ascii="仿宋" w:hAnsi="仿宋" w:eastAsia="仿宋" w:cs="仿宋"/>
                <w:color w:val="auto"/>
                <w:szCs w:val="21"/>
                <w:highlight w:val="none"/>
                <w:lang w:val="zh-CN"/>
              </w:rPr>
              <w:t>评委打分</w:t>
            </w:r>
          </w:p>
        </w:tc>
      </w:tr>
    </w:tbl>
    <w:p>
      <w:pPr>
        <w:spacing w:line="400" w:lineRule="exact"/>
        <w:jc w:val="center"/>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第七章 附件（投标文件格式）</w:t>
      </w:r>
      <w:bookmarkEnd w:id="40"/>
      <w:bookmarkEnd w:id="41"/>
      <w:bookmarkEnd w:id="42"/>
    </w:p>
    <w:p>
      <w:pPr>
        <w:keepNext/>
        <w:keepLines/>
        <w:spacing w:before="260" w:after="260" w:line="400" w:lineRule="exact"/>
        <w:jc w:val="center"/>
        <w:outlineLvl w:val="1"/>
        <w:rPr>
          <w:rFonts w:hint="eastAsia" w:ascii="仿宋" w:hAnsi="仿宋" w:eastAsia="仿宋" w:cs="仿宋"/>
          <w:b/>
          <w:bCs/>
          <w:color w:val="auto"/>
          <w:sz w:val="24"/>
          <w:highlight w:val="none"/>
        </w:rPr>
      </w:pPr>
      <w:bookmarkStart w:id="44" w:name="_Toc31827"/>
      <w:bookmarkStart w:id="45" w:name="_Toc19494"/>
      <w:bookmarkStart w:id="46" w:name="_Toc6548"/>
      <w:bookmarkStart w:id="47" w:name="_Toc5116"/>
      <w:r>
        <w:rPr>
          <w:rFonts w:hint="eastAsia" w:ascii="仿宋" w:hAnsi="仿宋" w:eastAsia="仿宋" w:cs="仿宋"/>
          <w:b/>
          <w:bCs/>
          <w:color w:val="auto"/>
          <w:sz w:val="24"/>
          <w:highlight w:val="none"/>
        </w:rPr>
        <w:t>1.投标文件密封袋/封面参考</w:t>
      </w:r>
      <w:bookmarkEnd w:id="44"/>
      <w:bookmarkEnd w:id="45"/>
      <w:bookmarkEnd w:id="46"/>
      <w:bookmarkEnd w:id="47"/>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2"/>
              <w:tabs>
                <w:tab w:val="left" w:pos="562"/>
                <w:tab w:val="left" w:pos="3372"/>
                <w:tab w:val="left" w:pos="3653"/>
              </w:tabs>
              <w:spacing w:line="760" w:lineRule="exact"/>
              <w:rPr>
                <w:rFonts w:hint="eastAsia" w:ascii="仿宋" w:hAnsi="仿宋" w:eastAsia="仿宋" w:cs="仿宋"/>
                <w:b/>
                <w:color w:val="auto"/>
                <w:sz w:val="32"/>
                <w:highlight w:val="none"/>
              </w:rPr>
            </w:pPr>
          </w:p>
          <w:p>
            <w:pPr>
              <w:pStyle w:val="2"/>
              <w:tabs>
                <w:tab w:val="left" w:pos="562"/>
                <w:tab w:val="left" w:pos="3372"/>
                <w:tab w:val="left" w:pos="3653"/>
              </w:tabs>
              <w:spacing w:line="760" w:lineRule="exact"/>
              <w:jc w:val="center"/>
              <w:rPr>
                <w:rFonts w:hint="eastAsia" w:ascii="仿宋" w:hAnsi="仿宋" w:eastAsia="仿宋" w:cs="仿宋"/>
                <w:b/>
                <w:color w:val="auto"/>
                <w:sz w:val="72"/>
                <w:szCs w:val="72"/>
                <w:highlight w:val="none"/>
              </w:rPr>
            </w:pPr>
          </w:p>
          <w:p>
            <w:pPr>
              <w:pStyle w:val="2"/>
              <w:tabs>
                <w:tab w:val="left" w:pos="562"/>
                <w:tab w:val="left" w:pos="3372"/>
                <w:tab w:val="left" w:pos="3653"/>
              </w:tabs>
              <w:spacing w:line="760" w:lineRule="exac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投 标 文 件</w:t>
            </w:r>
          </w:p>
          <w:p>
            <w:pPr>
              <w:pStyle w:val="2"/>
              <w:tabs>
                <w:tab w:val="left" w:pos="562"/>
                <w:tab w:val="left" w:pos="3372"/>
                <w:tab w:val="left" w:pos="3653"/>
              </w:tabs>
              <w:spacing w:line="640" w:lineRule="exact"/>
              <w:jc w:val="center"/>
              <w:rPr>
                <w:rFonts w:hint="eastAsia" w:ascii="仿宋" w:hAnsi="仿宋" w:eastAsia="仿宋" w:cs="仿宋"/>
                <w:b/>
                <w:strike/>
                <w:color w:val="auto"/>
                <w:sz w:val="32"/>
                <w:highlight w:val="none"/>
              </w:rPr>
            </w:pPr>
          </w:p>
          <w:p>
            <w:pPr>
              <w:spacing w:after="120" w:line="640" w:lineRule="exact"/>
              <w:ind w:firstLine="3385" w:firstLineChars="651"/>
              <w:textAlignment w:val="baseline"/>
              <w:rPr>
                <w:rFonts w:hint="eastAsia" w:ascii="仿宋" w:hAnsi="仿宋" w:eastAsia="仿宋" w:cs="仿宋"/>
                <w:color w:val="auto"/>
                <w:sz w:val="32"/>
                <w:highlight w:val="none"/>
              </w:rPr>
            </w:pPr>
            <w:r>
              <w:rPr>
                <w:rFonts w:hint="eastAsia" w:ascii="仿宋" w:hAnsi="仿宋" w:eastAsia="仿宋" w:cs="仿宋"/>
                <w:color w:val="auto"/>
                <w:sz w:val="52"/>
                <w:szCs w:val="52"/>
                <w:highlight w:val="none"/>
              </w:rPr>
              <w:t xml:space="preserve">口 </w:t>
            </w:r>
            <w:r>
              <w:rPr>
                <w:rFonts w:hint="eastAsia" w:ascii="仿宋" w:hAnsi="仿宋" w:eastAsia="仿宋" w:cs="仿宋"/>
                <w:color w:val="auto"/>
                <w:sz w:val="32"/>
                <w:highlight w:val="none"/>
              </w:rPr>
              <w:t>正本</w:t>
            </w:r>
          </w:p>
          <w:p>
            <w:pPr>
              <w:spacing w:after="120" w:line="640" w:lineRule="exact"/>
              <w:ind w:firstLine="3385" w:firstLineChars="651"/>
              <w:textAlignment w:val="baseline"/>
              <w:rPr>
                <w:rFonts w:hint="eastAsia" w:ascii="仿宋" w:hAnsi="仿宋" w:eastAsia="仿宋" w:cs="仿宋"/>
                <w:color w:val="auto"/>
                <w:sz w:val="32"/>
                <w:highlight w:val="none"/>
              </w:rPr>
            </w:pPr>
            <w:r>
              <w:rPr>
                <w:rFonts w:hint="eastAsia" w:ascii="仿宋" w:hAnsi="仿宋" w:eastAsia="仿宋" w:cs="仿宋"/>
                <w:color w:val="auto"/>
                <w:sz w:val="52"/>
                <w:szCs w:val="52"/>
                <w:highlight w:val="none"/>
              </w:rPr>
              <w:t xml:space="preserve">口 </w:t>
            </w:r>
            <w:r>
              <w:rPr>
                <w:rFonts w:hint="eastAsia" w:ascii="仿宋" w:hAnsi="仿宋" w:eastAsia="仿宋" w:cs="仿宋"/>
                <w:color w:val="auto"/>
                <w:sz w:val="32"/>
                <w:highlight w:val="none"/>
              </w:rPr>
              <w:t>副本</w:t>
            </w:r>
          </w:p>
          <w:p>
            <w:pPr>
              <w:pStyle w:val="2"/>
              <w:tabs>
                <w:tab w:val="left" w:pos="562"/>
                <w:tab w:val="left" w:pos="3372"/>
                <w:tab w:val="left" w:pos="3653"/>
              </w:tabs>
              <w:spacing w:line="640" w:lineRule="exact"/>
              <w:rPr>
                <w:rFonts w:hint="eastAsia" w:ascii="仿宋" w:hAnsi="仿宋" w:eastAsia="仿宋" w:cs="仿宋"/>
                <w:b/>
                <w:color w:val="auto"/>
                <w:sz w:val="32"/>
                <w:highlight w:val="none"/>
              </w:rPr>
            </w:pPr>
          </w:p>
          <w:p>
            <w:pPr>
              <w:spacing w:line="640" w:lineRule="exact"/>
              <w:rPr>
                <w:rFonts w:hint="eastAsia" w:ascii="仿宋" w:hAnsi="仿宋" w:eastAsia="仿宋" w:cs="仿宋"/>
                <w:color w:val="auto"/>
                <w:highlight w:val="none"/>
              </w:rPr>
            </w:pPr>
          </w:p>
          <w:p>
            <w:pPr>
              <w:pStyle w:val="2"/>
              <w:tabs>
                <w:tab w:val="left" w:pos="562"/>
                <w:tab w:val="left" w:pos="3372"/>
                <w:tab w:val="left" w:pos="3653"/>
              </w:tabs>
              <w:spacing w:line="640" w:lineRule="exact"/>
              <w:ind w:firstLine="900" w:firstLineChars="320"/>
              <w:rPr>
                <w:rFonts w:hint="eastAsia" w:ascii="仿宋" w:hAnsi="仿宋" w:eastAsia="仿宋" w:cs="仿宋"/>
                <w:b/>
                <w:color w:val="auto"/>
                <w:sz w:val="28"/>
                <w:szCs w:val="28"/>
                <w:highlight w:val="none"/>
              </w:rPr>
            </w:pPr>
          </w:p>
          <w:p>
            <w:pPr>
              <w:pStyle w:val="2"/>
              <w:tabs>
                <w:tab w:val="left" w:pos="562"/>
                <w:tab w:val="left" w:pos="3372"/>
                <w:tab w:val="left" w:pos="3653"/>
              </w:tabs>
              <w:spacing w:line="400" w:lineRule="exact"/>
              <w:ind w:firstLine="900" w:firstLineChars="32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项目编号：</w:t>
            </w:r>
            <w:r>
              <w:rPr>
                <w:rFonts w:hint="eastAsia" w:ascii="仿宋" w:hAnsi="仿宋" w:eastAsia="仿宋" w:cs="仿宋"/>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投标人名称：</w:t>
            </w:r>
            <w:r>
              <w:rPr>
                <w:rFonts w:hint="eastAsia" w:ascii="仿宋" w:hAnsi="仿宋" w:eastAsia="仿宋" w:cs="仿宋"/>
                <w:b/>
                <w:bCs/>
                <w:color w:val="auto"/>
                <w:sz w:val="28"/>
                <w:szCs w:val="28"/>
                <w:highlight w:val="none"/>
                <w:u w:val="single"/>
              </w:rPr>
              <w:t xml:space="preserve">                     （加盖公章）</w:t>
            </w:r>
          </w:p>
          <w:p>
            <w:pPr>
              <w:pStyle w:val="2"/>
              <w:tabs>
                <w:tab w:val="left" w:pos="562"/>
                <w:tab w:val="left" w:pos="3372"/>
                <w:tab w:val="left" w:pos="3653"/>
              </w:tabs>
              <w:spacing w:line="400" w:lineRule="exact"/>
              <w:ind w:firstLine="900" w:firstLineChars="320"/>
              <w:rPr>
                <w:rFonts w:hint="eastAsia" w:ascii="仿宋" w:hAnsi="仿宋" w:eastAsia="仿宋" w:cs="仿宋"/>
                <w:b/>
                <w:bCs/>
                <w:color w:val="auto"/>
                <w:sz w:val="28"/>
                <w:szCs w:val="28"/>
                <w:highlight w:val="none"/>
                <w:u w:val="single"/>
              </w:rPr>
            </w:pPr>
            <w:r>
              <w:rPr>
                <w:rFonts w:hint="eastAsia" w:ascii="仿宋" w:hAnsi="仿宋" w:eastAsia="仿宋" w:cs="仿宋"/>
                <w:b/>
                <w:color w:val="auto"/>
                <w:sz w:val="28"/>
                <w:szCs w:val="28"/>
                <w:highlight w:val="none"/>
              </w:rPr>
              <w:t>投标人地址：</w:t>
            </w:r>
            <w:r>
              <w:rPr>
                <w:rFonts w:hint="eastAsia" w:ascii="仿宋" w:hAnsi="仿宋" w:eastAsia="仿宋" w:cs="仿宋"/>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法定代表人/被授权人：</w:t>
            </w:r>
            <w:r>
              <w:rPr>
                <w:rFonts w:hint="eastAsia" w:ascii="仿宋" w:hAnsi="仿宋" w:eastAsia="仿宋" w:cs="仿宋"/>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联系电话：</w:t>
            </w:r>
            <w:r>
              <w:rPr>
                <w:rFonts w:hint="eastAsia" w:ascii="仿宋" w:hAnsi="仿宋" w:eastAsia="仿宋" w:cs="仿宋"/>
                <w:b/>
                <w:bCs/>
                <w:color w:val="auto"/>
                <w:sz w:val="28"/>
                <w:szCs w:val="28"/>
                <w:highlight w:val="none"/>
                <w:u w:val="single"/>
              </w:rPr>
              <w:t xml:space="preserve">                                   </w:t>
            </w:r>
          </w:p>
          <w:p>
            <w:pPr>
              <w:spacing w:line="400" w:lineRule="exact"/>
              <w:jc w:val="center"/>
              <w:rPr>
                <w:rFonts w:hint="eastAsia" w:ascii="仿宋" w:hAnsi="仿宋" w:eastAsia="仿宋" w:cs="仿宋"/>
                <w:b/>
                <w:bCs/>
                <w:color w:val="auto"/>
                <w:sz w:val="28"/>
                <w:szCs w:val="28"/>
                <w:highlight w:val="none"/>
              </w:rPr>
            </w:pPr>
          </w:p>
          <w:p>
            <w:pPr>
              <w:spacing w:line="400" w:lineRule="exact"/>
              <w:jc w:val="center"/>
              <w:rPr>
                <w:rFonts w:hint="eastAsia" w:ascii="仿宋" w:hAnsi="仿宋" w:eastAsia="仿宋" w:cs="仿宋"/>
                <w:b/>
                <w:bCs/>
                <w:color w:val="auto"/>
                <w:sz w:val="28"/>
                <w:szCs w:val="28"/>
                <w:highlight w:val="none"/>
              </w:rPr>
            </w:pPr>
          </w:p>
          <w:p>
            <w:pPr>
              <w:spacing w:line="400" w:lineRule="exact"/>
              <w:jc w:val="center"/>
              <w:rPr>
                <w:rFonts w:hint="eastAsia" w:ascii="仿宋" w:hAnsi="仿宋" w:eastAsia="仿宋" w:cs="仿宋"/>
                <w:b/>
                <w:color w:val="auto"/>
                <w:sz w:val="32"/>
                <w:highlight w:val="none"/>
              </w:rPr>
            </w:pPr>
            <w:r>
              <w:rPr>
                <w:rFonts w:hint="eastAsia" w:ascii="仿宋" w:hAnsi="仿宋" w:eastAsia="仿宋" w:cs="仿宋"/>
                <w:b/>
                <w:bCs/>
                <w:color w:val="auto"/>
                <w:sz w:val="28"/>
                <w:szCs w:val="28"/>
                <w:highlight w:val="none"/>
              </w:rPr>
              <w:t>【年月日时分之前不得启封。】</w:t>
            </w:r>
          </w:p>
        </w:tc>
      </w:tr>
    </w:tbl>
    <w:p>
      <w:pPr>
        <w:spacing w:line="400" w:lineRule="exact"/>
        <w:jc w:val="center"/>
        <w:rPr>
          <w:rFonts w:hint="eastAsia" w:ascii="仿宋" w:hAnsi="仿宋" w:eastAsia="仿宋" w:cs="仿宋"/>
          <w:b/>
          <w:bCs/>
          <w:color w:val="auto"/>
          <w:sz w:val="24"/>
          <w:highlight w:val="none"/>
        </w:rPr>
      </w:pPr>
    </w:p>
    <w:p>
      <w:pPr>
        <w:jc w:val="left"/>
        <w:rPr>
          <w:rFonts w:hint="eastAsia" w:ascii="仿宋" w:hAnsi="仿宋" w:eastAsia="仿宋" w:cs="仿宋"/>
          <w:color w:val="auto"/>
          <w:highlight w:val="none"/>
        </w:rPr>
      </w:pPr>
      <w:bookmarkStart w:id="48" w:name="_Toc16724"/>
    </w:p>
    <w:p>
      <w:pPr>
        <w:jc w:val="left"/>
        <w:rPr>
          <w:rFonts w:hint="eastAsia" w:ascii="仿宋" w:hAnsi="仿宋" w:eastAsia="仿宋" w:cs="仿宋"/>
          <w:color w:val="auto"/>
          <w:highlight w:val="none"/>
        </w:rPr>
      </w:pPr>
    </w:p>
    <w:p>
      <w:pPr>
        <w:spacing w:before="100" w:beforeAutospacing="1" w:after="100" w:afterAutospacing="1"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2.投标文件—目录</w:t>
      </w:r>
      <w:bookmarkEnd w:id="48"/>
    </w:p>
    <w:p>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bCs/>
          <w:color w:val="auto"/>
          <w:sz w:val="24"/>
          <w:highlight w:val="none"/>
          <w:lang w:val="zh-CN"/>
        </w:rPr>
        <w:t>价格部分</w:t>
      </w:r>
    </w:p>
    <w:p>
      <w:pPr>
        <w:numPr>
          <w:ilvl w:val="0"/>
          <w:numId w:val="2"/>
        </w:numPr>
        <w:tabs>
          <w:tab w:val="left" w:pos="640"/>
          <w:tab w:val="clear" w:pos="425"/>
        </w:tabs>
        <w:spacing w:line="400" w:lineRule="exact"/>
        <w:ind w:left="625" w:hanging="62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投标一览表；</w:t>
      </w:r>
    </w:p>
    <w:p>
      <w:pPr>
        <w:numPr>
          <w:ilvl w:val="0"/>
          <w:numId w:val="2"/>
        </w:numPr>
        <w:tabs>
          <w:tab w:val="left" w:pos="640"/>
          <w:tab w:val="clear" w:pos="425"/>
        </w:tabs>
        <w:spacing w:line="400" w:lineRule="exact"/>
        <w:ind w:left="625" w:hanging="625"/>
        <w:rPr>
          <w:rFonts w:hint="eastAsia" w:ascii="仿宋" w:hAnsi="仿宋" w:eastAsia="仿宋" w:cs="仿宋"/>
          <w:color w:val="auto"/>
          <w:sz w:val="24"/>
          <w:highlight w:val="none"/>
        </w:rPr>
      </w:pPr>
      <w:r>
        <w:rPr>
          <w:rFonts w:hint="eastAsia" w:ascii="仿宋" w:hAnsi="仿宋" w:eastAsia="仿宋" w:cs="仿宋"/>
          <w:color w:val="auto"/>
          <w:sz w:val="24"/>
          <w:highlight w:val="none"/>
        </w:rPr>
        <w:t>分类报价明细表；</w:t>
      </w:r>
    </w:p>
    <w:p>
      <w:pPr>
        <w:spacing w:line="400" w:lineRule="exact"/>
        <w:rPr>
          <w:rFonts w:hint="eastAsia" w:ascii="仿宋" w:hAnsi="仿宋" w:eastAsia="仿宋" w:cs="仿宋"/>
          <w:b/>
          <w:bCs/>
          <w:color w:val="auto"/>
          <w:sz w:val="24"/>
          <w:highlight w:val="none"/>
          <w:u w:val="wave"/>
        </w:rPr>
      </w:pPr>
      <w:r>
        <w:rPr>
          <w:rFonts w:hint="eastAsia" w:ascii="仿宋" w:hAnsi="仿宋" w:eastAsia="仿宋" w:cs="仿宋"/>
          <w:b/>
          <w:bCs/>
          <w:color w:val="auto"/>
          <w:sz w:val="24"/>
          <w:highlight w:val="none"/>
        </w:rPr>
        <w:t>（二）商务部分</w:t>
      </w:r>
    </w:p>
    <w:p>
      <w:pPr>
        <w:numPr>
          <w:ilvl w:val="0"/>
          <w:numId w:val="3"/>
        </w:numPr>
        <w:tabs>
          <w:tab w:val="left" w:pos="640"/>
          <w:tab w:val="left" w:pos="1260"/>
          <w:tab w:val="left" w:pos="1418"/>
        </w:tabs>
        <w:spacing w:line="400" w:lineRule="exact"/>
        <w:ind w:left="845" w:hanging="84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p>
      <w:pPr>
        <w:numPr>
          <w:ilvl w:val="0"/>
          <w:numId w:val="3"/>
        </w:numPr>
        <w:tabs>
          <w:tab w:val="left" w:pos="640"/>
          <w:tab w:val="left" w:pos="1260"/>
          <w:tab w:val="left" w:pos="1418"/>
        </w:tabs>
        <w:spacing w:line="400" w:lineRule="exact"/>
        <w:ind w:left="645" w:hanging="6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3"/>
        </w:numPr>
        <w:tabs>
          <w:tab w:val="left" w:pos="640"/>
          <w:tab w:val="left" w:pos="1260"/>
          <w:tab w:val="left" w:pos="1418"/>
        </w:tabs>
        <w:spacing w:line="400" w:lineRule="exact"/>
        <w:ind w:left="645" w:hanging="6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t>政府采购投标及履约承诺函；</w:t>
      </w:r>
    </w:p>
    <w:p>
      <w:pPr>
        <w:numPr>
          <w:ilvl w:val="0"/>
          <w:numId w:val="3"/>
        </w:numPr>
        <w:tabs>
          <w:tab w:val="left" w:pos="640"/>
          <w:tab w:val="left" w:pos="1260"/>
          <w:tab w:val="left" w:pos="1418"/>
        </w:tabs>
        <w:spacing w:line="400" w:lineRule="exact"/>
        <w:ind w:left="645" w:hanging="6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t>关于资格的声明函；</w:t>
      </w:r>
    </w:p>
    <w:p>
      <w:pPr>
        <w:numPr>
          <w:ilvl w:val="0"/>
          <w:numId w:val="3"/>
        </w:numPr>
        <w:tabs>
          <w:tab w:val="left" w:pos="640"/>
          <w:tab w:val="left" w:pos="1260"/>
          <w:tab w:val="left" w:pos="1418"/>
        </w:tabs>
        <w:spacing w:line="400" w:lineRule="exact"/>
        <w:ind w:left="645" w:hanging="6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t>法人代表证明书及身份证明；</w:t>
      </w:r>
    </w:p>
    <w:p>
      <w:pPr>
        <w:numPr>
          <w:ilvl w:val="0"/>
          <w:numId w:val="3"/>
        </w:numPr>
        <w:tabs>
          <w:tab w:val="left" w:pos="640"/>
          <w:tab w:val="left" w:pos="1260"/>
          <w:tab w:val="left" w:pos="1418"/>
        </w:tabs>
        <w:spacing w:line="400" w:lineRule="exact"/>
        <w:ind w:left="845" w:hanging="8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t>法定代表人授权书及身份证明；</w:t>
      </w:r>
    </w:p>
    <w:p>
      <w:pPr>
        <w:numPr>
          <w:ilvl w:val="0"/>
          <w:numId w:val="3"/>
        </w:numPr>
        <w:tabs>
          <w:tab w:val="left" w:pos="640"/>
          <w:tab w:val="left" w:pos="1260"/>
          <w:tab w:val="left" w:pos="1418"/>
        </w:tabs>
        <w:spacing w:line="400" w:lineRule="exact"/>
        <w:ind w:left="845" w:hanging="8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t>招标代理服务费承诺书；</w:t>
      </w:r>
    </w:p>
    <w:p>
      <w:pPr>
        <w:numPr>
          <w:ilvl w:val="0"/>
          <w:numId w:val="3"/>
        </w:numPr>
        <w:tabs>
          <w:tab w:val="left" w:pos="640"/>
          <w:tab w:val="left" w:pos="1260"/>
          <w:tab w:val="left" w:pos="1418"/>
        </w:tabs>
        <w:spacing w:line="400" w:lineRule="exact"/>
        <w:ind w:left="845" w:hanging="8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t>投标人简介；</w:t>
      </w:r>
    </w:p>
    <w:p>
      <w:pPr>
        <w:numPr>
          <w:ilvl w:val="0"/>
          <w:numId w:val="3"/>
        </w:numPr>
        <w:tabs>
          <w:tab w:val="left" w:pos="640"/>
          <w:tab w:val="left" w:pos="1260"/>
          <w:tab w:val="left" w:pos="1418"/>
        </w:tabs>
        <w:spacing w:line="400" w:lineRule="exact"/>
        <w:ind w:left="845" w:hanging="8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t>【</w:t>
      </w:r>
      <w:r>
        <w:rPr>
          <w:rFonts w:hint="eastAsia" w:ascii="仿宋" w:hAnsi="仿宋" w:eastAsia="仿宋" w:cs="仿宋"/>
          <w:color w:val="auto"/>
          <w:sz w:val="24"/>
          <w:highlight w:val="none"/>
        </w:rPr>
        <w:t>商务部分评审项的其他内容，根据项目情况自行添加</w:t>
      </w:r>
      <w:r>
        <w:rPr>
          <w:rFonts w:hint="eastAsia" w:ascii="仿宋" w:hAnsi="仿宋" w:eastAsia="仿宋" w:cs="仿宋"/>
          <w:color w:val="auto"/>
          <w:sz w:val="24"/>
          <w:highlight w:val="none"/>
          <w:lang w:val="fr-CH"/>
        </w:rPr>
        <w:t>】；</w:t>
      </w:r>
    </w:p>
    <w:p>
      <w:pPr>
        <w:numPr>
          <w:ilvl w:val="0"/>
          <w:numId w:val="3"/>
        </w:numPr>
        <w:tabs>
          <w:tab w:val="left" w:pos="640"/>
          <w:tab w:val="left" w:pos="840"/>
          <w:tab w:val="left" w:pos="1260"/>
          <w:tab w:val="left" w:pos="1418"/>
        </w:tabs>
        <w:spacing w:line="400" w:lineRule="exact"/>
        <w:ind w:left="845" w:hanging="8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t>企业诚信；</w:t>
      </w:r>
    </w:p>
    <w:p>
      <w:pPr>
        <w:numPr>
          <w:ilvl w:val="0"/>
          <w:numId w:val="3"/>
        </w:numPr>
        <w:tabs>
          <w:tab w:val="left" w:pos="640"/>
          <w:tab w:val="left" w:pos="840"/>
          <w:tab w:val="left" w:pos="1260"/>
          <w:tab w:val="left" w:pos="1418"/>
        </w:tabs>
        <w:spacing w:line="400" w:lineRule="exact"/>
        <w:ind w:left="845" w:hanging="84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投标人认为有必要提供的其他材料。</w:t>
      </w:r>
    </w:p>
    <w:p>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（三）技术部分</w:t>
      </w:r>
    </w:p>
    <w:p>
      <w:pPr>
        <w:numPr>
          <w:ilvl w:val="0"/>
          <w:numId w:val="4"/>
        </w:numPr>
        <w:tabs>
          <w:tab w:val="left" w:pos="640"/>
          <w:tab w:val="left" w:pos="1260"/>
          <w:tab w:val="left" w:pos="1418"/>
        </w:tabs>
        <w:spacing w:line="400" w:lineRule="exact"/>
        <w:ind w:left="640" w:right="-420" w:rightChars="-200" w:hanging="640"/>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t>用户需求响应表；</w:t>
      </w:r>
    </w:p>
    <w:p>
      <w:pPr>
        <w:numPr>
          <w:ilvl w:val="0"/>
          <w:numId w:val="4"/>
        </w:numPr>
        <w:tabs>
          <w:tab w:val="left" w:pos="640"/>
          <w:tab w:val="left" w:pos="1260"/>
          <w:tab w:val="left" w:pos="1418"/>
        </w:tabs>
        <w:spacing w:line="400" w:lineRule="exact"/>
        <w:ind w:left="845" w:right="-420" w:rightChars="-200" w:hanging="8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t>【</w:t>
      </w:r>
      <w:r>
        <w:rPr>
          <w:rFonts w:hint="eastAsia" w:ascii="仿宋" w:hAnsi="仿宋" w:eastAsia="仿宋" w:cs="仿宋"/>
          <w:color w:val="auto"/>
          <w:sz w:val="24"/>
          <w:highlight w:val="none"/>
        </w:rPr>
        <w:t>技术部分评审项的其他内容，根据项目情况自行添加</w:t>
      </w:r>
      <w:r>
        <w:rPr>
          <w:rFonts w:hint="eastAsia" w:ascii="仿宋" w:hAnsi="仿宋" w:eastAsia="仿宋" w:cs="仿宋"/>
          <w:color w:val="auto"/>
          <w:sz w:val="24"/>
          <w:highlight w:val="none"/>
          <w:lang w:val="fr-CH"/>
        </w:rPr>
        <w:t>】；</w:t>
      </w:r>
    </w:p>
    <w:p>
      <w:pPr>
        <w:numPr>
          <w:ilvl w:val="0"/>
          <w:numId w:val="4"/>
        </w:numPr>
        <w:tabs>
          <w:tab w:val="left" w:pos="640"/>
          <w:tab w:val="left" w:pos="1260"/>
          <w:tab w:val="left" w:pos="1418"/>
        </w:tabs>
        <w:spacing w:line="400" w:lineRule="exact"/>
        <w:ind w:left="845" w:right="-420" w:rightChars="-200" w:hanging="8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t>投标人认为有必要提供的其他材料。</w:t>
      </w:r>
    </w:p>
    <w:p>
      <w:pPr>
        <w:spacing w:line="400" w:lineRule="exact"/>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（一）</w:t>
      </w:r>
      <w:r>
        <w:rPr>
          <w:rFonts w:hint="eastAsia" w:ascii="仿宋" w:hAnsi="仿宋" w:eastAsia="仿宋" w:cs="仿宋"/>
          <w:b/>
          <w:bCs/>
          <w:color w:val="auto"/>
          <w:sz w:val="24"/>
          <w:highlight w:val="none"/>
          <w:lang w:val="zh-CN"/>
        </w:rPr>
        <w:t>价格部分</w:t>
      </w:r>
    </w:p>
    <w:p>
      <w:pPr>
        <w:numPr>
          <w:ilvl w:val="0"/>
          <w:numId w:val="5"/>
        </w:numPr>
        <w:tabs>
          <w:tab w:val="left" w:pos="640"/>
          <w:tab w:val="clear" w:pos="425"/>
        </w:tabs>
        <w:spacing w:line="400" w:lineRule="exact"/>
        <w:ind w:left="625" w:hanging="62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投标一览表；</w:t>
      </w:r>
    </w:p>
    <w:p>
      <w:pPr>
        <w:spacing w:line="400" w:lineRule="exact"/>
        <w:rPr>
          <w:rFonts w:hint="eastAsia" w:ascii="仿宋" w:hAnsi="仿宋" w:eastAsia="仿宋" w:cs="仿宋"/>
          <w:color w:val="auto"/>
          <w:sz w:val="24"/>
          <w:highlight w:val="none"/>
        </w:rPr>
      </w:pPr>
    </w:p>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投标一览表</w:t>
      </w:r>
    </w:p>
    <w:p>
      <w:pPr>
        <w:spacing w:line="400" w:lineRule="exact"/>
        <w:rPr>
          <w:rFonts w:hint="eastAsia" w:ascii="仿宋" w:hAnsi="仿宋" w:eastAsia="仿宋" w:cs="仿宋"/>
          <w:color w:val="auto"/>
          <w:sz w:val="24"/>
          <w:highlight w:val="none"/>
        </w:rPr>
      </w:pP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投标供应商名称：（公章）</w:t>
      </w:r>
      <w:r>
        <w:rPr>
          <w:rFonts w:hint="eastAsia" w:ascii="仿宋" w:hAnsi="仿宋" w:eastAsia="仿宋" w:cs="仿宋"/>
          <w:color w:val="auto"/>
          <w:sz w:val="24"/>
          <w:highlight w:val="none"/>
          <w:u w:val="single"/>
        </w:rPr>
        <w:t xml:space="preserve">                             </w:t>
      </w:r>
    </w:p>
    <w:p>
      <w:pPr>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 xml:space="preserve">                                      </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74"/>
        <w:gridCol w:w="260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774" w:type="dxa"/>
            <w:noWrap w:val="0"/>
            <w:vAlign w:val="center"/>
          </w:tcPr>
          <w:p>
            <w:pPr>
              <w:spacing w:after="60"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606" w:type="dxa"/>
            <w:noWrap w:val="0"/>
            <w:vAlign w:val="center"/>
          </w:tcPr>
          <w:p>
            <w:pPr>
              <w:spacing w:after="60"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投标价</w:t>
            </w:r>
          </w:p>
          <w:p>
            <w:pPr>
              <w:spacing w:after="60"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w:t>
            </w:r>
          </w:p>
        </w:tc>
        <w:tc>
          <w:tcPr>
            <w:tcW w:w="1318" w:type="dxa"/>
            <w:noWrap w:val="0"/>
            <w:vAlign w:val="center"/>
          </w:tcPr>
          <w:p>
            <w:pPr>
              <w:spacing w:after="60"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774" w:type="dxa"/>
            <w:noWrap w:val="0"/>
            <w:vAlign w:val="center"/>
          </w:tcPr>
          <w:p>
            <w:pPr>
              <w:spacing w:line="400" w:lineRule="exact"/>
              <w:jc w:val="center"/>
              <w:rPr>
                <w:rFonts w:hint="eastAsia" w:ascii="仿宋" w:hAnsi="仿宋" w:eastAsia="仿宋" w:cs="仿宋"/>
                <w:color w:val="auto"/>
                <w:sz w:val="24"/>
                <w:highlight w:val="none"/>
                <w:u w:val="single"/>
              </w:rPr>
            </w:pPr>
          </w:p>
        </w:tc>
        <w:tc>
          <w:tcPr>
            <w:tcW w:w="2606" w:type="dxa"/>
            <w:noWrap w:val="0"/>
            <w:vAlign w:val="center"/>
          </w:tcPr>
          <w:p>
            <w:pPr>
              <w:spacing w:line="400" w:lineRule="exact"/>
              <w:jc w:val="center"/>
              <w:rPr>
                <w:rFonts w:hint="eastAsia" w:ascii="仿宋" w:hAnsi="仿宋" w:eastAsia="仿宋" w:cs="仿宋"/>
                <w:color w:val="auto"/>
                <w:sz w:val="24"/>
                <w:highlight w:val="none"/>
                <w:u w:val="single"/>
              </w:rPr>
            </w:pPr>
          </w:p>
        </w:tc>
        <w:tc>
          <w:tcPr>
            <w:tcW w:w="1318" w:type="dxa"/>
            <w:noWrap w:val="0"/>
            <w:vAlign w:val="center"/>
          </w:tcPr>
          <w:p>
            <w:pPr>
              <w:spacing w:line="400" w:lineRule="exact"/>
              <w:jc w:val="center"/>
              <w:rPr>
                <w:rFonts w:hint="eastAsia" w:ascii="仿宋" w:hAnsi="仿宋" w:eastAsia="仿宋" w:cs="仿宋"/>
                <w:color w:val="auto"/>
                <w:sz w:val="24"/>
                <w:highlight w:val="none"/>
                <w:u w:val="single"/>
              </w:rPr>
            </w:pPr>
          </w:p>
        </w:tc>
      </w:tr>
    </w:tbl>
    <w:p>
      <w:pPr>
        <w:spacing w:line="400" w:lineRule="exact"/>
        <w:rPr>
          <w:rFonts w:hint="eastAsia" w:ascii="仿宋" w:hAnsi="仿宋" w:eastAsia="仿宋" w:cs="仿宋"/>
          <w:color w:val="auto"/>
          <w:sz w:val="24"/>
          <w:highlight w:val="none"/>
        </w:rPr>
      </w:pPr>
    </w:p>
    <w:p>
      <w:pPr>
        <w:pStyle w:val="2"/>
        <w:spacing w:line="400" w:lineRule="exact"/>
        <w:rPr>
          <w:rFonts w:hint="eastAsia" w:ascii="仿宋" w:hAnsi="仿宋" w:eastAsia="仿宋" w:cs="仿宋"/>
          <w:color w:val="auto"/>
          <w:sz w:val="24"/>
          <w:highlight w:val="none"/>
        </w:rPr>
      </w:pPr>
    </w:p>
    <w:p>
      <w:pPr>
        <w:spacing w:line="400" w:lineRule="exact"/>
        <w:rPr>
          <w:rFonts w:hint="eastAsia" w:ascii="仿宋" w:hAnsi="仿宋" w:eastAsia="仿宋" w:cs="仿宋"/>
          <w:color w:val="auto"/>
          <w:highlight w:val="none"/>
        </w:rPr>
      </w:pP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投标供应商授权代表：</w:t>
      </w:r>
      <w:r>
        <w:rPr>
          <w:rFonts w:hint="eastAsia" w:ascii="仿宋" w:hAnsi="仿宋" w:eastAsia="仿宋" w:cs="仿宋"/>
          <w:color w:val="auto"/>
          <w:sz w:val="24"/>
          <w:highlight w:val="none"/>
          <w:u w:val="single"/>
        </w:rPr>
        <w:t xml:space="preserve">                   </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p>
    <w:p>
      <w:pPr>
        <w:pStyle w:val="2"/>
        <w:spacing w:line="400" w:lineRule="exact"/>
        <w:rPr>
          <w:rFonts w:hint="eastAsia" w:ascii="仿宋" w:hAnsi="仿宋" w:eastAsia="仿宋" w:cs="仿宋"/>
          <w:color w:val="auto"/>
          <w:highlight w:val="none"/>
        </w:rPr>
      </w:pPr>
    </w:p>
    <w:p>
      <w:pPr>
        <w:numPr>
          <w:ilvl w:val="0"/>
          <w:numId w:val="5"/>
        </w:numPr>
        <w:tabs>
          <w:tab w:val="left" w:pos="640"/>
          <w:tab w:val="clear" w:pos="425"/>
        </w:tabs>
        <w:spacing w:line="400" w:lineRule="exact"/>
        <w:ind w:left="625" w:hanging="62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分项报价清单；</w:t>
      </w:r>
    </w:p>
    <w:p>
      <w:pPr>
        <w:spacing w:after="60"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分项内容应列明项目名称、数量、单价及总价。具体格式如下表：</w:t>
      </w:r>
    </w:p>
    <w:tbl>
      <w:tblPr>
        <w:tblStyle w:val="18"/>
        <w:tblW w:w="84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1"/>
        <w:gridCol w:w="2152"/>
        <w:gridCol w:w="633"/>
        <w:gridCol w:w="1383"/>
        <w:gridCol w:w="1245"/>
        <w:gridCol w:w="1230"/>
        <w:gridCol w:w="10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721" w:type="dxa"/>
            <w:noWrap w:val="0"/>
            <w:vAlign w:val="center"/>
          </w:tcPr>
          <w:p>
            <w:pPr>
              <w:spacing w:after="6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 号</w:t>
            </w:r>
          </w:p>
        </w:tc>
        <w:tc>
          <w:tcPr>
            <w:tcW w:w="2152" w:type="dxa"/>
            <w:noWrap w:val="0"/>
            <w:vAlign w:val="center"/>
          </w:tcPr>
          <w:p>
            <w:pPr>
              <w:spacing w:after="6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项目名称</w:t>
            </w:r>
          </w:p>
        </w:tc>
        <w:tc>
          <w:tcPr>
            <w:tcW w:w="633" w:type="dxa"/>
            <w:noWrap w:val="0"/>
            <w:vAlign w:val="center"/>
          </w:tcPr>
          <w:p>
            <w:pPr>
              <w:spacing w:after="6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数量</w:t>
            </w:r>
          </w:p>
        </w:tc>
        <w:tc>
          <w:tcPr>
            <w:tcW w:w="1383" w:type="dxa"/>
            <w:noWrap w:val="0"/>
            <w:vAlign w:val="center"/>
          </w:tcPr>
          <w:p>
            <w:pPr>
              <w:spacing w:after="6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单位</w:t>
            </w:r>
          </w:p>
        </w:tc>
        <w:tc>
          <w:tcPr>
            <w:tcW w:w="1245" w:type="dxa"/>
            <w:noWrap w:val="0"/>
            <w:vAlign w:val="center"/>
          </w:tcPr>
          <w:p>
            <w:pPr>
              <w:spacing w:after="6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单价（元）</w:t>
            </w:r>
          </w:p>
        </w:tc>
        <w:tc>
          <w:tcPr>
            <w:tcW w:w="1230" w:type="dxa"/>
            <w:noWrap w:val="0"/>
            <w:vAlign w:val="center"/>
          </w:tcPr>
          <w:p>
            <w:pPr>
              <w:spacing w:after="6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总价（元）</w:t>
            </w:r>
          </w:p>
        </w:tc>
        <w:tc>
          <w:tcPr>
            <w:tcW w:w="1043" w:type="dxa"/>
            <w:noWrap w:val="0"/>
            <w:vAlign w:val="center"/>
          </w:tcPr>
          <w:p>
            <w:pPr>
              <w:spacing w:after="6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1"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2152" w:type="dxa"/>
            <w:noWrap w:val="0"/>
            <w:vAlign w:val="top"/>
          </w:tcPr>
          <w:p>
            <w:pPr>
              <w:adjustRightInd w:val="0"/>
              <w:snapToGrid w:val="0"/>
              <w:spacing w:line="400" w:lineRule="exact"/>
              <w:rPr>
                <w:rFonts w:hint="eastAsia" w:ascii="仿宋" w:hAnsi="仿宋" w:eastAsia="仿宋" w:cs="仿宋"/>
                <w:color w:val="auto"/>
                <w:sz w:val="22"/>
                <w:szCs w:val="22"/>
                <w:highlight w:val="none"/>
              </w:rPr>
            </w:pPr>
          </w:p>
        </w:tc>
        <w:tc>
          <w:tcPr>
            <w:tcW w:w="633" w:type="dxa"/>
            <w:noWrap w:val="0"/>
            <w:vAlign w:val="center"/>
          </w:tcPr>
          <w:p>
            <w:pPr>
              <w:adjustRightInd w:val="0"/>
              <w:snapToGrid w:val="0"/>
              <w:spacing w:line="440" w:lineRule="exact"/>
              <w:jc w:val="center"/>
              <w:rPr>
                <w:rFonts w:hint="eastAsia" w:ascii="仿宋" w:hAnsi="仿宋" w:eastAsia="仿宋" w:cs="仿宋"/>
                <w:color w:val="auto"/>
                <w:sz w:val="22"/>
                <w:szCs w:val="22"/>
                <w:highlight w:val="none"/>
              </w:rPr>
            </w:pPr>
          </w:p>
        </w:tc>
        <w:tc>
          <w:tcPr>
            <w:tcW w:w="1383"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p>
        </w:tc>
        <w:tc>
          <w:tcPr>
            <w:tcW w:w="1245" w:type="dxa"/>
            <w:noWrap w:val="0"/>
            <w:vAlign w:val="top"/>
          </w:tcPr>
          <w:p>
            <w:pPr>
              <w:spacing w:line="440" w:lineRule="exact"/>
              <w:jc w:val="center"/>
              <w:rPr>
                <w:rFonts w:hint="eastAsia" w:ascii="仿宋" w:hAnsi="仿宋" w:eastAsia="仿宋" w:cs="仿宋"/>
                <w:color w:val="auto"/>
                <w:sz w:val="22"/>
                <w:szCs w:val="22"/>
                <w:highlight w:val="none"/>
              </w:rPr>
            </w:pPr>
          </w:p>
        </w:tc>
        <w:tc>
          <w:tcPr>
            <w:tcW w:w="1230" w:type="dxa"/>
            <w:noWrap w:val="0"/>
            <w:vAlign w:val="top"/>
          </w:tcPr>
          <w:p>
            <w:pPr>
              <w:spacing w:line="440" w:lineRule="exact"/>
              <w:jc w:val="center"/>
              <w:rPr>
                <w:rFonts w:hint="eastAsia" w:ascii="仿宋" w:hAnsi="仿宋" w:eastAsia="仿宋" w:cs="仿宋"/>
                <w:color w:val="auto"/>
                <w:sz w:val="22"/>
                <w:szCs w:val="22"/>
                <w:highlight w:val="none"/>
              </w:rPr>
            </w:pPr>
          </w:p>
        </w:tc>
        <w:tc>
          <w:tcPr>
            <w:tcW w:w="1043" w:type="dxa"/>
            <w:noWrap w:val="0"/>
            <w:vAlign w:val="center"/>
          </w:tcPr>
          <w:p>
            <w:pPr>
              <w:spacing w:after="60"/>
              <w:jc w:val="center"/>
              <w:rPr>
                <w:rFonts w:hint="eastAsia" w:ascii="仿宋" w:hAnsi="仿宋" w:eastAsia="仿宋" w:cs="仿宋"/>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1"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2152" w:type="dxa"/>
            <w:noWrap w:val="0"/>
            <w:vAlign w:val="top"/>
          </w:tcPr>
          <w:p>
            <w:pPr>
              <w:adjustRightInd w:val="0"/>
              <w:snapToGrid w:val="0"/>
              <w:spacing w:line="400" w:lineRule="exact"/>
              <w:rPr>
                <w:rFonts w:hint="eastAsia" w:ascii="仿宋" w:hAnsi="仿宋" w:eastAsia="仿宋" w:cs="仿宋"/>
                <w:color w:val="auto"/>
                <w:sz w:val="22"/>
                <w:szCs w:val="22"/>
                <w:highlight w:val="none"/>
              </w:rPr>
            </w:pPr>
          </w:p>
        </w:tc>
        <w:tc>
          <w:tcPr>
            <w:tcW w:w="633" w:type="dxa"/>
            <w:noWrap w:val="0"/>
            <w:vAlign w:val="center"/>
          </w:tcPr>
          <w:p>
            <w:pPr>
              <w:adjustRightInd w:val="0"/>
              <w:snapToGrid w:val="0"/>
              <w:spacing w:line="440" w:lineRule="exact"/>
              <w:jc w:val="center"/>
              <w:rPr>
                <w:rFonts w:hint="eastAsia" w:ascii="仿宋" w:hAnsi="仿宋" w:eastAsia="仿宋" w:cs="仿宋"/>
                <w:color w:val="auto"/>
                <w:sz w:val="22"/>
                <w:szCs w:val="22"/>
                <w:highlight w:val="none"/>
              </w:rPr>
            </w:pPr>
          </w:p>
        </w:tc>
        <w:tc>
          <w:tcPr>
            <w:tcW w:w="1383"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p>
        </w:tc>
        <w:tc>
          <w:tcPr>
            <w:tcW w:w="1245" w:type="dxa"/>
            <w:noWrap w:val="0"/>
            <w:vAlign w:val="top"/>
          </w:tcPr>
          <w:p>
            <w:pPr>
              <w:spacing w:line="440" w:lineRule="exact"/>
              <w:jc w:val="center"/>
              <w:rPr>
                <w:rFonts w:hint="eastAsia" w:ascii="仿宋" w:hAnsi="仿宋" w:eastAsia="仿宋" w:cs="仿宋"/>
                <w:color w:val="auto"/>
                <w:sz w:val="22"/>
                <w:szCs w:val="22"/>
                <w:highlight w:val="none"/>
              </w:rPr>
            </w:pPr>
          </w:p>
        </w:tc>
        <w:tc>
          <w:tcPr>
            <w:tcW w:w="1230" w:type="dxa"/>
            <w:noWrap w:val="0"/>
            <w:vAlign w:val="top"/>
          </w:tcPr>
          <w:p>
            <w:pPr>
              <w:spacing w:line="440" w:lineRule="exact"/>
              <w:jc w:val="center"/>
              <w:rPr>
                <w:rFonts w:hint="eastAsia" w:ascii="仿宋" w:hAnsi="仿宋" w:eastAsia="仿宋" w:cs="仿宋"/>
                <w:color w:val="auto"/>
                <w:sz w:val="22"/>
                <w:szCs w:val="22"/>
                <w:highlight w:val="none"/>
              </w:rPr>
            </w:pPr>
          </w:p>
        </w:tc>
        <w:tc>
          <w:tcPr>
            <w:tcW w:w="1043" w:type="dxa"/>
            <w:noWrap w:val="0"/>
            <w:vAlign w:val="center"/>
          </w:tcPr>
          <w:p>
            <w:pPr>
              <w:spacing w:after="60"/>
              <w:jc w:val="center"/>
              <w:rPr>
                <w:rFonts w:hint="eastAsia" w:ascii="仿宋" w:hAnsi="仿宋" w:eastAsia="仿宋" w:cs="仿宋"/>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1"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2152" w:type="dxa"/>
            <w:noWrap w:val="0"/>
            <w:vAlign w:val="top"/>
          </w:tcPr>
          <w:p>
            <w:pPr>
              <w:adjustRightInd w:val="0"/>
              <w:snapToGrid w:val="0"/>
              <w:spacing w:line="400" w:lineRule="exact"/>
              <w:rPr>
                <w:rFonts w:hint="eastAsia" w:ascii="仿宋" w:hAnsi="仿宋" w:eastAsia="仿宋" w:cs="仿宋"/>
                <w:color w:val="auto"/>
                <w:sz w:val="22"/>
                <w:szCs w:val="22"/>
                <w:highlight w:val="none"/>
              </w:rPr>
            </w:pPr>
          </w:p>
        </w:tc>
        <w:tc>
          <w:tcPr>
            <w:tcW w:w="633" w:type="dxa"/>
            <w:noWrap w:val="0"/>
            <w:vAlign w:val="center"/>
          </w:tcPr>
          <w:p>
            <w:pPr>
              <w:adjustRightInd w:val="0"/>
              <w:snapToGrid w:val="0"/>
              <w:spacing w:line="440" w:lineRule="exact"/>
              <w:jc w:val="center"/>
              <w:rPr>
                <w:rFonts w:hint="eastAsia" w:ascii="仿宋" w:hAnsi="仿宋" w:eastAsia="仿宋" w:cs="仿宋"/>
                <w:color w:val="auto"/>
                <w:sz w:val="22"/>
                <w:szCs w:val="22"/>
                <w:highlight w:val="none"/>
              </w:rPr>
            </w:pPr>
          </w:p>
        </w:tc>
        <w:tc>
          <w:tcPr>
            <w:tcW w:w="1383"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p>
        </w:tc>
        <w:tc>
          <w:tcPr>
            <w:tcW w:w="1245" w:type="dxa"/>
            <w:noWrap w:val="0"/>
            <w:vAlign w:val="top"/>
          </w:tcPr>
          <w:p>
            <w:pPr>
              <w:spacing w:line="440" w:lineRule="exact"/>
              <w:jc w:val="center"/>
              <w:rPr>
                <w:rFonts w:hint="eastAsia" w:ascii="仿宋" w:hAnsi="仿宋" w:eastAsia="仿宋" w:cs="仿宋"/>
                <w:color w:val="auto"/>
                <w:sz w:val="22"/>
                <w:szCs w:val="22"/>
                <w:highlight w:val="none"/>
              </w:rPr>
            </w:pPr>
          </w:p>
        </w:tc>
        <w:tc>
          <w:tcPr>
            <w:tcW w:w="1230" w:type="dxa"/>
            <w:noWrap w:val="0"/>
            <w:vAlign w:val="top"/>
          </w:tcPr>
          <w:p>
            <w:pPr>
              <w:spacing w:line="440" w:lineRule="exact"/>
              <w:jc w:val="center"/>
              <w:rPr>
                <w:rFonts w:hint="eastAsia" w:ascii="仿宋" w:hAnsi="仿宋" w:eastAsia="仿宋" w:cs="仿宋"/>
                <w:color w:val="auto"/>
                <w:sz w:val="22"/>
                <w:szCs w:val="22"/>
                <w:highlight w:val="none"/>
              </w:rPr>
            </w:pPr>
          </w:p>
        </w:tc>
        <w:tc>
          <w:tcPr>
            <w:tcW w:w="1043" w:type="dxa"/>
            <w:noWrap w:val="0"/>
            <w:vAlign w:val="center"/>
          </w:tcPr>
          <w:p>
            <w:pPr>
              <w:spacing w:after="60"/>
              <w:jc w:val="center"/>
              <w:rPr>
                <w:rFonts w:hint="eastAsia" w:ascii="仿宋" w:hAnsi="仿宋" w:eastAsia="仿宋" w:cs="仿宋"/>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1"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2152" w:type="dxa"/>
            <w:noWrap w:val="0"/>
            <w:vAlign w:val="top"/>
          </w:tcPr>
          <w:p>
            <w:pPr>
              <w:adjustRightInd w:val="0"/>
              <w:snapToGrid w:val="0"/>
              <w:spacing w:line="400" w:lineRule="exact"/>
              <w:rPr>
                <w:rFonts w:hint="eastAsia" w:ascii="仿宋" w:hAnsi="仿宋" w:eastAsia="仿宋" w:cs="仿宋"/>
                <w:color w:val="auto"/>
                <w:sz w:val="22"/>
                <w:szCs w:val="22"/>
                <w:highlight w:val="none"/>
              </w:rPr>
            </w:pPr>
          </w:p>
        </w:tc>
        <w:tc>
          <w:tcPr>
            <w:tcW w:w="633" w:type="dxa"/>
            <w:noWrap w:val="0"/>
            <w:vAlign w:val="center"/>
          </w:tcPr>
          <w:p>
            <w:pPr>
              <w:adjustRightInd w:val="0"/>
              <w:snapToGrid w:val="0"/>
              <w:spacing w:line="440" w:lineRule="exact"/>
              <w:jc w:val="center"/>
              <w:rPr>
                <w:rFonts w:hint="eastAsia" w:ascii="仿宋" w:hAnsi="仿宋" w:eastAsia="仿宋" w:cs="仿宋"/>
                <w:color w:val="auto"/>
                <w:sz w:val="22"/>
                <w:szCs w:val="22"/>
                <w:highlight w:val="none"/>
              </w:rPr>
            </w:pPr>
          </w:p>
        </w:tc>
        <w:tc>
          <w:tcPr>
            <w:tcW w:w="1383"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p>
        </w:tc>
        <w:tc>
          <w:tcPr>
            <w:tcW w:w="1245" w:type="dxa"/>
            <w:noWrap w:val="0"/>
            <w:vAlign w:val="top"/>
          </w:tcPr>
          <w:p>
            <w:pPr>
              <w:spacing w:line="440" w:lineRule="exact"/>
              <w:jc w:val="center"/>
              <w:rPr>
                <w:rFonts w:hint="eastAsia" w:ascii="仿宋" w:hAnsi="仿宋" w:eastAsia="仿宋" w:cs="仿宋"/>
                <w:color w:val="auto"/>
                <w:sz w:val="22"/>
                <w:szCs w:val="22"/>
                <w:highlight w:val="none"/>
              </w:rPr>
            </w:pPr>
          </w:p>
        </w:tc>
        <w:tc>
          <w:tcPr>
            <w:tcW w:w="1230" w:type="dxa"/>
            <w:noWrap w:val="0"/>
            <w:vAlign w:val="top"/>
          </w:tcPr>
          <w:p>
            <w:pPr>
              <w:spacing w:line="440" w:lineRule="exact"/>
              <w:jc w:val="center"/>
              <w:rPr>
                <w:rFonts w:hint="eastAsia" w:ascii="仿宋" w:hAnsi="仿宋" w:eastAsia="仿宋" w:cs="仿宋"/>
                <w:color w:val="auto"/>
                <w:sz w:val="22"/>
                <w:szCs w:val="22"/>
                <w:highlight w:val="none"/>
              </w:rPr>
            </w:pPr>
          </w:p>
        </w:tc>
        <w:tc>
          <w:tcPr>
            <w:tcW w:w="1043" w:type="dxa"/>
            <w:noWrap w:val="0"/>
            <w:vAlign w:val="center"/>
          </w:tcPr>
          <w:p>
            <w:pPr>
              <w:spacing w:after="60"/>
              <w:jc w:val="center"/>
              <w:rPr>
                <w:rFonts w:hint="eastAsia" w:ascii="仿宋" w:hAnsi="仿宋" w:eastAsia="仿宋" w:cs="仿宋"/>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1"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2152" w:type="dxa"/>
            <w:noWrap w:val="0"/>
            <w:vAlign w:val="top"/>
          </w:tcPr>
          <w:p>
            <w:pPr>
              <w:adjustRightInd w:val="0"/>
              <w:snapToGrid w:val="0"/>
              <w:spacing w:line="400" w:lineRule="exact"/>
              <w:rPr>
                <w:rFonts w:hint="eastAsia" w:ascii="仿宋" w:hAnsi="仿宋" w:eastAsia="仿宋" w:cs="仿宋"/>
                <w:color w:val="auto"/>
                <w:sz w:val="22"/>
                <w:szCs w:val="22"/>
                <w:highlight w:val="none"/>
              </w:rPr>
            </w:pPr>
          </w:p>
        </w:tc>
        <w:tc>
          <w:tcPr>
            <w:tcW w:w="633" w:type="dxa"/>
            <w:noWrap w:val="0"/>
            <w:vAlign w:val="center"/>
          </w:tcPr>
          <w:p>
            <w:pPr>
              <w:adjustRightInd w:val="0"/>
              <w:snapToGrid w:val="0"/>
              <w:spacing w:line="440" w:lineRule="exact"/>
              <w:jc w:val="center"/>
              <w:rPr>
                <w:rFonts w:hint="eastAsia" w:ascii="仿宋" w:hAnsi="仿宋" w:eastAsia="仿宋" w:cs="仿宋"/>
                <w:color w:val="auto"/>
                <w:sz w:val="22"/>
                <w:szCs w:val="22"/>
                <w:highlight w:val="none"/>
              </w:rPr>
            </w:pPr>
          </w:p>
        </w:tc>
        <w:tc>
          <w:tcPr>
            <w:tcW w:w="1383"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p>
        </w:tc>
        <w:tc>
          <w:tcPr>
            <w:tcW w:w="1245" w:type="dxa"/>
            <w:noWrap w:val="0"/>
            <w:vAlign w:val="top"/>
          </w:tcPr>
          <w:p>
            <w:pPr>
              <w:spacing w:line="440" w:lineRule="exact"/>
              <w:jc w:val="center"/>
              <w:rPr>
                <w:rFonts w:hint="eastAsia" w:ascii="仿宋" w:hAnsi="仿宋" w:eastAsia="仿宋" w:cs="仿宋"/>
                <w:color w:val="auto"/>
                <w:sz w:val="22"/>
                <w:szCs w:val="22"/>
                <w:highlight w:val="none"/>
              </w:rPr>
            </w:pPr>
          </w:p>
        </w:tc>
        <w:tc>
          <w:tcPr>
            <w:tcW w:w="1230" w:type="dxa"/>
            <w:noWrap w:val="0"/>
            <w:vAlign w:val="top"/>
          </w:tcPr>
          <w:p>
            <w:pPr>
              <w:spacing w:line="440" w:lineRule="exact"/>
              <w:jc w:val="center"/>
              <w:rPr>
                <w:rFonts w:hint="eastAsia" w:ascii="仿宋" w:hAnsi="仿宋" w:eastAsia="仿宋" w:cs="仿宋"/>
                <w:color w:val="auto"/>
                <w:sz w:val="22"/>
                <w:szCs w:val="22"/>
                <w:highlight w:val="none"/>
              </w:rPr>
            </w:pPr>
          </w:p>
        </w:tc>
        <w:tc>
          <w:tcPr>
            <w:tcW w:w="1043" w:type="dxa"/>
            <w:noWrap w:val="0"/>
            <w:vAlign w:val="center"/>
          </w:tcPr>
          <w:p>
            <w:pPr>
              <w:spacing w:after="60"/>
              <w:jc w:val="center"/>
              <w:rPr>
                <w:rFonts w:hint="eastAsia" w:ascii="仿宋" w:hAnsi="仿宋" w:eastAsia="仿宋" w:cs="仿宋"/>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1"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2152" w:type="dxa"/>
            <w:noWrap w:val="0"/>
            <w:vAlign w:val="top"/>
          </w:tcPr>
          <w:p>
            <w:pPr>
              <w:adjustRightInd w:val="0"/>
              <w:snapToGrid w:val="0"/>
              <w:spacing w:line="400" w:lineRule="exact"/>
              <w:rPr>
                <w:rFonts w:hint="eastAsia" w:ascii="仿宋" w:hAnsi="仿宋" w:eastAsia="仿宋" w:cs="仿宋"/>
                <w:color w:val="auto"/>
                <w:sz w:val="22"/>
                <w:szCs w:val="22"/>
                <w:highlight w:val="none"/>
              </w:rPr>
            </w:pPr>
          </w:p>
        </w:tc>
        <w:tc>
          <w:tcPr>
            <w:tcW w:w="633" w:type="dxa"/>
            <w:noWrap w:val="0"/>
            <w:vAlign w:val="center"/>
          </w:tcPr>
          <w:p>
            <w:pPr>
              <w:adjustRightInd w:val="0"/>
              <w:snapToGrid w:val="0"/>
              <w:spacing w:line="440" w:lineRule="exact"/>
              <w:jc w:val="center"/>
              <w:rPr>
                <w:rFonts w:hint="eastAsia" w:ascii="仿宋" w:hAnsi="仿宋" w:eastAsia="仿宋" w:cs="仿宋"/>
                <w:color w:val="auto"/>
                <w:sz w:val="22"/>
                <w:szCs w:val="22"/>
                <w:highlight w:val="none"/>
              </w:rPr>
            </w:pPr>
          </w:p>
        </w:tc>
        <w:tc>
          <w:tcPr>
            <w:tcW w:w="1383"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p>
        </w:tc>
        <w:tc>
          <w:tcPr>
            <w:tcW w:w="1245" w:type="dxa"/>
            <w:noWrap w:val="0"/>
            <w:vAlign w:val="top"/>
          </w:tcPr>
          <w:p>
            <w:pPr>
              <w:spacing w:line="440" w:lineRule="exact"/>
              <w:jc w:val="center"/>
              <w:rPr>
                <w:rFonts w:hint="eastAsia" w:ascii="仿宋" w:hAnsi="仿宋" w:eastAsia="仿宋" w:cs="仿宋"/>
                <w:color w:val="auto"/>
                <w:sz w:val="22"/>
                <w:szCs w:val="22"/>
                <w:highlight w:val="none"/>
              </w:rPr>
            </w:pPr>
          </w:p>
        </w:tc>
        <w:tc>
          <w:tcPr>
            <w:tcW w:w="1230" w:type="dxa"/>
            <w:noWrap w:val="0"/>
            <w:vAlign w:val="top"/>
          </w:tcPr>
          <w:p>
            <w:pPr>
              <w:spacing w:line="440" w:lineRule="exact"/>
              <w:jc w:val="center"/>
              <w:rPr>
                <w:rFonts w:hint="eastAsia" w:ascii="仿宋" w:hAnsi="仿宋" w:eastAsia="仿宋" w:cs="仿宋"/>
                <w:color w:val="auto"/>
                <w:sz w:val="22"/>
                <w:szCs w:val="22"/>
                <w:highlight w:val="none"/>
              </w:rPr>
            </w:pPr>
          </w:p>
        </w:tc>
        <w:tc>
          <w:tcPr>
            <w:tcW w:w="1043" w:type="dxa"/>
            <w:noWrap w:val="0"/>
            <w:vAlign w:val="center"/>
          </w:tcPr>
          <w:p>
            <w:pPr>
              <w:spacing w:after="60"/>
              <w:jc w:val="center"/>
              <w:rPr>
                <w:rFonts w:hint="eastAsia" w:ascii="仿宋" w:hAnsi="仿宋" w:eastAsia="仿宋" w:cs="仿宋"/>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1"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2152" w:type="dxa"/>
            <w:noWrap w:val="0"/>
            <w:vAlign w:val="top"/>
          </w:tcPr>
          <w:p>
            <w:pPr>
              <w:adjustRightInd w:val="0"/>
              <w:snapToGrid w:val="0"/>
              <w:spacing w:line="400" w:lineRule="exact"/>
              <w:rPr>
                <w:rFonts w:hint="eastAsia" w:ascii="仿宋" w:hAnsi="仿宋" w:eastAsia="仿宋" w:cs="仿宋"/>
                <w:color w:val="auto"/>
                <w:sz w:val="22"/>
                <w:szCs w:val="22"/>
                <w:highlight w:val="none"/>
              </w:rPr>
            </w:pPr>
          </w:p>
        </w:tc>
        <w:tc>
          <w:tcPr>
            <w:tcW w:w="633" w:type="dxa"/>
            <w:noWrap w:val="0"/>
            <w:vAlign w:val="center"/>
          </w:tcPr>
          <w:p>
            <w:pPr>
              <w:adjustRightInd w:val="0"/>
              <w:snapToGrid w:val="0"/>
              <w:spacing w:line="440" w:lineRule="exact"/>
              <w:jc w:val="center"/>
              <w:rPr>
                <w:rFonts w:hint="eastAsia" w:ascii="仿宋" w:hAnsi="仿宋" w:eastAsia="仿宋" w:cs="仿宋"/>
                <w:color w:val="auto"/>
                <w:sz w:val="22"/>
                <w:szCs w:val="22"/>
                <w:highlight w:val="none"/>
              </w:rPr>
            </w:pPr>
          </w:p>
        </w:tc>
        <w:tc>
          <w:tcPr>
            <w:tcW w:w="1383"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p>
        </w:tc>
        <w:tc>
          <w:tcPr>
            <w:tcW w:w="1245" w:type="dxa"/>
            <w:noWrap w:val="0"/>
            <w:vAlign w:val="top"/>
          </w:tcPr>
          <w:p>
            <w:pPr>
              <w:spacing w:line="440" w:lineRule="exact"/>
              <w:jc w:val="center"/>
              <w:rPr>
                <w:rFonts w:hint="eastAsia" w:ascii="仿宋" w:hAnsi="仿宋" w:eastAsia="仿宋" w:cs="仿宋"/>
                <w:color w:val="auto"/>
                <w:sz w:val="22"/>
                <w:szCs w:val="22"/>
                <w:highlight w:val="none"/>
              </w:rPr>
            </w:pPr>
          </w:p>
        </w:tc>
        <w:tc>
          <w:tcPr>
            <w:tcW w:w="1230" w:type="dxa"/>
            <w:noWrap w:val="0"/>
            <w:vAlign w:val="top"/>
          </w:tcPr>
          <w:p>
            <w:pPr>
              <w:spacing w:line="440" w:lineRule="exact"/>
              <w:jc w:val="center"/>
              <w:rPr>
                <w:rFonts w:hint="eastAsia" w:ascii="仿宋" w:hAnsi="仿宋" w:eastAsia="仿宋" w:cs="仿宋"/>
                <w:color w:val="auto"/>
                <w:sz w:val="22"/>
                <w:szCs w:val="22"/>
                <w:highlight w:val="none"/>
              </w:rPr>
            </w:pPr>
          </w:p>
        </w:tc>
        <w:tc>
          <w:tcPr>
            <w:tcW w:w="1043" w:type="dxa"/>
            <w:noWrap w:val="0"/>
            <w:vAlign w:val="center"/>
          </w:tcPr>
          <w:p>
            <w:pPr>
              <w:spacing w:after="60"/>
              <w:jc w:val="center"/>
              <w:rPr>
                <w:rFonts w:hint="eastAsia" w:ascii="仿宋" w:hAnsi="仿宋" w:eastAsia="仿宋" w:cs="仿宋"/>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1"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2152" w:type="dxa"/>
            <w:noWrap w:val="0"/>
            <w:vAlign w:val="top"/>
          </w:tcPr>
          <w:p>
            <w:pPr>
              <w:adjustRightInd w:val="0"/>
              <w:snapToGrid w:val="0"/>
              <w:spacing w:line="400" w:lineRule="exact"/>
              <w:rPr>
                <w:rFonts w:hint="eastAsia" w:ascii="仿宋" w:hAnsi="仿宋" w:eastAsia="仿宋" w:cs="仿宋"/>
                <w:color w:val="auto"/>
                <w:sz w:val="22"/>
                <w:szCs w:val="22"/>
                <w:highlight w:val="none"/>
              </w:rPr>
            </w:pPr>
          </w:p>
        </w:tc>
        <w:tc>
          <w:tcPr>
            <w:tcW w:w="633" w:type="dxa"/>
            <w:noWrap w:val="0"/>
            <w:vAlign w:val="center"/>
          </w:tcPr>
          <w:p>
            <w:pPr>
              <w:adjustRightInd w:val="0"/>
              <w:snapToGrid w:val="0"/>
              <w:spacing w:line="440" w:lineRule="exact"/>
              <w:jc w:val="center"/>
              <w:rPr>
                <w:rFonts w:hint="eastAsia" w:ascii="仿宋" w:hAnsi="仿宋" w:eastAsia="仿宋" w:cs="仿宋"/>
                <w:color w:val="auto"/>
                <w:sz w:val="22"/>
                <w:szCs w:val="22"/>
                <w:highlight w:val="none"/>
              </w:rPr>
            </w:pPr>
          </w:p>
        </w:tc>
        <w:tc>
          <w:tcPr>
            <w:tcW w:w="1383" w:type="dxa"/>
            <w:noWrap w:val="0"/>
            <w:vAlign w:val="center"/>
          </w:tcPr>
          <w:p>
            <w:pPr>
              <w:adjustRightInd w:val="0"/>
              <w:snapToGrid w:val="0"/>
              <w:spacing w:line="400" w:lineRule="exact"/>
              <w:jc w:val="center"/>
              <w:rPr>
                <w:rFonts w:hint="eastAsia" w:ascii="仿宋" w:hAnsi="仿宋" w:eastAsia="仿宋" w:cs="仿宋"/>
                <w:color w:val="auto"/>
                <w:sz w:val="22"/>
                <w:szCs w:val="22"/>
                <w:highlight w:val="none"/>
              </w:rPr>
            </w:pPr>
          </w:p>
        </w:tc>
        <w:tc>
          <w:tcPr>
            <w:tcW w:w="1245" w:type="dxa"/>
            <w:noWrap w:val="0"/>
            <w:vAlign w:val="top"/>
          </w:tcPr>
          <w:p>
            <w:pPr>
              <w:spacing w:line="440" w:lineRule="exact"/>
              <w:jc w:val="center"/>
              <w:rPr>
                <w:rFonts w:hint="eastAsia" w:ascii="仿宋" w:hAnsi="仿宋" w:eastAsia="仿宋" w:cs="仿宋"/>
                <w:color w:val="auto"/>
                <w:sz w:val="22"/>
                <w:szCs w:val="22"/>
                <w:highlight w:val="none"/>
              </w:rPr>
            </w:pPr>
          </w:p>
        </w:tc>
        <w:tc>
          <w:tcPr>
            <w:tcW w:w="1230" w:type="dxa"/>
            <w:noWrap w:val="0"/>
            <w:vAlign w:val="top"/>
          </w:tcPr>
          <w:p>
            <w:pPr>
              <w:spacing w:line="440" w:lineRule="exact"/>
              <w:jc w:val="center"/>
              <w:rPr>
                <w:rFonts w:hint="eastAsia" w:ascii="仿宋" w:hAnsi="仿宋" w:eastAsia="仿宋" w:cs="仿宋"/>
                <w:color w:val="auto"/>
                <w:sz w:val="22"/>
                <w:szCs w:val="22"/>
                <w:highlight w:val="none"/>
              </w:rPr>
            </w:pPr>
          </w:p>
        </w:tc>
        <w:tc>
          <w:tcPr>
            <w:tcW w:w="1043" w:type="dxa"/>
            <w:noWrap w:val="0"/>
            <w:vAlign w:val="center"/>
          </w:tcPr>
          <w:p>
            <w:pPr>
              <w:spacing w:after="60"/>
              <w:jc w:val="center"/>
              <w:rPr>
                <w:rFonts w:hint="eastAsia" w:ascii="仿宋" w:hAnsi="仿宋" w:eastAsia="仿宋" w:cs="仿宋"/>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2873" w:type="dxa"/>
            <w:gridSpan w:val="2"/>
            <w:noWrap w:val="0"/>
            <w:vAlign w:val="center"/>
          </w:tcPr>
          <w:p>
            <w:pPr>
              <w:spacing w:after="6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总计</w:t>
            </w:r>
          </w:p>
        </w:tc>
        <w:tc>
          <w:tcPr>
            <w:tcW w:w="4491" w:type="dxa"/>
            <w:gridSpan w:val="4"/>
            <w:tcBorders>
              <w:right w:val="single" w:color="auto" w:sz="4" w:space="0"/>
            </w:tcBorders>
            <w:noWrap w:val="0"/>
            <w:vAlign w:val="center"/>
          </w:tcPr>
          <w:p>
            <w:pPr>
              <w:spacing w:after="60"/>
              <w:jc w:val="center"/>
              <w:rPr>
                <w:rFonts w:hint="eastAsia" w:ascii="仿宋" w:hAnsi="仿宋" w:eastAsia="仿宋" w:cs="仿宋"/>
                <w:color w:val="auto"/>
                <w:sz w:val="22"/>
                <w:szCs w:val="22"/>
                <w:highlight w:val="none"/>
              </w:rPr>
            </w:pPr>
          </w:p>
        </w:tc>
        <w:tc>
          <w:tcPr>
            <w:tcW w:w="1043" w:type="dxa"/>
            <w:tcBorders>
              <w:left w:val="single" w:color="auto" w:sz="4" w:space="0"/>
            </w:tcBorders>
            <w:noWrap w:val="0"/>
            <w:vAlign w:val="center"/>
          </w:tcPr>
          <w:p>
            <w:pPr>
              <w:spacing w:after="6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总价不得超过</w:t>
            </w:r>
            <w:r>
              <w:rPr>
                <w:rFonts w:hint="eastAsia" w:ascii="仿宋" w:hAnsi="仿宋" w:eastAsia="仿宋" w:cs="仿宋"/>
                <w:color w:val="auto"/>
                <w:sz w:val="22"/>
                <w:szCs w:val="22"/>
                <w:highlight w:val="none"/>
                <w:lang w:val="en-US" w:eastAsia="zh-CN"/>
              </w:rPr>
              <w:t>15.75</w:t>
            </w:r>
            <w:r>
              <w:rPr>
                <w:rFonts w:hint="eastAsia" w:ascii="仿宋" w:hAnsi="仿宋" w:eastAsia="仿宋" w:cs="仿宋"/>
                <w:color w:val="auto"/>
                <w:sz w:val="22"/>
                <w:szCs w:val="22"/>
                <w:highlight w:val="none"/>
              </w:rPr>
              <w:t>万元</w:t>
            </w:r>
          </w:p>
        </w:tc>
      </w:tr>
    </w:tbl>
    <w:p>
      <w:pPr>
        <w:pStyle w:val="2"/>
        <w:spacing w:line="360" w:lineRule="auto"/>
        <w:rPr>
          <w:rFonts w:hint="eastAsia" w:ascii="仿宋" w:hAnsi="仿宋" w:eastAsia="仿宋" w:cs="仿宋"/>
          <w:color w:val="auto"/>
          <w:sz w:val="22"/>
          <w:szCs w:val="22"/>
          <w:highlight w:val="none"/>
        </w:rPr>
      </w:pPr>
    </w:p>
    <w:p>
      <w:pPr>
        <w:rPr>
          <w:rFonts w:hint="eastAsia" w:ascii="仿宋" w:hAnsi="仿宋" w:eastAsia="仿宋" w:cs="仿宋"/>
          <w:color w:val="auto"/>
          <w:highlight w:val="none"/>
        </w:rPr>
      </w:pPr>
    </w:p>
    <w:p>
      <w:pPr>
        <w:spacing w:after="6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投标人代表签字________________________</w:t>
      </w:r>
    </w:p>
    <w:p>
      <w:pPr>
        <w:spacing w:after="60"/>
        <w:rPr>
          <w:rFonts w:hint="eastAsia" w:ascii="仿宋" w:hAnsi="仿宋" w:eastAsia="仿宋" w:cs="仿宋"/>
          <w:color w:val="auto"/>
          <w:sz w:val="22"/>
          <w:szCs w:val="22"/>
          <w:highlight w:val="none"/>
        </w:rPr>
      </w:pPr>
    </w:p>
    <w:p>
      <w:pPr>
        <w:spacing w:after="60"/>
        <w:rPr>
          <w:rFonts w:hint="eastAsia" w:ascii="仿宋" w:hAnsi="仿宋" w:eastAsia="仿宋" w:cs="仿宋"/>
          <w:color w:val="auto"/>
          <w:sz w:val="22"/>
          <w:szCs w:val="22"/>
          <w:highlight w:val="none"/>
        </w:rPr>
      </w:pPr>
    </w:p>
    <w:p>
      <w:pPr>
        <w:spacing w:after="6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投标单位盖章：________________________</w:t>
      </w:r>
    </w:p>
    <w:p>
      <w:pPr>
        <w:rPr>
          <w:rFonts w:hint="eastAsia" w:ascii="仿宋" w:hAnsi="仿宋" w:eastAsia="仿宋" w:cs="仿宋"/>
          <w:color w:val="auto"/>
          <w:sz w:val="22"/>
          <w:szCs w:val="22"/>
          <w:highlight w:val="none"/>
        </w:rPr>
      </w:pPr>
    </w:p>
    <w:p>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p>
    <w:p>
      <w:pPr>
        <w:spacing w:line="400" w:lineRule="exact"/>
        <w:outlineLvl w:val="2"/>
        <w:rPr>
          <w:rFonts w:hint="eastAsia" w:ascii="仿宋" w:hAnsi="仿宋" w:eastAsia="仿宋" w:cs="仿宋"/>
          <w:b/>
          <w:bCs/>
          <w:color w:val="auto"/>
          <w:sz w:val="24"/>
          <w:highlight w:val="none"/>
          <w:u w:val="wav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（二）商务部分</w:t>
      </w:r>
    </w:p>
    <w:p>
      <w:pPr>
        <w:numPr>
          <w:ilvl w:val="0"/>
          <w:numId w:val="6"/>
        </w:numPr>
        <w:tabs>
          <w:tab w:val="left" w:pos="640"/>
          <w:tab w:val="left" w:pos="1260"/>
          <w:tab w:val="left" w:pos="1418"/>
        </w:tabs>
        <w:spacing w:line="400" w:lineRule="exact"/>
        <w:ind w:left="845" w:hanging="84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投标响应书；</w:t>
      </w:r>
    </w:p>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投标响应书</w:t>
      </w:r>
    </w:p>
    <w:p>
      <w:pPr>
        <w:pStyle w:val="2"/>
        <w:spacing w:line="400" w:lineRule="exact"/>
        <w:rPr>
          <w:rFonts w:hint="eastAsia" w:ascii="仿宋" w:hAnsi="仿宋" w:eastAsia="仿宋" w:cs="仿宋"/>
          <w:color w:val="auto"/>
          <w:highlight w:val="none"/>
        </w:rPr>
      </w:pPr>
    </w:p>
    <w:p>
      <w:pPr>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p>
    <w:p>
      <w:pPr>
        <w:spacing w:line="400" w:lineRule="exact"/>
        <w:ind w:firstLine="494" w:firstLineChars="206"/>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项目采购的邀请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（招标文件编号         ），签字代表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（全名、职务）经正式授权并代表供应商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（供应商方名称、地址）提交</w:t>
      </w:r>
      <w:r>
        <w:rPr>
          <w:rFonts w:hint="eastAsia" w:ascii="仿宋" w:hAnsi="仿宋" w:eastAsia="仿宋" w:cs="仿宋"/>
          <w:b/>
          <w:color w:val="auto"/>
          <w:sz w:val="24"/>
          <w:highlight w:val="none"/>
        </w:rPr>
        <w:t>一份正本四份副本</w:t>
      </w:r>
      <w:r>
        <w:rPr>
          <w:rFonts w:hint="eastAsia" w:ascii="仿宋" w:hAnsi="仿宋" w:eastAsia="仿宋" w:cs="仿宋"/>
          <w:color w:val="auto"/>
          <w:sz w:val="24"/>
          <w:highlight w:val="none"/>
        </w:rPr>
        <w:t>投标文件。</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据此函，签字代表宣布同意如下：</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1.供应商方将按招标文件的规定履行合同责任和义务。</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2.供应商方已详细审查全部投标文件，包括修改文件（如有的话）以及全部参考资料和有关附件。我们完全理解并同意放弃对这方面有不明及误解的权利。</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3.与本投标项目有关的一切正式往来通讯请寄：</w:t>
      </w:r>
    </w:p>
    <w:p>
      <w:pPr>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邮编：</w:t>
      </w:r>
      <w:r>
        <w:rPr>
          <w:rFonts w:hint="eastAsia" w:ascii="仿宋" w:hAnsi="仿宋" w:eastAsia="仿宋" w:cs="仿宋"/>
          <w:color w:val="auto"/>
          <w:sz w:val="24"/>
          <w:highlight w:val="none"/>
          <w:u w:val="single"/>
        </w:rPr>
        <w:t xml:space="preserve">                      </w:t>
      </w:r>
    </w:p>
    <w:p>
      <w:pPr>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u w:val="single"/>
        </w:rPr>
        <w:t xml:space="preserve">                      </w:t>
      </w:r>
    </w:p>
    <w:p>
      <w:pPr>
        <w:pStyle w:val="2"/>
        <w:spacing w:line="400" w:lineRule="exact"/>
        <w:rPr>
          <w:rFonts w:hint="eastAsia" w:ascii="仿宋" w:hAnsi="仿宋" w:eastAsia="仿宋" w:cs="仿宋"/>
          <w:color w:val="auto"/>
          <w:highlight w:val="none"/>
        </w:rPr>
      </w:pPr>
    </w:p>
    <w:p>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投标供应商授权代表、职务（印刷体）：</w:t>
      </w:r>
      <w:r>
        <w:rPr>
          <w:rFonts w:hint="eastAsia" w:ascii="仿宋" w:hAnsi="仿宋" w:eastAsia="仿宋" w:cs="仿宋"/>
          <w:color w:val="auto"/>
          <w:sz w:val="24"/>
          <w:highlight w:val="none"/>
          <w:u w:val="single"/>
        </w:rPr>
        <w:t xml:space="preserve">                                      </w:t>
      </w:r>
    </w:p>
    <w:p>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投标供应商名称：</w:t>
      </w:r>
      <w:r>
        <w:rPr>
          <w:rFonts w:hint="eastAsia" w:ascii="仿宋" w:hAnsi="仿宋" w:eastAsia="仿宋" w:cs="仿宋"/>
          <w:color w:val="auto"/>
          <w:sz w:val="24"/>
          <w:highlight w:val="none"/>
          <w:u w:val="single"/>
        </w:rPr>
        <w:t xml:space="preserve">                             </w:t>
      </w:r>
    </w:p>
    <w:p>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（公  章）：</w:t>
      </w:r>
      <w:r>
        <w:rPr>
          <w:rFonts w:hint="eastAsia" w:ascii="仿宋" w:hAnsi="仿宋" w:eastAsia="仿宋" w:cs="仿宋"/>
          <w:color w:val="auto"/>
          <w:sz w:val="24"/>
          <w:highlight w:val="none"/>
          <w:u w:val="single"/>
        </w:rPr>
        <w:t xml:space="preserve">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40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投标供应商授权代表：</w:t>
      </w:r>
      <w:r>
        <w:rPr>
          <w:rFonts w:hint="eastAsia" w:ascii="仿宋" w:hAnsi="仿宋" w:eastAsia="仿宋" w:cs="仿宋"/>
          <w:color w:val="auto"/>
          <w:sz w:val="24"/>
          <w:highlight w:val="none"/>
          <w:u w:val="single"/>
        </w:rPr>
        <w:t xml:space="preserve">                           </w:t>
      </w:r>
    </w:p>
    <w:p>
      <w:pPr>
        <w:pStyle w:val="2"/>
        <w:spacing w:line="400" w:lineRule="exact"/>
        <w:rPr>
          <w:rFonts w:hint="eastAsia" w:ascii="仿宋" w:hAnsi="仿宋" w:eastAsia="仿宋" w:cs="仿宋"/>
          <w:color w:val="auto"/>
          <w:highlight w:val="none"/>
        </w:rPr>
      </w:pPr>
    </w:p>
    <w:p>
      <w:pPr>
        <w:numPr>
          <w:ilvl w:val="0"/>
          <w:numId w:val="6"/>
        </w:numPr>
        <w:tabs>
          <w:tab w:val="left" w:pos="640"/>
          <w:tab w:val="left" w:pos="1260"/>
          <w:tab w:val="left" w:pos="1418"/>
        </w:tabs>
        <w:spacing w:line="400" w:lineRule="exact"/>
        <w:ind w:left="645" w:hanging="6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br w:type="page"/>
      </w:r>
      <w:r>
        <w:rPr>
          <w:rFonts w:hint="eastAsia" w:ascii="仿宋" w:hAnsi="仿宋" w:eastAsia="仿宋" w:cs="仿宋"/>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6"/>
        </w:numPr>
        <w:tabs>
          <w:tab w:val="left" w:pos="640"/>
          <w:tab w:val="left" w:pos="1260"/>
          <w:tab w:val="left" w:pos="1418"/>
        </w:tabs>
        <w:spacing w:line="400" w:lineRule="exact"/>
        <w:ind w:left="645" w:hanging="6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br w:type="page"/>
      </w:r>
      <w:r>
        <w:rPr>
          <w:rFonts w:hint="eastAsia" w:ascii="仿宋" w:hAnsi="仿宋" w:eastAsia="仿宋" w:cs="仿宋"/>
          <w:color w:val="auto"/>
          <w:sz w:val="24"/>
          <w:highlight w:val="none"/>
          <w:lang w:val="fr-CH"/>
        </w:rPr>
        <w:t>政府采购投标及履约承诺函；</w:t>
      </w:r>
    </w:p>
    <w:p>
      <w:pPr>
        <w:spacing w:line="400" w:lineRule="exact"/>
        <w:jc w:val="center"/>
        <w:rPr>
          <w:rFonts w:hint="eastAsia" w:ascii="仿宋" w:hAnsi="仿宋" w:eastAsia="仿宋" w:cs="仿宋"/>
          <w:color w:val="auto"/>
          <w:sz w:val="28"/>
          <w:szCs w:val="28"/>
          <w:highlight w:val="none"/>
          <w:lang w:val="fr-CH"/>
        </w:rPr>
      </w:pPr>
      <w:r>
        <w:rPr>
          <w:rFonts w:hint="eastAsia" w:ascii="仿宋" w:hAnsi="仿宋" w:eastAsia="仿宋" w:cs="仿宋"/>
          <w:color w:val="auto"/>
          <w:sz w:val="28"/>
          <w:szCs w:val="28"/>
          <w:highlight w:val="none"/>
          <w:lang w:val="fr-CH"/>
        </w:rPr>
        <w:t>政府采购投标及履约承诺函</w:t>
      </w:r>
    </w:p>
    <w:p>
      <w:pPr>
        <w:pStyle w:val="2"/>
        <w:spacing w:line="400" w:lineRule="exact"/>
        <w:rPr>
          <w:rFonts w:hint="eastAsia" w:ascii="仿宋" w:hAnsi="仿宋" w:eastAsia="仿宋" w:cs="仿宋"/>
          <w:color w:val="auto"/>
          <w:highlight w:val="none"/>
          <w:lang w:val="fr-CH"/>
        </w:rPr>
      </w:pP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（采购单位名称/代理机构名称）：</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我单位深知本项目对贵局的重要性和紧迫性，亦了解贵局对廉政建设的相关要求，因此我单位承诺如下：</w:t>
      </w:r>
    </w:p>
    <w:p>
      <w:pPr>
        <w:numPr>
          <w:ilvl w:val="0"/>
          <w:numId w:val="7"/>
        </w:num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我单位本招标项目所提供的货物或服务未侵犯知识产权。</w:t>
      </w:r>
    </w:p>
    <w:p>
      <w:pPr>
        <w:widowControl/>
        <w:numPr>
          <w:ilvl w:val="0"/>
          <w:numId w:val="7"/>
        </w:numPr>
        <w:shd w:val="clear" w:color="auto" w:fill="FFFFFF"/>
        <w:spacing w:line="400" w:lineRule="exact"/>
        <w:ind w:right="-4" w:firstLine="482" w:firstLineChars="200"/>
        <w:jc w:val="left"/>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我单位</w:t>
      </w:r>
      <w:r>
        <w:rPr>
          <w:rFonts w:hint="eastAsia" w:ascii="仿宋" w:hAnsi="仿宋" w:eastAsia="仿宋" w:cs="仿宋"/>
          <w:b/>
          <w:bCs/>
          <w:color w:val="auto"/>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w:t>
      </w:r>
      <w:r>
        <w:rPr>
          <w:rFonts w:hint="eastAsia" w:ascii="仿宋" w:hAnsi="仿宋" w:eastAsia="仿宋" w:cs="仿宋"/>
          <w:color w:val="auto"/>
          <w:kern w:val="0"/>
          <w:sz w:val="24"/>
          <w:highlight w:val="none"/>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7"/>
        </w:numPr>
        <w:shd w:val="clear" w:color="auto" w:fill="FFFFFF"/>
        <w:spacing w:line="400" w:lineRule="exact"/>
        <w:ind w:right="-4" w:firstLine="482" w:firstLineChars="200"/>
        <w:jc w:val="left"/>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rPr>
        <w:t>我单位</w:t>
      </w:r>
      <w:r>
        <w:rPr>
          <w:rFonts w:hint="eastAsia" w:ascii="仿宋" w:hAnsi="仿宋" w:eastAsia="仿宋" w:cs="仿宋"/>
          <w:b/>
          <w:bCs/>
          <w:color w:val="auto"/>
          <w:kern w:val="0"/>
          <w:sz w:val="24"/>
          <w:highlight w:val="none"/>
        </w:rPr>
        <w:t>及其法定代表人近三年内（投标人成立不足三年的可从成立之日起算）无行贿犯罪记录；</w:t>
      </w:r>
    </w:p>
    <w:p>
      <w:pPr>
        <w:numPr>
          <w:ilvl w:val="0"/>
          <w:numId w:val="7"/>
        </w:num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我单位具备《中华人民共和国政府采购法》第二十二条第一款的条件。</w:t>
      </w:r>
    </w:p>
    <w:p>
      <w:pPr>
        <w:numPr>
          <w:ilvl w:val="0"/>
          <w:numId w:val="7"/>
        </w:num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符合财政部和深圳市财政局关于诚信管理的要求，</w:t>
      </w:r>
      <w:r>
        <w:rPr>
          <w:rFonts w:hint="eastAsia" w:ascii="仿宋" w:hAnsi="仿宋" w:eastAsia="仿宋" w:cs="仿宋"/>
          <w:color w:val="auto"/>
          <w:kern w:val="0"/>
          <w:sz w:val="24"/>
          <w:highlight w:val="none"/>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仿宋" w:hAnsi="仿宋" w:eastAsia="仿宋" w:cs="仿宋"/>
          <w:color w:val="auto"/>
          <w:sz w:val="24"/>
          <w:highlight w:val="none"/>
        </w:rPr>
        <w:t>。</w:t>
      </w:r>
    </w:p>
    <w:p>
      <w:pPr>
        <w:numPr>
          <w:ilvl w:val="0"/>
          <w:numId w:val="7"/>
        </w:num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7"/>
        </w:num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7"/>
        </w:num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我单位如果中标，做到诚实守信，依照本项目招标文件需求内容、签署的采购合同及本单位在投标中所作的一切承诺履约；不非法转包、分包。</w:t>
      </w:r>
    </w:p>
    <w:p>
      <w:pPr>
        <w:numPr>
          <w:ilvl w:val="0"/>
          <w:numId w:val="7"/>
        </w:num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7"/>
        </w:num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7"/>
        </w:num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我单位承诺未参与本项目的采购需求、技术指标、商务指标等内容的设定，不存在对其他投标单位不公平的行为。</w:t>
      </w:r>
    </w:p>
    <w:p>
      <w:pPr>
        <w:numPr>
          <w:ilvl w:val="0"/>
          <w:numId w:val="7"/>
        </w:num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以上承诺，如有违反，愿依照国家相关法律处理，并承担由此给采购人带来的损失。</w:t>
      </w:r>
    </w:p>
    <w:p>
      <w:pPr>
        <w:spacing w:line="400" w:lineRule="exact"/>
        <w:ind w:firstLine="480" w:firstLineChars="200"/>
        <w:rPr>
          <w:rFonts w:hint="eastAsia" w:ascii="仿宋" w:hAnsi="仿宋" w:eastAsia="仿宋" w:cs="仿宋"/>
          <w:color w:val="auto"/>
          <w:sz w:val="24"/>
          <w:highlight w:val="none"/>
        </w:rPr>
      </w:pPr>
    </w:p>
    <w:p>
      <w:pPr>
        <w:tabs>
          <w:tab w:val="left" w:pos="4860"/>
        </w:tabs>
        <w:adjustRightInd w:val="0"/>
        <w:snapToGrid w:val="0"/>
        <w:spacing w:line="400" w:lineRule="exact"/>
        <w:ind w:right="105" w:rightChars="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投标供应商法定代表人或授权代表（签字或签章）：                  </w:t>
      </w:r>
    </w:p>
    <w:p>
      <w:pPr>
        <w:tabs>
          <w:tab w:val="left" w:pos="4860"/>
        </w:tabs>
        <w:adjustRightInd w:val="0"/>
        <w:snapToGrid w:val="0"/>
        <w:spacing w:line="400" w:lineRule="exact"/>
        <w:ind w:right="105" w:rightChars="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投标供应商名称（盖章）：</w:t>
      </w:r>
    </w:p>
    <w:p>
      <w:pPr>
        <w:tabs>
          <w:tab w:val="left" w:pos="4860"/>
        </w:tabs>
        <w:adjustRightInd w:val="0"/>
        <w:snapToGrid w:val="0"/>
        <w:spacing w:line="400" w:lineRule="exact"/>
        <w:ind w:right="105" w:rightChars="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numPr>
          <w:ilvl w:val="0"/>
          <w:numId w:val="6"/>
        </w:numPr>
        <w:tabs>
          <w:tab w:val="left" w:pos="640"/>
          <w:tab w:val="left" w:pos="1260"/>
          <w:tab w:val="left" w:pos="1418"/>
        </w:tabs>
        <w:spacing w:line="400" w:lineRule="exact"/>
        <w:ind w:left="645" w:hanging="645"/>
        <w:rPr>
          <w:rFonts w:hint="eastAsia" w:ascii="仿宋" w:hAnsi="仿宋" w:eastAsia="仿宋" w:cs="仿宋"/>
          <w:color w:val="auto"/>
          <w:sz w:val="24"/>
          <w:highlight w:val="none"/>
          <w:lang w:val="fr-CH"/>
        </w:rPr>
      </w:pPr>
      <w:r>
        <w:rPr>
          <w:rFonts w:hint="eastAsia" w:ascii="仿宋" w:hAnsi="仿宋" w:eastAsia="仿宋" w:cs="仿宋"/>
          <w:color w:val="auto"/>
          <w:highlight w:val="none"/>
        </w:rPr>
        <w:br w:type="page"/>
      </w:r>
      <w:r>
        <w:rPr>
          <w:rFonts w:hint="eastAsia" w:ascii="仿宋" w:hAnsi="仿宋" w:eastAsia="仿宋" w:cs="仿宋"/>
          <w:color w:val="auto"/>
          <w:sz w:val="24"/>
          <w:highlight w:val="none"/>
        </w:rPr>
        <w:t>关于资格的声明函；</w:t>
      </w:r>
    </w:p>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关于资格的声明函</w:t>
      </w:r>
    </w:p>
    <w:p>
      <w:pPr>
        <w:pStyle w:val="2"/>
        <w:spacing w:line="400" w:lineRule="exact"/>
        <w:rPr>
          <w:rFonts w:hint="eastAsia" w:ascii="仿宋" w:hAnsi="仿宋" w:eastAsia="仿宋" w:cs="仿宋"/>
          <w:color w:val="auto"/>
          <w:highlight w:val="none"/>
        </w:rPr>
      </w:pP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（采购单位名称/代理机构名称）：</w:t>
      </w:r>
    </w:p>
    <w:p>
      <w:pPr>
        <w:spacing w:line="400" w:lineRule="exact"/>
        <w:ind w:firstLine="566" w:firstLineChars="236"/>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 投标人名称）    </w:t>
      </w:r>
      <w:r>
        <w:rPr>
          <w:rFonts w:hint="eastAsia" w:ascii="仿宋" w:hAnsi="仿宋" w:eastAsia="仿宋" w:cs="仿宋"/>
          <w:color w:val="auto"/>
          <w:sz w:val="24"/>
          <w:highlight w:val="none"/>
        </w:rPr>
        <w:t xml:space="preserve"> 参与了</w:t>
      </w:r>
      <w:r>
        <w:rPr>
          <w:rFonts w:hint="eastAsia" w:ascii="仿宋" w:hAnsi="仿宋" w:eastAsia="仿宋" w:cs="仿宋"/>
          <w:color w:val="auto"/>
          <w:sz w:val="24"/>
          <w:highlight w:val="none"/>
          <w:u w:val="single"/>
        </w:rPr>
        <w:t xml:space="preserve"> （项目名称 、招标编号） </w:t>
      </w:r>
      <w:r>
        <w:rPr>
          <w:rFonts w:hint="eastAsia" w:ascii="仿宋" w:hAnsi="仿宋" w:eastAsia="仿宋" w:cs="仿宋"/>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400" w:lineRule="exact"/>
        <w:ind w:left="42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pPr>
        <w:spacing w:line="400" w:lineRule="exact"/>
        <w:ind w:left="420"/>
        <w:rPr>
          <w:rFonts w:hint="eastAsia" w:ascii="仿宋" w:hAnsi="仿宋" w:eastAsia="仿宋" w:cs="仿宋"/>
          <w:color w:val="auto"/>
          <w:sz w:val="24"/>
          <w:highlight w:val="none"/>
        </w:rPr>
      </w:pPr>
    </w:p>
    <w:p>
      <w:pPr>
        <w:tabs>
          <w:tab w:val="left" w:pos="4860"/>
        </w:tabs>
        <w:adjustRightInd w:val="0"/>
        <w:snapToGrid w:val="0"/>
        <w:spacing w:line="400" w:lineRule="exact"/>
        <w:ind w:right="105" w:rightChars="50"/>
        <w:jc w:val="right"/>
        <w:rPr>
          <w:rFonts w:hint="eastAsia" w:ascii="仿宋" w:hAnsi="仿宋" w:eastAsia="仿宋" w:cs="仿宋"/>
          <w:color w:val="auto"/>
          <w:sz w:val="24"/>
          <w:highlight w:val="none"/>
        </w:rPr>
      </w:pPr>
    </w:p>
    <w:p>
      <w:pPr>
        <w:tabs>
          <w:tab w:val="left" w:pos="4860"/>
        </w:tabs>
        <w:adjustRightInd w:val="0"/>
        <w:snapToGrid w:val="0"/>
        <w:spacing w:line="400" w:lineRule="exact"/>
        <w:ind w:right="105" w:rightChars="5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投标供应商名称（盖章）：</w:t>
      </w:r>
    </w:p>
    <w:p>
      <w:pPr>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日期：   年     月     日</w:t>
      </w:r>
    </w:p>
    <w:p>
      <w:pPr>
        <w:numPr>
          <w:ilvl w:val="0"/>
          <w:numId w:val="6"/>
        </w:numPr>
        <w:tabs>
          <w:tab w:val="left" w:pos="640"/>
          <w:tab w:val="left" w:pos="1260"/>
          <w:tab w:val="left" w:pos="1418"/>
        </w:tabs>
        <w:spacing w:line="400" w:lineRule="exact"/>
        <w:ind w:left="645" w:hanging="6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br w:type="page"/>
      </w:r>
      <w:r>
        <w:rPr>
          <w:rFonts w:hint="eastAsia" w:ascii="仿宋" w:hAnsi="仿宋" w:eastAsia="仿宋" w:cs="仿宋"/>
          <w:color w:val="auto"/>
          <w:sz w:val="24"/>
          <w:highlight w:val="none"/>
          <w:lang w:val="fr-CH"/>
        </w:rPr>
        <w:t>法人代表证明书及身份证明；</w:t>
      </w:r>
    </w:p>
    <w:p>
      <w:pPr>
        <w:spacing w:line="400" w:lineRule="exact"/>
        <w:jc w:val="center"/>
        <w:rPr>
          <w:rFonts w:hint="eastAsia" w:ascii="仿宋" w:hAnsi="仿宋" w:eastAsia="仿宋" w:cs="仿宋"/>
          <w:b/>
          <w:color w:val="auto"/>
          <w:sz w:val="24"/>
          <w:highlight w:val="none"/>
        </w:rPr>
      </w:pPr>
    </w:p>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法定代表人证明书</w:t>
      </w:r>
    </w:p>
    <w:p>
      <w:pPr>
        <w:spacing w:line="400" w:lineRule="exact"/>
        <w:rPr>
          <w:rFonts w:hint="eastAsia" w:ascii="仿宋" w:hAnsi="仿宋" w:eastAsia="仿宋" w:cs="仿宋"/>
          <w:color w:val="auto"/>
          <w:sz w:val="24"/>
          <w:highlight w:val="none"/>
          <w:u w:val="single"/>
        </w:rPr>
      </w:pP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同志，现任我单位职务，为法定代表人，特此证明。</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签发日期：             有效日期：         单位：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00" w:lineRule="exact"/>
        <w:ind w:firstLine="480" w:firstLineChars="200"/>
        <w:rPr>
          <w:rFonts w:hint="eastAsia" w:ascii="仿宋" w:hAnsi="仿宋" w:eastAsia="仿宋" w:cs="仿宋"/>
          <w:color w:val="auto"/>
          <w:sz w:val="24"/>
          <w:highlight w:val="none"/>
        </w:rPr>
      </w:pP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tabs>
          <w:tab w:val="left" w:pos="3780"/>
        </w:tabs>
        <w:spacing w:line="400" w:lineRule="exact"/>
        <w:rPr>
          <w:rFonts w:hint="eastAsia" w:ascii="仿宋" w:hAnsi="仿宋" w:eastAsia="仿宋" w:cs="仿宋"/>
          <w:color w:val="auto"/>
          <w:sz w:val="24"/>
          <w:highlight w:val="none"/>
        </w:rPr>
      </w:pPr>
    </w:p>
    <w:p>
      <w:pPr>
        <w:tabs>
          <w:tab w:val="left" w:pos="3780"/>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投标供应商名称（盖章）：</w:t>
      </w:r>
    </w:p>
    <w:p>
      <w:pPr>
        <w:tabs>
          <w:tab w:val="left" w:pos="3780"/>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p>
    <w:p>
      <w:pPr>
        <w:spacing w:line="400" w:lineRule="exact"/>
        <w:rPr>
          <w:rFonts w:hint="eastAsia" w:ascii="仿宋" w:hAnsi="仿宋" w:eastAsia="仿宋" w:cs="仿宋"/>
          <w:color w:val="auto"/>
          <w:sz w:val="24"/>
          <w:highlight w:val="none"/>
        </w:rPr>
      </w:pPr>
    </w:p>
    <w:p>
      <w:pPr>
        <w:spacing w:before="120" w:after="120" w:line="400" w:lineRule="exact"/>
        <w:jc w:val="left"/>
        <w:rPr>
          <w:rFonts w:hint="eastAsia" w:ascii="仿宋" w:hAnsi="仿宋" w:eastAsia="仿宋" w:cs="仿宋"/>
          <w:color w:val="auto"/>
          <w:szCs w:val="21"/>
          <w:highlight w:val="none"/>
        </w:rPr>
      </w:pPr>
      <w:r>
        <w:rPr>
          <w:rFonts w:hint="eastAsia" w:ascii="仿宋" w:hAnsi="仿宋" w:eastAsia="仿宋" w:cs="仿宋"/>
          <w:b/>
          <w:color w:val="auto"/>
          <w:sz w:val="24"/>
          <w:highlight w:val="none"/>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spacing w:before="120" w:after="120" w:line="400" w:lineRule="exact"/>
              <w:jc w:val="left"/>
              <w:rPr>
                <w:rFonts w:hint="eastAsia" w:ascii="仿宋" w:hAnsi="仿宋" w:eastAsia="仿宋" w:cs="仿宋"/>
                <w:b/>
                <w:bCs/>
                <w:color w:val="auto"/>
                <w:szCs w:val="21"/>
                <w:highlight w:val="none"/>
              </w:rPr>
            </w:pPr>
          </w:p>
        </w:tc>
        <w:tc>
          <w:tcPr>
            <w:tcW w:w="4677" w:type="dxa"/>
            <w:noWrap w:val="0"/>
            <w:vAlign w:val="top"/>
          </w:tcPr>
          <w:p>
            <w:pPr>
              <w:pStyle w:val="9"/>
              <w:spacing w:line="400" w:lineRule="exact"/>
              <w:rPr>
                <w:rFonts w:hint="eastAsia" w:ascii="仿宋" w:hAnsi="仿宋" w:eastAsia="仿宋" w:cs="仿宋"/>
                <w:b/>
                <w:bCs/>
                <w:color w:val="auto"/>
                <w:szCs w:val="21"/>
                <w:highlight w:val="none"/>
              </w:rPr>
            </w:pPr>
          </w:p>
        </w:tc>
      </w:tr>
    </w:tbl>
    <w:p>
      <w:pPr>
        <w:pStyle w:val="2"/>
        <w:spacing w:line="400" w:lineRule="exact"/>
        <w:rPr>
          <w:rFonts w:hint="eastAsia" w:ascii="仿宋" w:hAnsi="仿宋" w:eastAsia="仿宋" w:cs="仿宋"/>
          <w:color w:val="auto"/>
          <w:highlight w:val="none"/>
          <w:lang w:val="fr-CH"/>
        </w:rPr>
      </w:pPr>
    </w:p>
    <w:p>
      <w:pPr>
        <w:numPr>
          <w:ilvl w:val="0"/>
          <w:numId w:val="6"/>
        </w:numPr>
        <w:tabs>
          <w:tab w:val="left" w:pos="640"/>
          <w:tab w:val="left" w:pos="1260"/>
          <w:tab w:val="left" w:pos="1418"/>
        </w:tabs>
        <w:spacing w:line="400" w:lineRule="exact"/>
        <w:ind w:left="845" w:hanging="8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br w:type="page"/>
      </w:r>
      <w:r>
        <w:rPr>
          <w:rFonts w:hint="eastAsia" w:ascii="仿宋" w:hAnsi="仿宋" w:eastAsia="仿宋" w:cs="仿宋"/>
          <w:color w:val="auto"/>
          <w:sz w:val="24"/>
          <w:highlight w:val="none"/>
          <w:lang w:val="fr-CH"/>
        </w:rPr>
        <w:t>法定代表人授权书及身份证明；</w:t>
      </w:r>
    </w:p>
    <w:p>
      <w:pPr>
        <w:pStyle w:val="9"/>
        <w:spacing w:line="400" w:lineRule="exact"/>
        <w:jc w:val="center"/>
        <w:rPr>
          <w:rFonts w:hint="eastAsia" w:ascii="仿宋" w:hAnsi="仿宋" w:eastAsia="仿宋" w:cs="仿宋"/>
          <w:b/>
          <w:color w:val="auto"/>
          <w:sz w:val="24"/>
          <w:highlight w:val="none"/>
        </w:rPr>
      </w:pPr>
    </w:p>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法定代表人授权书</w:t>
      </w:r>
    </w:p>
    <w:p>
      <w:pPr>
        <w:pStyle w:val="9"/>
        <w:spacing w:line="400" w:lineRule="exact"/>
        <w:rPr>
          <w:rFonts w:hint="eastAsia" w:ascii="仿宋" w:hAnsi="仿宋" w:eastAsia="仿宋" w:cs="仿宋"/>
          <w:color w:val="auto"/>
          <w:sz w:val="24"/>
          <w:highlight w:val="none"/>
        </w:rPr>
      </w:pPr>
    </w:p>
    <w:p>
      <w:pPr>
        <w:pStyle w:val="9"/>
        <w:spacing w:line="4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深圳市前海深港现代服务业合作区管理局：</w:t>
      </w:r>
    </w:p>
    <w:p>
      <w:pPr>
        <w:pStyle w:val="9"/>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（国家或地区）的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（投标人名称）的在下面签字的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（法定代表人姓名、职务）代表本公司授权在下面签字的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（被授权人的姓名、职务）为本公司的合法代表人，就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[招标编号为：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]的投标和合同执行，以我方的名义处理一切与之有关的事宜。</w:t>
      </w:r>
    </w:p>
    <w:p>
      <w:pPr>
        <w:pStyle w:val="9"/>
        <w:spacing w:line="400" w:lineRule="exact"/>
        <w:rPr>
          <w:rFonts w:hint="eastAsia" w:ascii="仿宋" w:hAnsi="仿宋" w:eastAsia="仿宋" w:cs="仿宋"/>
          <w:color w:val="auto"/>
          <w:sz w:val="24"/>
          <w:highlight w:val="none"/>
        </w:rPr>
      </w:pPr>
    </w:p>
    <w:p>
      <w:pPr>
        <w:spacing w:line="4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pPr>
        <w:spacing w:line="400" w:lineRule="exact"/>
        <w:rPr>
          <w:rFonts w:hint="eastAsia" w:ascii="仿宋" w:hAnsi="仿宋" w:eastAsia="仿宋" w:cs="仿宋"/>
          <w:color w:val="auto"/>
          <w:sz w:val="24"/>
          <w:highlight w:val="none"/>
        </w:rPr>
      </w:pPr>
    </w:p>
    <w:p>
      <w:pPr>
        <w:spacing w:line="400" w:lineRule="exact"/>
        <w:rPr>
          <w:rFonts w:hint="eastAsia" w:ascii="仿宋" w:hAnsi="仿宋" w:eastAsia="仿宋" w:cs="仿宋"/>
          <w:color w:val="auto"/>
          <w:sz w:val="24"/>
          <w:highlight w:val="none"/>
        </w:rPr>
      </w:pPr>
    </w:p>
    <w:p>
      <w:pPr>
        <w:tabs>
          <w:tab w:val="left" w:pos="3780"/>
        </w:tabs>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投标供应商名称（盖章）：</w:t>
      </w:r>
    </w:p>
    <w:p>
      <w:pPr>
        <w:tabs>
          <w:tab w:val="left" w:pos="3780"/>
        </w:tabs>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p>
    <w:p>
      <w:pPr>
        <w:tabs>
          <w:tab w:val="left" w:pos="3780"/>
        </w:tabs>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被授权人代表（签字或签章）：</w:t>
      </w:r>
    </w:p>
    <w:p>
      <w:pPr>
        <w:tabs>
          <w:tab w:val="left" w:pos="640"/>
          <w:tab w:val="left" w:pos="1260"/>
          <w:tab w:val="left" w:pos="1418"/>
        </w:tabs>
        <w:spacing w:line="400" w:lineRule="exact"/>
        <w:rPr>
          <w:rFonts w:hint="eastAsia" w:ascii="仿宋" w:hAnsi="仿宋" w:eastAsia="仿宋" w:cs="仿宋"/>
          <w:b/>
          <w:color w:val="auto"/>
          <w:sz w:val="24"/>
          <w:highlight w:val="none"/>
        </w:rPr>
      </w:pPr>
    </w:p>
    <w:p>
      <w:pPr>
        <w:tabs>
          <w:tab w:val="left" w:pos="640"/>
          <w:tab w:val="left" w:pos="1260"/>
          <w:tab w:val="left" w:pos="1418"/>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9"/>
              <w:spacing w:line="400" w:lineRule="exact"/>
              <w:rPr>
                <w:rFonts w:hint="eastAsia" w:ascii="仿宋" w:hAnsi="仿宋" w:eastAsia="仿宋" w:cs="仿宋"/>
                <w:b/>
                <w:bCs/>
                <w:color w:val="auto"/>
                <w:szCs w:val="21"/>
                <w:highlight w:val="none"/>
              </w:rPr>
            </w:pPr>
          </w:p>
        </w:tc>
        <w:tc>
          <w:tcPr>
            <w:tcW w:w="4677" w:type="dxa"/>
            <w:noWrap w:val="0"/>
            <w:vAlign w:val="top"/>
          </w:tcPr>
          <w:p>
            <w:pPr>
              <w:pStyle w:val="9"/>
              <w:spacing w:line="400" w:lineRule="exact"/>
              <w:rPr>
                <w:rFonts w:hint="eastAsia" w:ascii="仿宋" w:hAnsi="仿宋" w:eastAsia="仿宋" w:cs="仿宋"/>
                <w:b/>
                <w:bCs/>
                <w:color w:val="auto"/>
                <w:szCs w:val="21"/>
                <w:highlight w:val="none"/>
              </w:rPr>
            </w:pPr>
          </w:p>
        </w:tc>
      </w:tr>
    </w:tbl>
    <w:p>
      <w:pPr>
        <w:pStyle w:val="2"/>
        <w:spacing w:line="400" w:lineRule="exact"/>
        <w:rPr>
          <w:rFonts w:hint="eastAsia" w:ascii="仿宋" w:hAnsi="仿宋" w:eastAsia="仿宋" w:cs="仿宋"/>
          <w:color w:val="auto"/>
          <w:highlight w:val="none"/>
          <w:lang w:val="fr-CH"/>
        </w:rPr>
      </w:pPr>
    </w:p>
    <w:p>
      <w:pPr>
        <w:numPr>
          <w:ilvl w:val="0"/>
          <w:numId w:val="6"/>
        </w:numPr>
        <w:tabs>
          <w:tab w:val="left" w:pos="640"/>
          <w:tab w:val="left" w:pos="1260"/>
          <w:tab w:val="left" w:pos="1418"/>
        </w:tabs>
        <w:spacing w:line="400" w:lineRule="exact"/>
        <w:ind w:left="640" w:hanging="640"/>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br w:type="page"/>
      </w:r>
      <w:r>
        <w:rPr>
          <w:rFonts w:hint="eastAsia" w:ascii="仿宋" w:hAnsi="仿宋" w:eastAsia="仿宋" w:cs="仿宋"/>
          <w:color w:val="auto"/>
          <w:sz w:val="24"/>
          <w:highlight w:val="none"/>
          <w:lang w:val="fr-CH"/>
        </w:rPr>
        <w:t>招标代理服务费承诺书；</w:t>
      </w:r>
    </w:p>
    <w:p>
      <w:pPr>
        <w:widowControl/>
        <w:autoSpaceDE w:val="0"/>
        <w:autoSpaceDN w:val="0"/>
        <w:spacing w:line="400" w:lineRule="exact"/>
        <w:ind w:left="359" w:right="26" w:hanging="357"/>
        <w:jc w:val="center"/>
        <w:textAlignment w:val="bottom"/>
        <w:rPr>
          <w:rFonts w:hint="eastAsia" w:ascii="仿宋" w:hAnsi="仿宋" w:eastAsia="仿宋" w:cs="仿宋"/>
          <w:b/>
          <w:bCs/>
          <w:color w:val="auto"/>
          <w:sz w:val="24"/>
          <w:highlight w:val="none"/>
          <w:lang w:val="fr-CH"/>
        </w:rPr>
      </w:pPr>
    </w:p>
    <w:p>
      <w:pPr>
        <w:spacing w:line="400" w:lineRule="exact"/>
        <w:jc w:val="center"/>
        <w:rPr>
          <w:rFonts w:hint="eastAsia" w:ascii="仿宋" w:hAnsi="仿宋" w:eastAsia="仿宋" w:cs="仿宋"/>
          <w:color w:val="auto"/>
          <w:sz w:val="28"/>
          <w:szCs w:val="28"/>
          <w:highlight w:val="none"/>
          <w:lang w:val="fr-CH"/>
        </w:rPr>
      </w:pPr>
      <w:r>
        <w:rPr>
          <w:rFonts w:hint="eastAsia" w:ascii="仿宋" w:hAnsi="仿宋" w:eastAsia="仿宋" w:cs="仿宋"/>
          <w:color w:val="auto"/>
          <w:sz w:val="28"/>
          <w:szCs w:val="28"/>
          <w:highlight w:val="none"/>
          <w:lang w:val="fr-CH"/>
        </w:rPr>
        <w:t>招标代理服务费承诺书</w:t>
      </w:r>
    </w:p>
    <w:p>
      <w:pPr>
        <w:pStyle w:val="2"/>
        <w:spacing w:line="400" w:lineRule="exact"/>
        <w:rPr>
          <w:rFonts w:hint="eastAsia" w:ascii="仿宋" w:hAnsi="仿宋" w:eastAsia="仿宋" w:cs="仿宋"/>
          <w:color w:val="auto"/>
          <w:highlight w:val="none"/>
          <w:lang w:val="fr-CH"/>
        </w:rPr>
      </w:pPr>
    </w:p>
    <w:p>
      <w:pPr>
        <w:widowControl/>
        <w:autoSpaceDE w:val="0"/>
        <w:autoSpaceDN w:val="0"/>
        <w:spacing w:line="400" w:lineRule="exact"/>
        <w:ind w:left="359" w:right="26" w:hanging="357"/>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致：XXXX招标有限公司</w:t>
      </w:r>
    </w:p>
    <w:p>
      <w:pPr>
        <w:widowControl/>
        <w:autoSpaceDE w:val="0"/>
        <w:autoSpaceDN w:val="0"/>
        <w:spacing w:line="400" w:lineRule="exact"/>
        <w:ind w:right="26" w:firstLine="54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我们在贵司代理的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项目（招标编号：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）（货物/服务/工程）招标中若获中标，我们保证在收到中标通知书后5日内按招标文件的规定，以现金或电汇向贵公司指定的银行账号支付全额招标代理服务费。招标代理服务费按照</w:t>
      </w:r>
      <w:r>
        <w:rPr>
          <w:rFonts w:hint="eastAsia" w:ascii="仿宋" w:hAnsi="仿宋" w:eastAsia="仿宋" w:cs="仿宋"/>
          <w:color w:val="auto"/>
          <w:sz w:val="24"/>
          <w:highlight w:val="none"/>
          <w:u w:val="single"/>
        </w:rPr>
        <w:t>招标文件中的规定</w:t>
      </w:r>
      <w:r>
        <w:rPr>
          <w:rFonts w:hint="eastAsia" w:ascii="仿宋" w:hAnsi="仿宋" w:eastAsia="仿宋" w:cs="仿宋"/>
          <w:color w:val="auto"/>
          <w:sz w:val="24"/>
          <w:highlight w:val="none"/>
        </w:rPr>
        <w:t>计算。</w:t>
      </w:r>
    </w:p>
    <w:p>
      <w:pPr>
        <w:widowControl/>
        <w:autoSpaceDE w:val="0"/>
        <w:autoSpaceDN w:val="0"/>
        <w:spacing w:line="400" w:lineRule="exact"/>
        <w:ind w:right="26" w:firstLine="54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pPr>
        <w:tabs>
          <w:tab w:val="left" w:pos="3780"/>
        </w:tabs>
        <w:spacing w:line="400" w:lineRule="exact"/>
        <w:jc w:val="left"/>
        <w:rPr>
          <w:rFonts w:hint="eastAsia" w:ascii="仿宋" w:hAnsi="仿宋" w:eastAsia="仿宋" w:cs="仿宋"/>
          <w:color w:val="auto"/>
          <w:sz w:val="24"/>
          <w:highlight w:val="none"/>
        </w:rPr>
      </w:pPr>
    </w:p>
    <w:p>
      <w:pPr>
        <w:tabs>
          <w:tab w:val="left" w:pos="3780"/>
        </w:tabs>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投标供应商名称（盖章）：</w:t>
      </w:r>
    </w:p>
    <w:p>
      <w:pPr>
        <w:widowControl/>
        <w:autoSpaceDE w:val="0"/>
        <w:autoSpaceDN w:val="0"/>
        <w:spacing w:line="400" w:lineRule="exact"/>
        <w:ind w:left="435" w:leftChars="207" w:right="26" w:firstLine="72" w:firstLineChars="3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投标供应商地址：</w:t>
      </w:r>
    </w:p>
    <w:p>
      <w:pPr>
        <w:widowControl/>
        <w:autoSpaceDE w:val="0"/>
        <w:autoSpaceDN w:val="0"/>
        <w:spacing w:line="400" w:lineRule="exact"/>
        <w:ind w:left="435" w:leftChars="207" w:right="26" w:firstLine="72" w:firstLineChars="3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w:t>
      </w:r>
    </w:p>
    <w:p>
      <w:pPr>
        <w:widowControl/>
        <w:autoSpaceDE w:val="0"/>
        <w:autoSpaceDN w:val="0"/>
        <w:spacing w:line="400" w:lineRule="exact"/>
        <w:ind w:left="435" w:leftChars="207" w:right="26" w:firstLine="72" w:firstLineChars="3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2"/>
        <w:spacing w:line="400" w:lineRule="exact"/>
        <w:rPr>
          <w:rFonts w:hint="eastAsia" w:ascii="仿宋" w:hAnsi="仿宋" w:eastAsia="仿宋" w:cs="仿宋"/>
          <w:color w:val="auto"/>
          <w:highlight w:val="none"/>
          <w:lang w:val="fr-CH"/>
        </w:rPr>
      </w:pPr>
    </w:p>
    <w:p>
      <w:pPr>
        <w:tabs>
          <w:tab w:val="left" w:pos="640"/>
          <w:tab w:val="left" w:pos="1260"/>
          <w:tab w:val="left" w:pos="1418"/>
        </w:tabs>
        <w:spacing w:line="400" w:lineRule="exact"/>
        <w:rPr>
          <w:rFonts w:hint="eastAsia" w:ascii="仿宋" w:hAnsi="仿宋" w:eastAsia="仿宋" w:cs="仿宋"/>
          <w:color w:val="auto"/>
          <w:sz w:val="24"/>
          <w:highlight w:val="none"/>
          <w:lang w:val="fr-CH"/>
        </w:rPr>
      </w:pPr>
    </w:p>
    <w:p>
      <w:pPr>
        <w:numPr>
          <w:ilvl w:val="0"/>
          <w:numId w:val="6"/>
        </w:numPr>
        <w:tabs>
          <w:tab w:val="left" w:pos="640"/>
          <w:tab w:val="left" w:pos="1260"/>
          <w:tab w:val="left" w:pos="1418"/>
        </w:tabs>
        <w:spacing w:line="400" w:lineRule="exact"/>
        <w:ind w:left="845" w:hanging="8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br w:type="page"/>
      </w: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fr-CH"/>
        </w:rPr>
        <w:t>简介；</w:t>
      </w:r>
    </w:p>
    <w:p>
      <w:pPr>
        <w:pStyle w:val="9"/>
        <w:spacing w:line="400" w:lineRule="exact"/>
        <w:jc w:val="center"/>
        <w:rPr>
          <w:rFonts w:hint="eastAsia" w:ascii="仿宋" w:hAnsi="仿宋" w:eastAsia="仿宋" w:cs="仿宋"/>
          <w:color w:val="auto"/>
          <w:sz w:val="28"/>
          <w:szCs w:val="28"/>
          <w:highlight w:val="none"/>
          <w:lang w:val="fr-CH"/>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fr-CH"/>
        </w:rPr>
        <w:t>基本情况一览表</w:t>
      </w:r>
    </w:p>
    <w:p>
      <w:pPr>
        <w:pStyle w:val="10"/>
        <w:spacing w:line="400" w:lineRule="exact"/>
        <w:rPr>
          <w:rFonts w:hint="eastAsia" w:ascii="仿宋" w:hAnsi="仿宋" w:eastAsia="仿宋" w:cs="仿宋"/>
          <w:color w:val="auto"/>
          <w:highlight w:val="none"/>
          <w:lang w:val="fr-CH"/>
        </w:rPr>
      </w:pPr>
    </w:p>
    <w:p>
      <w:pPr>
        <w:pStyle w:val="9"/>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1．名称及概况：</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（1）供应商名称：_______________________________________</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（2）地址：_____________________________________________</w:t>
      </w:r>
    </w:p>
    <w:p>
      <w:pPr>
        <w:pStyle w:val="9"/>
        <w:spacing w:line="400" w:lineRule="exact"/>
        <w:ind w:firstLine="660" w:firstLineChars="2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邮政编码：_________________________________________</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电话号码：_________________________________________ </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传真号码：_________________________________________ </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（3）成立和／或注册日期：_________________________________</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（4）法人代表：__________________________________________</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（5）开户银行：__________________________________________</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（6）开户账号：__________________________________________</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（7）注册资金：__________________________________________</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（8）近两年财务基本情况</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①货币资金期末数：____________________________________</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③年营业总额（值）：___________________________________</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③资产负债率：_______________________________________</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④销售利润率：_______________________________________</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⑤资本收益率：_______________________________________</w:t>
      </w:r>
    </w:p>
    <w:p>
      <w:pPr>
        <w:pStyle w:val="9"/>
        <w:spacing w:line="40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（9）项目主要联系人（姓名、职务、通讯）：</w:t>
      </w:r>
    </w:p>
    <w:p>
      <w:pPr>
        <w:pStyle w:val="9"/>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________________________________________________________</w:t>
      </w:r>
    </w:p>
    <w:p>
      <w:pPr>
        <w:pStyle w:val="9"/>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（10）公司概况；</w:t>
      </w:r>
    </w:p>
    <w:p>
      <w:pPr>
        <w:pStyle w:val="9"/>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（11）公司组织机构；</w:t>
      </w:r>
    </w:p>
    <w:p>
      <w:pPr>
        <w:pStyle w:val="9"/>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兹证明上述说明是真实、正确的，并提供了全部能提供的资料和数据，我们同意遵照贵方要求出示有关证明文件。</w:t>
      </w:r>
    </w:p>
    <w:p>
      <w:pPr>
        <w:tabs>
          <w:tab w:val="left" w:pos="3780"/>
        </w:tabs>
        <w:spacing w:line="400" w:lineRule="exact"/>
        <w:jc w:val="left"/>
        <w:rPr>
          <w:rFonts w:hint="eastAsia" w:ascii="仿宋" w:hAnsi="仿宋" w:eastAsia="仿宋" w:cs="仿宋"/>
          <w:color w:val="auto"/>
          <w:sz w:val="24"/>
          <w:highlight w:val="none"/>
        </w:rPr>
      </w:pPr>
    </w:p>
    <w:p>
      <w:pPr>
        <w:tabs>
          <w:tab w:val="left" w:pos="3780"/>
        </w:tabs>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投标供应商名称（盖章）：</w:t>
      </w:r>
    </w:p>
    <w:p>
      <w:pPr>
        <w:tabs>
          <w:tab w:val="left" w:pos="3780"/>
        </w:tabs>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2"/>
        <w:spacing w:line="400" w:lineRule="exact"/>
        <w:rPr>
          <w:rFonts w:hint="eastAsia" w:ascii="仿宋" w:hAnsi="仿宋" w:eastAsia="仿宋" w:cs="仿宋"/>
          <w:color w:val="auto"/>
          <w:highlight w:val="none"/>
          <w:lang w:val="fr-CH"/>
        </w:rPr>
      </w:pPr>
    </w:p>
    <w:p>
      <w:pPr>
        <w:numPr>
          <w:ilvl w:val="0"/>
          <w:numId w:val="6"/>
        </w:numPr>
        <w:tabs>
          <w:tab w:val="left" w:pos="640"/>
        </w:tabs>
        <w:spacing w:line="400" w:lineRule="exact"/>
        <w:ind w:left="845" w:hanging="8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br w:type="page"/>
      </w:r>
      <w:r>
        <w:rPr>
          <w:rFonts w:hint="eastAsia" w:ascii="仿宋" w:hAnsi="仿宋" w:eastAsia="仿宋" w:cs="仿宋"/>
          <w:color w:val="auto"/>
          <w:sz w:val="24"/>
          <w:highlight w:val="none"/>
          <w:lang w:val="fr-CH"/>
        </w:rPr>
        <w:t>【</w:t>
      </w:r>
      <w:r>
        <w:rPr>
          <w:rFonts w:hint="eastAsia" w:ascii="仿宋" w:hAnsi="仿宋" w:eastAsia="仿宋" w:cs="仿宋"/>
          <w:color w:val="auto"/>
          <w:sz w:val="24"/>
          <w:highlight w:val="none"/>
        </w:rPr>
        <w:t>商务部分评审项的其他内容，根据项目情况自行添加</w:t>
      </w:r>
      <w:r>
        <w:rPr>
          <w:rFonts w:hint="eastAsia" w:ascii="仿宋" w:hAnsi="仿宋" w:eastAsia="仿宋" w:cs="仿宋"/>
          <w:color w:val="auto"/>
          <w:sz w:val="24"/>
          <w:highlight w:val="none"/>
          <w:lang w:val="fr-CH"/>
        </w:rPr>
        <w:t>】；</w:t>
      </w:r>
    </w:p>
    <w:p>
      <w:pPr>
        <w:pStyle w:val="2"/>
        <w:spacing w:line="400" w:lineRule="exact"/>
        <w:rPr>
          <w:rFonts w:hint="eastAsia" w:ascii="仿宋" w:hAnsi="仿宋" w:eastAsia="仿宋" w:cs="仿宋"/>
          <w:color w:val="auto"/>
          <w:highlight w:val="none"/>
          <w:lang w:val="fr-CH"/>
        </w:rPr>
      </w:pPr>
    </w:p>
    <w:p>
      <w:pPr>
        <w:tabs>
          <w:tab w:val="left" w:pos="640"/>
          <w:tab w:val="left" w:pos="1260"/>
          <w:tab w:val="left" w:pos="1418"/>
        </w:tabs>
        <w:spacing w:line="400" w:lineRule="exact"/>
        <w:jc w:val="center"/>
        <w:rPr>
          <w:rFonts w:hint="eastAsia" w:ascii="仿宋" w:hAnsi="仿宋" w:eastAsia="仿宋" w:cs="仿宋"/>
          <w:b/>
          <w:bCs/>
          <w:color w:val="auto"/>
          <w:szCs w:val="21"/>
          <w:highlight w:val="none"/>
        </w:rPr>
      </w:pPr>
    </w:p>
    <w:p>
      <w:pPr>
        <w:tabs>
          <w:tab w:val="left" w:pos="640"/>
          <w:tab w:val="left" w:pos="1260"/>
          <w:tab w:val="left" w:pos="1418"/>
        </w:tabs>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注：以上各项请根据“招标项目评分表”中的要求自行填写并提供相应的证明材料。</w:t>
      </w:r>
    </w:p>
    <w:p>
      <w:pPr>
        <w:numPr>
          <w:ilvl w:val="0"/>
          <w:numId w:val="6"/>
        </w:numPr>
        <w:tabs>
          <w:tab w:val="left" w:pos="640"/>
          <w:tab w:val="left" w:pos="840"/>
          <w:tab w:val="left" w:pos="1260"/>
          <w:tab w:val="left" w:pos="1418"/>
        </w:tabs>
        <w:spacing w:line="400" w:lineRule="exact"/>
        <w:ind w:left="845" w:hanging="8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br w:type="page"/>
      </w:r>
      <w:r>
        <w:rPr>
          <w:rFonts w:hint="eastAsia" w:ascii="仿宋" w:hAnsi="仿宋" w:eastAsia="仿宋" w:cs="仿宋"/>
          <w:color w:val="auto"/>
          <w:sz w:val="24"/>
          <w:highlight w:val="none"/>
          <w:lang w:val="fr-CH"/>
        </w:rPr>
        <w:t>企业诚信；</w:t>
      </w:r>
    </w:p>
    <w:p>
      <w:pPr>
        <w:pStyle w:val="9"/>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企业诚信声明与承诺</w:t>
      </w:r>
    </w:p>
    <w:p>
      <w:pPr>
        <w:pStyle w:val="10"/>
        <w:spacing w:line="400" w:lineRule="exact"/>
        <w:rPr>
          <w:rFonts w:hint="eastAsia" w:ascii="仿宋" w:hAnsi="仿宋" w:eastAsia="仿宋" w:cs="仿宋"/>
          <w:color w:val="auto"/>
          <w:highlight w:val="none"/>
        </w:rPr>
      </w:pPr>
    </w:p>
    <w:p>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XXXX招标有限公司：</w:t>
      </w:r>
    </w:p>
    <w:p>
      <w:pPr>
        <w:spacing w:line="400" w:lineRule="exact"/>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我公司参与贵代理机构组织的项目（项目编号：）投标，现就企业诚信作如下声明与承诺：</w:t>
      </w:r>
    </w:p>
    <w:p>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我司承诺无财政部《财政部关于在政府采购活动中查询及使用信用记录有关问题的通知》及其他相关文件中规定的予以扣分的情形。</w:t>
      </w:r>
    </w:p>
    <w:p>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我司对上述内容的真实性负责。如有虚假，将依法承担相应责任。</w:t>
      </w:r>
    </w:p>
    <w:p>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特此声明与承诺！</w:t>
      </w:r>
    </w:p>
    <w:p>
      <w:pPr>
        <w:spacing w:line="400" w:lineRule="exact"/>
        <w:jc w:val="left"/>
        <w:rPr>
          <w:rFonts w:hint="eastAsia" w:ascii="仿宋" w:hAnsi="仿宋" w:eastAsia="仿宋" w:cs="仿宋"/>
          <w:color w:val="auto"/>
          <w:sz w:val="24"/>
          <w:highlight w:val="none"/>
        </w:rPr>
      </w:pPr>
    </w:p>
    <w:p>
      <w:pPr>
        <w:spacing w:line="400" w:lineRule="exact"/>
        <w:jc w:val="left"/>
        <w:rPr>
          <w:rFonts w:hint="eastAsia" w:ascii="仿宋" w:hAnsi="仿宋" w:eastAsia="仿宋" w:cs="仿宋"/>
          <w:color w:val="auto"/>
          <w:sz w:val="24"/>
          <w:highlight w:val="none"/>
        </w:rPr>
      </w:pPr>
    </w:p>
    <w:p>
      <w:pPr>
        <w:tabs>
          <w:tab w:val="left" w:pos="3780"/>
        </w:tabs>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投标供应商名称（盖章）：</w:t>
      </w:r>
    </w:p>
    <w:p>
      <w:pPr>
        <w:tabs>
          <w:tab w:val="left" w:pos="3780"/>
        </w:tabs>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9"/>
        <w:spacing w:line="400" w:lineRule="exact"/>
        <w:jc w:val="left"/>
        <w:rPr>
          <w:rFonts w:hint="eastAsia" w:ascii="仿宋" w:hAnsi="仿宋" w:eastAsia="仿宋" w:cs="仿宋"/>
          <w:color w:val="auto"/>
          <w:sz w:val="24"/>
          <w:highlight w:val="none"/>
        </w:rPr>
      </w:pPr>
    </w:p>
    <w:p>
      <w:pPr>
        <w:pStyle w:val="9"/>
        <w:spacing w:line="400" w:lineRule="exact"/>
        <w:jc w:val="left"/>
        <w:rPr>
          <w:rFonts w:hint="eastAsia" w:ascii="仿宋" w:hAnsi="仿宋" w:eastAsia="仿宋" w:cs="仿宋"/>
          <w:color w:val="auto"/>
          <w:sz w:val="24"/>
          <w:highlight w:val="none"/>
        </w:rPr>
      </w:pPr>
    </w:p>
    <w:p>
      <w:pPr>
        <w:spacing w:before="100" w:beforeAutospacing="1" w:after="100" w:afterAutospacing="1"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注：近三年内，如投标人有任何违法违规、受惩罚和禁止、不良信用等记录，必须列明记载，并附网络截图（加盖公章）。</w:t>
      </w:r>
    </w:p>
    <w:p>
      <w:pPr>
        <w:pStyle w:val="2"/>
        <w:spacing w:line="400" w:lineRule="exact"/>
        <w:rPr>
          <w:rFonts w:hint="eastAsia" w:ascii="仿宋" w:hAnsi="仿宋" w:eastAsia="仿宋" w:cs="仿宋"/>
          <w:color w:val="auto"/>
          <w:highlight w:val="none"/>
          <w:lang w:val="fr-CH"/>
        </w:rPr>
      </w:pPr>
    </w:p>
    <w:p>
      <w:pPr>
        <w:numPr>
          <w:ilvl w:val="0"/>
          <w:numId w:val="6"/>
        </w:numPr>
        <w:tabs>
          <w:tab w:val="left" w:pos="640"/>
          <w:tab w:val="left" w:pos="840"/>
          <w:tab w:val="left" w:pos="1260"/>
          <w:tab w:val="left" w:pos="1418"/>
        </w:tabs>
        <w:spacing w:line="400" w:lineRule="exact"/>
        <w:ind w:left="845" w:hanging="84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投标人认为有必要提供的其他材料。</w:t>
      </w:r>
    </w:p>
    <w:p>
      <w:pPr>
        <w:spacing w:line="400" w:lineRule="exact"/>
        <w:rPr>
          <w:rFonts w:hint="eastAsia" w:ascii="仿宋" w:hAnsi="仿宋" w:eastAsia="仿宋" w:cs="仿宋"/>
          <w:color w:val="auto"/>
          <w:sz w:val="24"/>
          <w:highlight w:val="none"/>
        </w:rPr>
      </w:pPr>
    </w:p>
    <w:p>
      <w:pPr>
        <w:spacing w:line="400" w:lineRule="exact"/>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（三）技术部分</w:t>
      </w:r>
    </w:p>
    <w:p>
      <w:pPr>
        <w:numPr>
          <w:ilvl w:val="0"/>
          <w:numId w:val="8"/>
        </w:numPr>
        <w:tabs>
          <w:tab w:val="left" w:pos="640"/>
          <w:tab w:val="left" w:pos="1260"/>
          <w:tab w:val="left" w:pos="1418"/>
        </w:tabs>
        <w:spacing w:line="400" w:lineRule="exact"/>
        <w:ind w:left="640" w:right="-420" w:rightChars="-200" w:hanging="640"/>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t>用户需求响应表；</w:t>
      </w:r>
    </w:p>
    <w:p>
      <w:pPr>
        <w:pStyle w:val="9"/>
        <w:spacing w:line="400" w:lineRule="exact"/>
        <w:jc w:val="center"/>
        <w:rPr>
          <w:rFonts w:hint="eastAsia" w:ascii="仿宋" w:hAnsi="仿宋" w:eastAsia="仿宋" w:cs="仿宋"/>
          <w:color w:val="auto"/>
          <w:sz w:val="28"/>
          <w:szCs w:val="28"/>
          <w:highlight w:val="none"/>
          <w:lang w:val="fr-CH"/>
        </w:rPr>
      </w:pPr>
      <w:r>
        <w:rPr>
          <w:rFonts w:hint="eastAsia" w:ascii="仿宋" w:hAnsi="仿宋" w:eastAsia="仿宋" w:cs="仿宋"/>
          <w:color w:val="auto"/>
          <w:sz w:val="28"/>
          <w:szCs w:val="28"/>
          <w:highlight w:val="none"/>
          <w:lang w:val="fr-CH"/>
        </w:rPr>
        <w:t>用户需求响应表</w:t>
      </w:r>
    </w:p>
    <w:p>
      <w:pPr>
        <w:pStyle w:val="10"/>
        <w:spacing w:line="400" w:lineRule="exact"/>
        <w:rPr>
          <w:rFonts w:hint="eastAsia" w:ascii="仿宋" w:hAnsi="仿宋" w:eastAsia="仿宋" w:cs="仿宋"/>
          <w:color w:val="auto"/>
          <w:highlight w:val="none"/>
          <w:lang w:val="fr-CH"/>
        </w:rPr>
      </w:pP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投标供应商名称：（公章）</w:t>
      </w:r>
      <w:r>
        <w:rPr>
          <w:rFonts w:hint="eastAsia" w:ascii="仿宋" w:hAnsi="仿宋" w:eastAsia="仿宋" w:cs="仿宋"/>
          <w:color w:val="auto"/>
          <w:sz w:val="24"/>
          <w:highlight w:val="none"/>
          <w:u w:val="single"/>
        </w:rPr>
        <w:t xml:space="preserve">                             </w:t>
      </w:r>
    </w:p>
    <w:p>
      <w:pPr>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 xml:space="preserve">                                      </w:t>
      </w:r>
    </w:p>
    <w:p>
      <w:pPr>
        <w:spacing w:after="78"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据招标文件要求，我公司承诺响应如下：</w:t>
      </w:r>
    </w:p>
    <w:tbl>
      <w:tblPr>
        <w:tblStyle w:val="18"/>
        <w:tblW w:w="923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2077"/>
        <w:gridCol w:w="1956"/>
        <w:gridCol w:w="82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3507" w:type="dxa"/>
            <w:noWrap w:val="0"/>
            <w:vAlign w:val="center"/>
          </w:tcPr>
          <w:p>
            <w:pPr>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招标文件要求</w:t>
            </w:r>
          </w:p>
        </w:tc>
        <w:tc>
          <w:tcPr>
            <w:tcW w:w="2077" w:type="dxa"/>
            <w:noWrap w:val="0"/>
            <w:vAlign w:val="center"/>
          </w:tcPr>
          <w:p>
            <w:pPr>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投标文件响应</w:t>
            </w:r>
          </w:p>
        </w:tc>
        <w:tc>
          <w:tcPr>
            <w:tcW w:w="1956" w:type="dxa"/>
            <w:noWrap w:val="0"/>
            <w:vAlign w:val="center"/>
          </w:tcPr>
          <w:p>
            <w:pPr>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偏离说明（符合/正偏离/负偏离）</w:t>
            </w:r>
          </w:p>
        </w:tc>
        <w:tc>
          <w:tcPr>
            <w:tcW w:w="821" w:type="dxa"/>
            <w:noWrap w:val="0"/>
            <w:vAlign w:val="center"/>
          </w:tcPr>
          <w:p>
            <w:pPr>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3507" w:type="dxa"/>
            <w:noWrap w:val="0"/>
            <w:vAlign w:val="center"/>
          </w:tcPr>
          <w:p>
            <w:pPr>
              <w:spacing w:after="78"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本章服务需求书内容为项目正常开展的基本要求，</w:t>
            </w:r>
            <w:r>
              <w:rPr>
                <w:rFonts w:hint="eastAsia" w:ascii="仿宋" w:hAnsi="仿宋" w:eastAsia="仿宋" w:cs="仿宋"/>
                <w:b/>
                <w:color w:val="auto"/>
                <w:sz w:val="24"/>
                <w:highlight w:val="none"/>
              </w:rPr>
              <w:t>投标人必须完全响应满足招标文件“第五章 用户需求书”的全部内容，否则将导致投标无效。</w:t>
            </w:r>
            <w:r>
              <w:rPr>
                <w:rFonts w:hint="eastAsia" w:ascii="仿宋" w:hAnsi="仿宋" w:eastAsia="仿宋" w:cs="仿宋"/>
                <w:bCs/>
                <w:color w:val="auto"/>
                <w:sz w:val="24"/>
                <w:highlight w:val="none"/>
              </w:rPr>
              <w:t>如投标人中标后被发现不能满足招标文件“第五章 用户需求书”的，采购单位有权拒绝签订合同，一切后果由投标人承担。</w:t>
            </w:r>
          </w:p>
        </w:tc>
        <w:tc>
          <w:tcPr>
            <w:tcW w:w="2077" w:type="dxa"/>
            <w:noWrap w:val="0"/>
            <w:vAlign w:val="center"/>
          </w:tcPr>
          <w:p>
            <w:pPr>
              <w:spacing w:line="400" w:lineRule="exact"/>
              <w:jc w:val="left"/>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我司完全响应满足招标文件“第五章 用户需求书”</w:t>
            </w:r>
          </w:p>
        </w:tc>
        <w:tc>
          <w:tcPr>
            <w:tcW w:w="1956" w:type="dxa"/>
            <w:noWrap w:val="0"/>
            <w:vAlign w:val="center"/>
          </w:tcPr>
          <w:p>
            <w:pPr>
              <w:spacing w:line="400" w:lineRule="exact"/>
              <w:jc w:val="center"/>
              <w:rPr>
                <w:rFonts w:hint="eastAsia" w:ascii="仿宋" w:hAnsi="仿宋" w:eastAsia="仿宋" w:cs="仿宋"/>
                <w:bCs/>
                <w:color w:val="auto"/>
                <w:sz w:val="24"/>
                <w:highlight w:val="none"/>
              </w:rPr>
            </w:pPr>
          </w:p>
        </w:tc>
        <w:tc>
          <w:tcPr>
            <w:tcW w:w="821" w:type="dxa"/>
            <w:noWrap w:val="0"/>
            <w:vAlign w:val="center"/>
          </w:tcPr>
          <w:p>
            <w:pPr>
              <w:spacing w:line="400" w:lineRule="exact"/>
              <w:jc w:val="center"/>
              <w:rPr>
                <w:rFonts w:hint="eastAsia" w:ascii="仿宋" w:hAnsi="仿宋" w:eastAsia="仿宋" w:cs="仿宋"/>
                <w:bCs/>
                <w:color w:val="auto"/>
                <w:sz w:val="24"/>
                <w:highlight w:val="none"/>
              </w:rPr>
            </w:pPr>
          </w:p>
        </w:tc>
      </w:tr>
    </w:tbl>
    <w:p>
      <w:pPr>
        <w:spacing w:after="78"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1.若响应情况优于招标要求，应作详细说明；“偏离情况”栏中根据响应情况填写，没有达到要求的填“负偏离”，达到要求的填“符合”，优于要求的填“正偏离”。</w:t>
      </w:r>
    </w:p>
    <w:p>
      <w:pPr>
        <w:spacing w:line="400" w:lineRule="exact"/>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填写说明：“投标文件响应”栏投标人必须完全响应满足，请投标人于“投标文件响应”栏中填写</w:t>
      </w:r>
      <w:r>
        <w:rPr>
          <w:rFonts w:hint="eastAsia" w:ascii="仿宋" w:hAnsi="仿宋" w:eastAsia="仿宋" w:cs="仿宋"/>
          <w:b/>
          <w:color w:val="auto"/>
          <w:sz w:val="24"/>
          <w:highlight w:val="none"/>
        </w:rPr>
        <w:t>“我司完全响应满足招标文件“第五章 用户需求书”</w:t>
      </w:r>
      <w:r>
        <w:rPr>
          <w:rFonts w:hint="eastAsia" w:ascii="仿宋" w:hAnsi="仿宋" w:eastAsia="仿宋" w:cs="仿宋"/>
          <w:bCs/>
          <w:color w:val="auto"/>
          <w:sz w:val="24"/>
          <w:highlight w:val="none"/>
        </w:rPr>
        <w:t>的全部内容”即可；无需另行编制填写内容。</w:t>
      </w:r>
    </w:p>
    <w:p>
      <w:pPr>
        <w:pStyle w:val="27"/>
        <w:spacing w:line="400" w:lineRule="exact"/>
        <w:ind w:firstLine="0" w:firstLineChars="0"/>
        <w:rPr>
          <w:rFonts w:hint="eastAsia" w:ascii="仿宋" w:hAnsi="仿宋" w:eastAsia="仿宋" w:cs="仿宋"/>
          <w:color w:val="auto"/>
          <w:highlight w:val="none"/>
        </w:rPr>
      </w:pPr>
      <w:r>
        <w:rPr>
          <w:rFonts w:hint="eastAsia" w:ascii="仿宋" w:hAnsi="仿宋" w:eastAsia="仿宋" w:cs="仿宋"/>
          <w:bCs/>
          <w:color w:val="auto"/>
          <w:sz w:val="24"/>
          <w:highlight w:val="none"/>
        </w:rPr>
        <w:t>3.请勿修改表格的格式与“招标文件要求”栏中的内容。</w:t>
      </w:r>
    </w:p>
    <w:p>
      <w:pPr>
        <w:spacing w:line="400" w:lineRule="exact"/>
        <w:rPr>
          <w:rFonts w:hint="eastAsia" w:ascii="仿宋" w:hAnsi="仿宋" w:eastAsia="仿宋" w:cs="仿宋"/>
          <w:color w:val="auto"/>
          <w:sz w:val="24"/>
          <w:highlight w:val="none"/>
        </w:rPr>
      </w:pP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投标供应商授权代表：</w:t>
      </w:r>
      <w:r>
        <w:rPr>
          <w:rFonts w:hint="eastAsia" w:ascii="仿宋" w:hAnsi="仿宋" w:eastAsia="仿宋" w:cs="仿宋"/>
          <w:color w:val="auto"/>
          <w:sz w:val="24"/>
          <w:highlight w:val="none"/>
          <w:u w:val="single"/>
        </w:rPr>
        <w:t xml:space="preserve">                   </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p>
    <w:p>
      <w:pPr>
        <w:pStyle w:val="2"/>
        <w:spacing w:line="400" w:lineRule="exact"/>
        <w:rPr>
          <w:rFonts w:hint="eastAsia" w:ascii="仿宋" w:hAnsi="仿宋" w:eastAsia="仿宋" w:cs="仿宋"/>
          <w:color w:val="auto"/>
          <w:highlight w:val="none"/>
          <w:lang w:val="fr-CH"/>
        </w:rPr>
      </w:pPr>
    </w:p>
    <w:p>
      <w:pPr>
        <w:numPr>
          <w:ilvl w:val="0"/>
          <w:numId w:val="8"/>
        </w:numPr>
        <w:tabs>
          <w:tab w:val="left" w:pos="640"/>
          <w:tab w:val="left" w:pos="1260"/>
          <w:tab w:val="left" w:pos="1418"/>
        </w:tabs>
        <w:spacing w:line="400" w:lineRule="exact"/>
        <w:ind w:left="845" w:right="-420" w:rightChars="-200" w:hanging="8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sq-AL"/>
        </w:rPr>
        <w:br w:type="page"/>
      </w:r>
      <w:r>
        <w:rPr>
          <w:rFonts w:hint="eastAsia" w:ascii="仿宋" w:hAnsi="仿宋" w:eastAsia="仿宋" w:cs="仿宋"/>
          <w:color w:val="auto"/>
          <w:sz w:val="24"/>
          <w:highlight w:val="none"/>
          <w:lang w:val="fr-CH"/>
        </w:rPr>
        <w:t>【</w:t>
      </w:r>
      <w:r>
        <w:rPr>
          <w:rFonts w:hint="eastAsia" w:ascii="仿宋" w:hAnsi="仿宋" w:eastAsia="仿宋" w:cs="仿宋"/>
          <w:color w:val="auto"/>
          <w:sz w:val="24"/>
          <w:highlight w:val="none"/>
        </w:rPr>
        <w:t>技术部分评审项的其他内容，根据项目情况自行添加</w:t>
      </w:r>
      <w:r>
        <w:rPr>
          <w:rFonts w:hint="eastAsia" w:ascii="仿宋" w:hAnsi="仿宋" w:eastAsia="仿宋" w:cs="仿宋"/>
          <w:color w:val="auto"/>
          <w:sz w:val="24"/>
          <w:highlight w:val="none"/>
          <w:lang w:val="fr-CH"/>
        </w:rPr>
        <w:t>】；</w:t>
      </w:r>
    </w:p>
    <w:p>
      <w:pPr>
        <w:tabs>
          <w:tab w:val="left" w:pos="640"/>
          <w:tab w:val="left" w:pos="1260"/>
          <w:tab w:val="left" w:pos="1418"/>
        </w:tabs>
        <w:spacing w:line="400" w:lineRule="exact"/>
        <w:jc w:val="center"/>
        <w:rPr>
          <w:rFonts w:hint="eastAsia" w:ascii="仿宋" w:hAnsi="仿宋" w:eastAsia="仿宋" w:cs="仿宋"/>
          <w:b/>
          <w:bCs/>
          <w:color w:val="auto"/>
          <w:sz w:val="24"/>
          <w:highlight w:val="none"/>
        </w:rPr>
      </w:pPr>
    </w:p>
    <w:p>
      <w:pPr>
        <w:tabs>
          <w:tab w:val="left" w:pos="640"/>
          <w:tab w:val="left" w:pos="1260"/>
          <w:tab w:val="left" w:pos="1418"/>
        </w:tabs>
        <w:spacing w:line="400" w:lineRule="exact"/>
        <w:jc w:val="center"/>
        <w:rPr>
          <w:rFonts w:hint="eastAsia" w:ascii="仿宋" w:hAnsi="仿宋" w:eastAsia="仿宋" w:cs="仿宋"/>
          <w:b/>
          <w:bCs/>
          <w:color w:val="auto"/>
          <w:sz w:val="24"/>
          <w:highlight w:val="none"/>
        </w:rPr>
      </w:pPr>
    </w:p>
    <w:p>
      <w:pPr>
        <w:tabs>
          <w:tab w:val="left" w:pos="640"/>
          <w:tab w:val="left" w:pos="1260"/>
          <w:tab w:val="left" w:pos="1418"/>
        </w:tabs>
        <w:spacing w:line="40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注：以上各项请根据“招标项目评分表”中的要求自行填写并提供相应的证明材料。</w:t>
      </w:r>
    </w:p>
    <w:p>
      <w:pPr>
        <w:numPr>
          <w:ilvl w:val="0"/>
          <w:numId w:val="8"/>
        </w:numPr>
        <w:tabs>
          <w:tab w:val="left" w:pos="640"/>
          <w:tab w:val="left" w:pos="1260"/>
          <w:tab w:val="left" w:pos="1418"/>
        </w:tabs>
        <w:spacing w:line="400" w:lineRule="exact"/>
        <w:ind w:left="845" w:right="-420" w:rightChars="-200" w:hanging="845"/>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br w:type="page"/>
      </w:r>
      <w:r>
        <w:rPr>
          <w:rFonts w:hint="eastAsia" w:ascii="仿宋" w:hAnsi="仿宋" w:eastAsia="仿宋" w:cs="仿宋"/>
          <w:color w:val="auto"/>
          <w:sz w:val="24"/>
          <w:highlight w:val="none"/>
          <w:lang w:val="fr-CH"/>
        </w:rPr>
        <w:t>投标人认为有必要提供的其他材料。</w:t>
      </w:r>
      <w:bookmarkEnd w:id="43"/>
    </w:p>
    <w:p>
      <w:pPr>
        <w:tabs>
          <w:tab w:val="left" w:pos="640"/>
          <w:tab w:val="left" w:pos="1260"/>
          <w:tab w:val="left" w:pos="1418"/>
        </w:tabs>
        <w:spacing w:line="400" w:lineRule="exact"/>
        <w:ind w:right="-420" w:rightChars="-200"/>
        <w:rPr>
          <w:rFonts w:hint="eastAsia" w:ascii="仿宋" w:hAnsi="仿宋" w:eastAsia="仿宋" w:cs="仿宋"/>
          <w:color w:val="auto"/>
          <w:sz w:val="24"/>
          <w:highlight w:val="none"/>
          <w:lang w:val="fr-CH"/>
        </w:rPr>
      </w:pPr>
      <w:r>
        <w:rPr>
          <w:rFonts w:hint="eastAsia" w:ascii="仿宋" w:hAnsi="仿宋" w:eastAsia="仿宋" w:cs="仿宋"/>
          <w:color w:val="auto"/>
          <w:sz w:val="24"/>
          <w:highlight w:val="none"/>
          <w:lang w:val="fr-CH"/>
        </w:rPr>
        <w:t>（投标人可根据实际情况按照附件的格式提供中小微企业声明函）</w:t>
      </w:r>
    </w:p>
    <w:p>
      <w:pPr>
        <w:tabs>
          <w:tab w:val="left" w:pos="360"/>
        </w:tabs>
        <w:spacing w:line="400" w:lineRule="exact"/>
        <w:outlineLvl w:val="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fr-CH"/>
        </w:rPr>
        <w:br w:type="page"/>
      </w:r>
      <w:bookmarkStart w:id="49" w:name="_Toc28541"/>
      <w:bookmarkStart w:id="50" w:name="_Toc6251"/>
      <w:bookmarkStart w:id="51" w:name="_Toc1832"/>
      <w:r>
        <w:rPr>
          <w:rFonts w:hint="eastAsia" w:ascii="仿宋" w:hAnsi="仿宋" w:eastAsia="仿宋" w:cs="仿宋"/>
          <w:b/>
          <w:bCs/>
          <w:color w:val="auto"/>
          <w:sz w:val="24"/>
          <w:highlight w:val="none"/>
        </w:rPr>
        <w:t>附件：相关政策</w:t>
      </w:r>
      <w:bookmarkEnd w:id="49"/>
      <w:bookmarkEnd w:id="50"/>
      <w:bookmarkEnd w:id="51"/>
    </w:p>
    <w:p>
      <w:pPr>
        <w:tabs>
          <w:tab w:val="left" w:pos="360"/>
        </w:tabs>
        <w:spacing w:line="400" w:lineRule="exact"/>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1.财政部、工业和信息化部《关于印发〈政府采购促进中小企业发展管理办法〉的通知》（财库〔2020〕46 号）</w:t>
      </w:r>
    </w:p>
    <w:p>
      <w:pPr>
        <w:pStyle w:val="2"/>
        <w:tabs>
          <w:tab w:val="left" w:pos="562"/>
          <w:tab w:val="left" w:pos="3372"/>
          <w:tab w:val="left" w:pos="3653"/>
        </w:tabs>
        <w:spacing w:line="400" w:lineRule="exact"/>
        <w:rPr>
          <w:rFonts w:hint="eastAsia" w:ascii="仿宋" w:hAnsi="仿宋" w:eastAsia="仿宋" w:cs="仿宋"/>
          <w:color w:val="auto"/>
          <w:sz w:val="24"/>
          <w:highlight w:val="none"/>
        </w:rPr>
      </w:pPr>
    </w:p>
    <w:p>
      <w:pPr>
        <w:widowControl/>
        <w:shd w:val="clear" w:color="auto" w:fill="FFFFFF"/>
        <w:spacing w:line="400" w:lineRule="exact"/>
        <w:jc w:val="center"/>
        <w:rPr>
          <w:rFonts w:hint="eastAsia" w:ascii="仿宋" w:hAnsi="仿宋" w:eastAsia="仿宋" w:cs="仿宋"/>
          <w:color w:val="auto"/>
          <w:sz w:val="28"/>
          <w:szCs w:val="28"/>
          <w:highlight w:val="none"/>
          <w:lang w:val="fr-CH"/>
        </w:rPr>
      </w:pPr>
      <w:r>
        <w:rPr>
          <w:rFonts w:hint="eastAsia" w:ascii="仿宋" w:hAnsi="仿宋" w:eastAsia="仿宋" w:cs="仿宋"/>
          <w:color w:val="auto"/>
          <w:sz w:val="28"/>
          <w:szCs w:val="28"/>
          <w:highlight w:val="none"/>
          <w:lang w:val="fr-CH"/>
        </w:rPr>
        <w:t>关于印发《政府采购促进中小企业发展管理办法》的通知</w:t>
      </w:r>
    </w:p>
    <w:p>
      <w:pPr>
        <w:widowControl/>
        <w:shd w:val="clear" w:color="auto" w:fill="FFFFFF"/>
        <w:spacing w:after="240"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财库〔2020〕46号</w:t>
      </w:r>
    </w:p>
    <w:p>
      <w:pPr>
        <w:widowControl/>
        <w:shd w:val="clear" w:color="auto" w:fill="FFFFFF"/>
        <w:spacing w:after="240"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附件：政府采购促进中小企业发展管理办法</w:t>
      </w:r>
    </w:p>
    <w:p>
      <w:pPr>
        <w:spacing w:line="400" w:lineRule="exact"/>
        <w:rPr>
          <w:rFonts w:hint="eastAsia" w:ascii="仿宋" w:hAnsi="仿宋" w:eastAsia="仿宋" w:cs="仿宋"/>
          <w:color w:val="auto"/>
          <w:highlight w:val="none"/>
        </w:rPr>
      </w:pPr>
    </w:p>
    <w:p>
      <w:pPr>
        <w:widowControl/>
        <w:shd w:val="clear" w:color="auto" w:fill="FFFFFF"/>
        <w:spacing w:line="40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财  政  部</w:t>
      </w:r>
    </w:p>
    <w:p>
      <w:pPr>
        <w:widowControl/>
        <w:shd w:val="clear" w:color="auto" w:fill="FFFFFF"/>
        <w:spacing w:line="40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工业和信息化部</w:t>
      </w:r>
    </w:p>
    <w:p>
      <w:pPr>
        <w:widowControl/>
        <w:shd w:val="clear" w:color="auto" w:fill="FFFFFF"/>
        <w:spacing w:line="40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2020年12月18日</w:t>
      </w:r>
    </w:p>
    <w:p>
      <w:pPr>
        <w:pStyle w:val="2"/>
        <w:spacing w:line="400" w:lineRule="exact"/>
        <w:rPr>
          <w:rFonts w:hint="eastAsia" w:ascii="仿宋" w:hAnsi="仿宋" w:eastAsia="仿宋" w:cs="仿宋"/>
          <w:color w:val="auto"/>
          <w:highlight w:val="none"/>
        </w:rPr>
      </w:pPr>
    </w:p>
    <w:p>
      <w:pPr>
        <w:autoSpaceDE w:val="0"/>
        <w:autoSpaceDN w:val="0"/>
        <w:adjustRightInd w:val="0"/>
        <w:spacing w:line="400" w:lineRule="exact"/>
        <w:jc w:val="left"/>
        <w:rPr>
          <w:rFonts w:hint="eastAsia" w:ascii="仿宋" w:hAnsi="仿宋" w:eastAsia="仿宋" w:cs="仿宋"/>
          <w:color w:val="auto"/>
          <w:kern w:val="0"/>
          <w:sz w:val="24"/>
          <w:highlight w:val="none"/>
        </w:rPr>
      </w:pPr>
    </w:p>
    <w:p>
      <w:pPr>
        <w:widowControl/>
        <w:shd w:val="clear" w:color="auto" w:fill="FFFFFF"/>
        <w:spacing w:line="400" w:lineRule="exact"/>
        <w:jc w:val="center"/>
        <w:rPr>
          <w:rFonts w:hint="eastAsia" w:ascii="仿宋" w:hAnsi="仿宋" w:eastAsia="仿宋" w:cs="仿宋"/>
          <w:color w:val="auto"/>
          <w:sz w:val="28"/>
          <w:szCs w:val="28"/>
          <w:highlight w:val="none"/>
          <w:lang w:val="fr-CH"/>
        </w:rPr>
      </w:pPr>
      <w:r>
        <w:rPr>
          <w:rFonts w:hint="eastAsia" w:ascii="仿宋" w:hAnsi="仿宋" w:eastAsia="仿宋" w:cs="仿宋"/>
          <w:color w:val="auto"/>
          <w:sz w:val="28"/>
          <w:szCs w:val="28"/>
          <w:highlight w:val="none"/>
          <w:lang w:val="fr-CH"/>
        </w:rPr>
        <w:t>政府采购促进中小企业发展管理办法</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（一）在货物采购项目中，货物由中小企业制造，即货 物由中小企业生产且使用该中小企业商号或者注册商标；</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（二）在工程采购项目中，工程由中小企业承建，即工 程施工单位为中小企业；</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符合下列情形之一的，可不专门面向中小企业预留采购</w:t>
      </w:r>
      <w:r>
        <w:rPr>
          <w:rFonts w:hint="eastAsia" w:ascii="仿宋" w:hAnsi="仿宋" w:eastAsia="仿宋" w:cs="仿宋"/>
          <w:color w:val="auto"/>
          <w:sz w:val="24"/>
          <w:highlight w:val="none"/>
        </w:rPr>
        <w:t>份额：</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（一）法律法规和国家有关政策明确规定优先或者应当面向事业单位、社会组织等非企业主体采购的；</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（三）按照本办法规定预留采购份额无法确保充分供应、充分竞争，或者存在可能影响政府采购目标实现的情形；</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（四）框架协议采购项目；</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（五）省级以上人民政府财政部门规定的其他情形。 除上述情形外，其他均为适宜由中小企业提供的情形。</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（一）将采购项目整体或者设置采购包专门面向中小企业采购；</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（二）要求供应商以联合体形式参加采购活动，且联合体中中小企业承担的部分达到一定比例；</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（三）要求获得采购合同的供应商将采购项目中的一定比例分包给一家或者多家中小企业。</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组成联合体或者接受分包合同的中小企业与联合体内 其他企业、分包企业之间不得存在直接控股、管理关系。</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第十二条 采购项目涉及中小企业采购的，采购文件应当明确以下内容：</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（三）非预留份额的采购项目或者采购包，明确有关价格扣除比例或者价格分加分比例；</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（五）采购人认为具备相关条件的，明确对中小企业在资金支付期限、预付款比例等方面的优惠措施；</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（六）明确采购标的对应的中小企业划分标准所属行业；</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（七）法律法规和省级以上人民政府财政部门规定的其他事项。</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适用招标投标法的政府采购工程建设项目，应当在公示中标候选人时公开中标候选人的《中小企业声明函》。</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第二十二条 对外援助项目、国家相关资格或者资质管理制度另有规定的项目，不适用本办法。</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第二十三条 关于视同中小企业的其他主体的政府采购扶持政策，由财政部会同有关部门另行规定。</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第二十四条 省级财政部门可以会同中小企业主管部门根据本办法的规定制定具体实施办法。</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400" w:lineRule="exact"/>
        <w:rPr>
          <w:rFonts w:hint="eastAsia" w:ascii="仿宋" w:hAnsi="仿宋" w:eastAsia="仿宋" w:cs="仿宋"/>
          <w:color w:val="auto"/>
          <w:sz w:val="24"/>
          <w:highlight w:val="none"/>
        </w:rPr>
      </w:pP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附：1.中小企业声明函</w:t>
      </w:r>
    </w:p>
    <w:p>
      <w:pPr>
        <w:pStyle w:val="2"/>
        <w:tabs>
          <w:tab w:val="left" w:pos="562"/>
          <w:tab w:val="left" w:pos="3372"/>
          <w:tab w:val="left" w:pos="3653"/>
        </w:tabs>
        <w:spacing w:line="400" w:lineRule="exact"/>
        <w:ind w:firstLine="960" w:firstLineChars="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2.面向中小企业预留项目执行情况公告</w:t>
      </w:r>
    </w:p>
    <w:p>
      <w:pPr>
        <w:pStyle w:val="2"/>
        <w:tabs>
          <w:tab w:val="left" w:pos="562"/>
          <w:tab w:val="left" w:pos="3372"/>
          <w:tab w:val="left" w:pos="3653"/>
        </w:tabs>
        <w:spacing w:before="30" w:line="400" w:lineRule="exact"/>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附 1</w:t>
      </w:r>
    </w:p>
    <w:p>
      <w:pPr>
        <w:pStyle w:val="9"/>
        <w:spacing w:line="400" w:lineRule="exact"/>
        <w:jc w:val="center"/>
        <w:outlineLvl w:val="0"/>
        <w:rPr>
          <w:rFonts w:hint="eastAsia" w:ascii="仿宋" w:hAnsi="仿宋" w:eastAsia="仿宋" w:cs="仿宋"/>
          <w:color w:val="auto"/>
          <w:sz w:val="28"/>
          <w:szCs w:val="28"/>
          <w:highlight w:val="none"/>
          <w:lang w:val="fr-CH"/>
        </w:rPr>
      </w:pPr>
      <w:r>
        <w:rPr>
          <w:rFonts w:hint="eastAsia" w:ascii="仿宋" w:hAnsi="仿宋" w:eastAsia="仿宋" w:cs="仿宋"/>
          <w:color w:val="auto"/>
          <w:sz w:val="28"/>
          <w:szCs w:val="28"/>
          <w:highlight w:val="none"/>
          <w:lang w:val="fr-CH"/>
        </w:rPr>
        <w:t>中小企业声明函（货物）</w:t>
      </w:r>
    </w:p>
    <w:p>
      <w:pPr>
        <w:pStyle w:val="10"/>
        <w:spacing w:line="400" w:lineRule="exact"/>
        <w:rPr>
          <w:rFonts w:hint="eastAsia" w:ascii="仿宋" w:hAnsi="仿宋" w:eastAsia="仿宋" w:cs="仿宋"/>
          <w:color w:val="auto"/>
          <w:highlight w:val="none"/>
          <w:lang w:val="fr-CH"/>
        </w:rPr>
      </w:pPr>
    </w:p>
    <w:p>
      <w:pPr>
        <w:pStyle w:val="2"/>
        <w:tabs>
          <w:tab w:val="left" w:pos="562"/>
          <w:tab w:val="left" w:pos="3372"/>
          <w:tab w:val="left" w:pos="3653"/>
        </w:tabs>
        <w:spacing w:line="400" w:lineRule="exact"/>
        <w:ind w:firstLine="472" w:firstLineChars="2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本公司（联合体）郑重声明，根据《政府采购促进中小企业发展管理办法》（财库﹝2020﹞46 号）的规定，本公司（联合体）参加（</w:t>
      </w:r>
      <w:r>
        <w:rPr>
          <w:rFonts w:hint="eastAsia" w:ascii="仿宋" w:hAnsi="仿宋" w:eastAsia="仿宋" w:cs="仿宋"/>
          <w:color w:val="auto"/>
          <w:spacing w:val="-2"/>
          <w:sz w:val="24"/>
          <w:highlight w:val="none"/>
          <w:u w:val="single"/>
        </w:rPr>
        <w:t>单位名称</w:t>
      </w:r>
      <w:r>
        <w:rPr>
          <w:rFonts w:hint="eastAsia" w:ascii="仿宋" w:hAnsi="仿宋" w:eastAsia="仿宋" w:cs="仿宋"/>
          <w:color w:val="auto"/>
          <w:spacing w:val="-2"/>
          <w:sz w:val="24"/>
          <w:highlight w:val="none"/>
        </w:rPr>
        <w:t>）的（</w:t>
      </w:r>
      <w:r>
        <w:rPr>
          <w:rFonts w:hint="eastAsia" w:ascii="仿宋" w:hAnsi="仿宋" w:eastAsia="仿宋" w:cs="仿宋"/>
          <w:color w:val="auto"/>
          <w:spacing w:val="-2"/>
          <w:sz w:val="24"/>
          <w:highlight w:val="none"/>
          <w:u w:val="single"/>
        </w:rPr>
        <w:t>项目名称</w:t>
      </w:r>
      <w:r>
        <w:rPr>
          <w:rFonts w:hint="eastAsia" w:ascii="仿宋" w:hAnsi="仿宋" w:eastAsia="仿宋" w:cs="仿宋"/>
          <w:color w:val="auto"/>
          <w:spacing w:val="-2"/>
          <w:sz w:val="24"/>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标的名称</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采购文件中明确的所属行业</w:t>
      </w:r>
      <w:r>
        <w:rPr>
          <w:rFonts w:hint="eastAsia" w:ascii="仿宋" w:hAnsi="仿宋" w:eastAsia="仿宋" w:cs="仿宋"/>
          <w:color w:val="auto"/>
          <w:kern w:val="0"/>
          <w:sz w:val="24"/>
          <w:highlight w:val="none"/>
        </w:rPr>
        <w:t>）；制造商为（</w:t>
      </w:r>
      <w:r>
        <w:rPr>
          <w:rFonts w:hint="eastAsia" w:ascii="仿宋" w:hAnsi="仿宋" w:eastAsia="仿宋" w:cs="仿宋"/>
          <w:color w:val="auto"/>
          <w:kern w:val="0"/>
          <w:sz w:val="24"/>
          <w:highlight w:val="none"/>
          <w:u w:val="single"/>
        </w:rPr>
        <w:t>企业名称</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 xml:space="preserve">人，营业收入为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万元，属于（</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pStyle w:val="2"/>
        <w:tabs>
          <w:tab w:val="left" w:pos="562"/>
          <w:tab w:val="left" w:pos="3372"/>
          <w:tab w:val="left" w:pos="3653"/>
        </w:tabs>
        <w:spacing w:line="400" w:lineRule="exact"/>
        <w:ind w:firstLine="472" w:firstLineChars="2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w:t>
      </w:r>
      <w:r>
        <w:rPr>
          <w:rFonts w:hint="eastAsia" w:ascii="仿宋" w:hAnsi="仿宋" w:eastAsia="仿宋" w:cs="仿宋"/>
          <w:color w:val="auto"/>
          <w:spacing w:val="-2"/>
          <w:sz w:val="24"/>
          <w:highlight w:val="none"/>
          <w:u w:val="single"/>
        </w:rPr>
        <w:t>标的名称</w:t>
      </w:r>
      <w:r>
        <w:rPr>
          <w:rFonts w:hint="eastAsia" w:ascii="仿宋" w:hAnsi="仿宋" w:eastAsia="仿宋" w:cs="仿宋"/>
          <w:color w:val="auto"/>
          <w:spacing w:val="-2"/>
          <w:sz w:val="24"/>
          <w:highlight w:val="none"/>
        </w:rPr>
        <w:t>），属于（</w:t>
      </w:r>
      <w:r>
        <w:rPr>
          <w:rFonts w:hint="eastAsia" w:ascii="仿宋" w:hAnsi="仿宋" w:eastAsia="仿宋" w:cs="仿宋"/>
          <w:color w:val="auto"/>
          <w:spacing w:val="-2"/>
          <w:sz w:val="24"/>
          <w:highlight w:val="none"/>
          <w:u w:val="single"/>
        </w:rPr>
        <w:t>采购文件中明确的所属行业</w:t>
      </w:r>
      <w:r>
        <w:rPr>
          <w:rFonts w:hint="eastAsia" w:ascii="仿宋" w:hAnsi="仿宋" w:eastAsia="仿宋" w:cs="仿宋"/>
          <w:color w:val="auto"/>
          <w:spacing w:val="-2"/>
          <w:sz w:val="24"/>
          <w:highlight w:val="none"/>
        </w:rPr>
        <w:t>）；制造商为（</w:t>
      </w:r>
      <w:r>
        <w:rPr>
          <w:rFonts w:hint="eastAsia" w:ascii="仿宋" w:hAnsi="仿宋" w:eastAsia="仿宋" w:cs="仿宋"/>
          <w:color w:val="auto"/>
          <w:spacing w:val="-2"/>
          <w:sz w:val="24"/>
          <w:highlight w:val="none"/>
          <w:u w:val="single"/>
        </w:rPr>
        <w:t>企业名称</w:t>
      </w:r>
      <w:r>
        <w:rPr>
          <w:rFonts w:hint="eastAsia" w:ascii="仿宋" w:hAnsi="仿宋" w:eastAsia="仿宋" w:cs="仿宋"/>
          <w:color w:val="auto"/>
          <w:spacing w:val="-2"/>
          <w:sz w:val="24"/>
          <w:highlight w:val="none"/>
        </w:rPr>
        <w:t>），从业人员</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rPr>
        <w:t>人，营业收入为</w:t>
      </w:r>
      <w:r>
        <w:rPr>
          <w:rFonts w:hint="eastAsia" w:ascii="仿宋" w:hAnsi="仿宋" w:eastAsia="仿宋" w:cs="仿宋"/>
          <w:color w:val="auto"/>
          <w:spacing w:val="-2"/>
          <w:sz w:val="24"/>
          <w:highlight w:val="none"/>
          <w:u w:val="single"/>
        </w:rPr>
        <w:tab/>
      </w:r>
      <w:r>
        <w:rPr>
          <w:rFonts w:hint="eastAsia" w:ascii="仿宋" w:hAnsi="仿宋" w:eastAsia="仿宋" w:cs="仿宋"/>
          <w:color w:val="auto"/>
          <w:spacing w:val="-2"/>
          <w:sz w:val="24"/>
          <w:highlight w:val="none"/>
        </w:rPr>
        <w:t>万元，资产总额为</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rPr>
        <w:t>万元，属于（</w:t>
      </w:r>
      <w:r>
        <w:rPr>
          <w:rFonts w:hint="eastAsia" w:ascii="仿宋" w:hAnsi="仿宋" w:eastAsia="仿宋" w:cs="仿宋"/>
          <w:color w:val="auto"/>
          <w:spacing w:val="-2"/>
          <w:sz w:val="24"/>
          <w:highlight w:val="none"/>
          <w:u w:val="single"/>
        </w:rPr>
        <w:t>中型企业、小型企业、微型企业</w:t>
      </w:r>
      <w:r>
        <w:rPr>
          <w:rFonts w:hint="eastAsia" w:ascii="仿宋" w:hAnsi="仿宋" w:eastAsia="仿宋" w:cs="仿宋"/>
          <w:color w:val="auto"/>
          <w:spacing w:val="-2"/>
          <w:sz w:val="24"/>
          <w:highlight w:val="none"/>
        </w:rPr>
        <w:t>）；</w:t>
      </w:r>
    </w:p>
    <w:p>
      <w:pPr>
        <w:pStyle w:val="2"/>
        <w:tabs>
          <w:tab w:val="left" w:pos="562"/>
          <w:tab w:val="left" w:pos="3372"/>
          <w:tab w:val="left" w:pos="3653"/>
        </w:tabs>
        <w:spacing w:line="400" w:lineRule="exact"/>
        <w:ind w:firstLine="472" w:firstLineChars="2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w:t>
      </w:r>
    </w:p>
    <w:p>
      <w:pPr>
        <w:pStyle w:val="2"/>
        <w:tabs>
          <w:tab w:val="left" w:pos="562"/>
          <w:tab w:val="left" w:pos="3372"/>
          <w:tab w:val="left" w:pos="3653"/>
        </w:tabs>
        <w:spacing w:line="400" w:lineRule="exact"/>
        <w:ind w:firstLine="472" w:firstLineChars="2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400" w:lineRule="exact"/>
        <w:ind w:firstLine="472" w:firstLineChars="2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本企业对上述声明内容的真实性负责。如有虚假，将依法承担相应责任。</w:t>
      </w:r>
    </w:p>
    <w:p>
      <w:pPr>
        <w:pStyle w:val="2"/>
        <w:tabs>
          <w:tab w:val="left" w:pos="562"/>
          <w:tab w:val="left" w:pos="3372"/>
          <w:tab w:val="left" w:pos="3653"/>
        </w:tabs>
        <w:spacing w:line="400" w:lineRule="exact"/>
        <w:ind w:firstLine="472" w:firstLineChars="2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400" w:lineRule="exact"/>
        <w:rPr>
          <w:rFonts w:hint="eastAsia" w:ascii="仿宋" w:hAnsi="仿宋" w:eastAsia="仿宋" w:cs="仿宋"/>
          <w:color w:val="auto"/>
          <w:highlight w:val="none"/>
        </w:rPr>
      </w:pPr>
    </w:p>
    <w:p>
      <w:pPr>
        <w:pStyle w:val="2"/>
        <w:spacing w:line="400" w:lineRule="exact"/>
        <w:rPr>
          <w:rFonts w:hint="eastAsia" w:ascii="仿宋" w:hAnsi="仿宋" w:eastAsia="仿宋" w:cs="仿宋"/>
          <w:color w:val="auto"/>
          <w:highlight w:val="none"/>
        </w:rPr>
      </w:pPr>
    </w:p>
    <w:p>
      <w:pPr>
        <w:spacing w:line="400" w:lineRule="exact"/>
        <w:rPr>
          <w:rFonts w:hint="eastAsia" w:ascii="仿宋" w:hAnsi="仿宋" w:eastAsia="仿宋" w:cs="仿宋"/>
          <w:color w:val="auto"/>
          <w:highlight w:val="none"/>
        </w:rPr>
      </w:pPr>
    </w:p>
    <w:p>
      <w:pPr>
        <w:pStyle w:val="2"/>
        <w:tabs>
          <w:tab w:val="left" w:pos="562"/>
          <w:tab w:val="left" w:pos="3372"/>
          <w:tab w:val="left" w:pos="3653"/>
        </w:tabs>
        <w:spacing w:line="400" w:lineRule="exact"/>
        <w:ind w:left="4200" w:leftChars="20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企业名称（盖章）：</w:t>
      </w:r>
    </w:p>
    <w:p>
      <w:pPr>
        <w:pStyle w:val="2"/>
        <w:tabs>
          <w:tab w:val="left" w:pos="562"/>
          <w:tab w:val="left" w:pos="3372"/>
          <w:tab w:val="left" w:pos="3653"/>
        </w:tabs>
        <w:spacing w:line="400" w:lineRule="exact"/>
        <w:ind w:left="4200" w:leftChars="20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日期：</w:t>
      </w:r>
    </w:p>
    <w:p>
      <w:pPr>
        <w:spacing w:line="400" w:lineRule="exact"/>
        <w:rPr>
          <w:rFonts w:hint="eastAsia" w:ascii="仿宋" w:hAnsi="仿宋" w:eastAsia="仿宋" w:cs="仿宋"/>
          <w:color w:val="auto"/>
          <w:highlight w:val="none"/>
        </w:rPr>
      </w:pPr>
    </w:p>
    <w:p>
      <w:pPr>
        <w:pStyle w:val="2"/>
        <w:tabs>
          <w:tab w:val="left" w:pos="562"/>
          <w:tab w:val="left" w:pos="3372"/>
          <w:tab w:val="left" w:pos="3653"/>
        </w:tabs>
        <w:spacing w:line="400" w:lineRule="exact"/>
        <w:jc w:val="left"/>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 xml:space="preserve">   说明：从业人员、营业收入、资产总额填报上一年度数据，无上一年度数据的新成立企业可不填报。</w:t>
      </w:r>
    </w:p>
    <w:p>
      <w:pPr>
        <w:spacing w:after="319" w:afterLines="100" w:line="400" w:lineRule="exact"/>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8"/>
          <w:szCs w:val="28"/>
          <w:highlight w:val="none"/>
          <w:lang w:val="fr-CH"/>
        </w:rPr>
        <w:t>中小企业声明函（工程、服务）</w:t>
      </w:r>
    </w:p>
    <w:p>
      <w:pPr>
        <w:pStyle w:val="2"/>
        <w:tabs>
          <w:tab w:val="left" w:pos="562"/>
          <w:tab w:val="left" w:pos="3372"/>
          <w:tab w:val="left" w:pos="3653"/>
        </w:tabs>
        <w:spacing w:line="400" w:lineRule="exact"/>
        <w:ind w:firstLine="472" w:firstLineChars="2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本公司（联合体）郑重声明，根据《政府采购促进中小企业发展管理办法》（财库﹝2020﹞46 号）的规定，本公司（联合体）参加（</w:t>
      </w:r>
      <w:r>
        <w:rPr>
          <w:rFonts w:hint="eastAsia" w:ascii="仿宋" w:hAnsi="仿宋" w:eastAsia="仿宋" w:cs="仿宋"/>
          <w:color w:val="auto"/>
          <w:spacing w:val="-2"/>
          <w:sz w:val="24"/>
          <w:highlight w:val="none"/>
          <w:u w:val="single"/>
        </w:rPr>
        <w:t>单位名称</w:t>
      </w:r>
      <w:r>
        <w:rPr>
          <w:rFonts w:hint="eastAsia" w:ascii="仿宋" w:hAnsi="仿宋" w:eastAsia="仿宋" w:cs="仿宋"/>
          <w:color w:val="auto"/>
          <w:spacing w:val="-2"/>
          <w:sz w:val="24"/>
          <w:highlight w:val="none"/>
        </w:rPr>
        <w:t>）的（</w:t>
      </w:r>
      <w:r>
        <w:rPr>
          <w:rFonts w:hint="eastAsia" w:ascii="仿宋" w:hAnsi="仿宋" w:eastAsia="仿宋" w:cs="仿宋"/>
          <w:color w:val="auto"/>
          <w:spacing w:val="-2"/>
          <w:sz w:val="24"/>
          <w:highlight w:val="none"/>
          <w:u w:val="single"/>
        </w:rPr>
        <w:t>项目名称</w:t>
      </w:r>
      <w:r>
        <w:rPr>
          <w:rFonts w:hint="eastAsia" w:ascii="仿宋" w:hAnsi="仿宋" w:eastAsia="仿宋" w:cs="仿宋"/>
          <w:color w:val="auto"/>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400" w:lineRule="exact"/>
        <w:ind w:firstLine="472" w:firstLineChars="2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1.（</w:t>
      </w:r>
      <w:r>
        <w:rPr>
          <w:rFonts w:hint="eastAsia" w:ascii="仿宋" w:hAnsi="仿宋" w:eastAsia="仿宋" w:cs="仿宋"/>
          <w:color w:val="auto"/>
          <w:spacing w:val="-2"/>
          <w:sz w:val="24"/>
          <w:highlight w:val="none"/>
          <w:u w:val="single"/>
        </w:rPr>
        <w:t>标的名称</w:t>
      </w:r>
      <w:r>
        <w:rPr>
          <w:rFonts w:hint="eastAsia" w:ascii="仿宋" w:hAnsi="仿宋" w:eastAsia="仿宋" w:cs="仿宋"/>
          <w:color w:val="auto"/>
          <w:spacing w:val="-2"/>
          <w:sz w:val="24"/>
          <w:highlight w:val="none"/>
        </w:rPr>
        <w:t>），属于其他未列明行业；承建（承接）企业为（</w:t>
      </w:r>
      <w:r>
        <w:rPr>
          <w:rFonts w:hint="eastAsia" w:ascii="仿宋" w:hAnsi="仿宋" w:eastAsia="仿宋" w:cs="仿宋"/>
          <w:color w:val="auto"/>
          <w:spacing w:val="-2"/>
          <w:sz w:val="24"/>
          <w:highlight w:val="none"/>
          <w:u w:val="single"/>
        </w:rPr>
        <w:t>企业名称</w:t>
      </w:r>
      <w:r>
        <w:rPr>
          <w:rFonts w:hint="eastAsia" w:ascii="仿宋" w:hAnsi="仿宋" w:eastAsia="仿宋" w:cs="仿宋"/>
          <w:color w:val="auto"/>
          <w:spacing w:val="-2"/>
          <w:sz w:val="24"/>
          <w:highlight w:val="none"/>
        </w:rPr>
        <w:t>），从业人员</w:t>
      </w:r>
      <w:r>
        <w:rPr>
          <w:rFonts w:hint="eastAsia" w:ascii="仿宋" w:hAnsi="仿宋" w:eastAsia="仿宋" w:cs="仿宋"/>
          <w:color w:val="auto"/>
          <w:spacing w:val="-2"/>
          <w:sz w:val="24"/>
          <w:highlight w:val="none"/>
          <w:u w:val="single"/>
        </w:rPr>
        <w:tab/>
      </w:r>
      <w:r>
        <w:rPr>
          <w:rFonts w:hint="eastAsia" w:ascii="仿宋" w:hAnsi="仿宋" w:eastAsia="仿宋" w:cs="仿宋"/>
          <w:color w:val="auto"/>
          <w:spacing w:val="-2"/>
          <w:sz w:val="24"/>
          <w:highlight w:val="none"/>
        </w:rPr>
        <w:t>人，营业收入为</w:t>
      </w:r>
      <w:r>
        <w:rPr>
          <w:rFonts w:hint="eastAsia" w:ascii="仿宋" w:hAnsi="仿宋" w:eastAsia="仿宋" w:cs="仿宋"/>
          <w:color w:val="auto"/>
          <w:spacing w:val="-2"/>
          <w:sz w:val="24"/>
          <w:highlight w:val="none"/>
          <w:u w:val="single"/>
        </w:rPr>
        <w:tab/>
      </w:r>
      <w:r>
        <w:rPr>
          <w:rFonts w:hint="eastAsia" w:ascii="仿宋" w:hAnsi="仿宋" w:eastAsia="仿宋" w:cs="仿宋"/>
          <w:color w:val="auto"/>
          <w:spacing w:val="-2"/>
          <w:sz w:val="24"/>
          <w:highlight w:val="none"/>
        </w:rPr>
        <w:t>万元，资产总额为</w:t>
      </w:r>
      <w:r>
        <w:rPr>
          <w:rFonts w:hint="eastAsia" w:ascii="仿宋" w:hAnsi="仿宋" w:eastAsia="仿宋" w:cs="仿宋"/>
          <w:color w:val="auto"/>
          <w:spacing w:val="-2"/>
          <w:sz w:val="24"/>
          <w:highlight w:val="none"/>
          <w:u w:val="single"/>
        </w:rPr>
        <w:tab/>
      </w:r>
      <w:r>
        <w:rPr>
          <w:rFonts w:hint="eastAsia" w:ascii="仿宋" w:hAnsi="仿宋" w:eastAsia="仿宋" w:cs="仿宋"/>
          <w:color w:val="auto"/>
          <w:spacing w:val="-2"/>
          <w:sz w:val="24"/>
          <w:highlight w:val="none"/>
        </w:rPr>
        <w:t>万元，属于（</w:t>
      </w:r>
      <w:r>
        <w:rPr>
          <w:rFonts w:hint="eastAsia" w:ascii="仿宋" w:hAnsi="仿宋" w:eastAsia="仿宋" w:cs="仿宋"/>
          <w:color w:val="auto"/>
          <w:spacing w:val="-2"/>
          <w:sz w:val="24"/>
          <w:highlight w:val="none"/>
          <w:u w:val="single"/>
        </w:rPr>
        <w:t>中型企业、小型企业、微型企业</w:t>
      </w:r>
      <w:r>
        <w:rPr>
          <w:rFonts w:hint="eastAsia" w:ascii="仿宋" w:hAnsi="仿宋" w:eastAsia="仿宋" w:cs="仿宋"/>
          <w:color w:val="auto"/>
          <w:spacing w:val="-2"/>
          <w:sz w:val="24"/>
          <w:highlight w:val="none"/>
        </w:rPr>
        <w:t>）。</w:t>
      </w:r>
    </w:p>
    <w:p>
      <w:pPr>
        <w:pStyle w:val="2"/>
        <w:tabs>
          <w:tab w:val="left" w:pos="562"/>
          <w:tab w:val="left" w:pos="3372"/>
          <w:tab w:val="left" w:pos="3653"/>
        </w:tabs>
        <w:spacing w:line="400" w:lineRule="exact"/>
        <w:ind w:firstLine="472" w:firstLineChars="2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w:t>
      </w:r>
      <w:r>
        <w:rPr>
          <w:rFonts w:hint="eastAsia" w:ascii="仿宋" w:hAnsi="仿宋" w:eastAsia="仿宋" w:cs="仿宋"/>
          <w:color w:val="auto"/>
          <w:spacing w:val="-2"/>
          <w:sz w:val="24"/>
          <w:highlight w:val="none"/>
          <w:u w:val="single"/>
        </w:rPr>
        <w:t>标的名称</w:t>
      </w:r>
      <w:r>
        <w:rPr>
          <w:rFonts w:hint="eastAsia" w:ascii="仿宋" w:hAnsi="仿宋" w:eastAsia="仿宋" w:cs="仿宋"/>
          <w:color w:val="auto"/>
          <w:spacing w:val="-2"/>
          <w:sz w:val="24"/>
          <w:highlight w:val="none"/>
        </w:rPr>
        <w:t>），属于（</w:t>
      </w:r>
      <w:r>
        <w:rPr>
          <w:rFonts w:hint="eastAsia" w:ascii="仿宋" w:hAnsi="仿宋" w:eastAsia="仿宋" w:cs="仿宋"/>
          <w:color w:val="auto"/>
          <w:spacing w:val="-2"/>
          <w:sz w:val="24"/>
          <w:highlight w:val="none"/>
          <w:u w:val="single"/>
        </w:rPr>
        <w:t>采购文件中明确的所属行业</w:t>
      </w:r>
      <w:r>
        <w:rPr>
          <w:rFonts w:hint="eastAsia" w:ascii="仿宋" w:hAnsi="仿宋" w:eastAsia="仿宋" w:cs="仿宋"/>
          <w:color w:val="auto"/>
          <w:spacing w:val="-2"/>
          <w:sz w:val="24"/>
          <w:highlight w:val="none"/>
        </w:rPr>
        <w:t>） ；承建（承接）企业为（</w:t>
      </w:r>
      <w:r>
        <w:rPr>
          <w:rFonts w:hint="eastAsia" w:ascii="仿宋" w:hAnsi="仿宋" w:eastAsia="仿宋" w:cs="仿宋"/>
          <w:color w:val="auto"/>
          <w:spacing w:val="-2"/>
          <w:sz w:val="24"/>
          <w:highlight w:val="none"/>
          <w:u w:val="single"/>
        </w:rPr>
        <w:t>企业名称</w:t>
      </w:r>
      <w:r>
        <w:rPr>
          <w:rFonts w:hint="eastAsia" w:ascii="仿宋" w:hAnsi="仿宋" w:eastAsia="仿宋" w:cs="仿宋"/>
          <w:color w:val="auto"/>
          <w:spacing w:val="-2"/>
          <w:sz w:val="24"/>
          <w:highlight w:val="none"/>
        </w:rPr>
        <w:t>），从业人员</w:t>
      </w:r>
      <w:r>
        <w:rPr>
          <w:rFonts w:hint="eastAsia" w:ascii="仿宋" w:hAnsi="仿宋" w:eastAsia="仿宋" w:cs="仿宋"/>
          <w:color w:val="auto"/>
          <w:spacing w:val="-2"/>
          <w:sz w:val="24"/>
          <w:highlight w:val="none"/>
          <w:u w:val="single"/>
        </w:rPr>
        <w:tab/>
      </w:r>
      <w:r>
        <w:rPr>
          <w:rFonts w:hint="eastAsia" w:ascii="仿宋" w:hAnsi="仿宋" w:eastAsia="仿宋" w:cs="仿宋"/>
          <w:color w:val="auto"/>
          <w:spacing w:val="-2"/>
          <w:sz w:val="24"/>
          <w:highlight w:val="none"/>
        </w:rPr>
        <w:t>人，营业收入为</w:t>
      </w:r>
      <w:r>
        <w:rPr>
          <w:rFonts w:hint="eastAsia" w:ascii="仿宋" w:hAnsi="仿宋" w:eastAsia="仿宋" w:cs="仿宋"/>
          <w:color w:val="auto"/>
          <w:spacing w:val="-2"/>
          <w:sz w:val="24"/>
          <w:highlight w:val="none"/>
          <w:u w:val="single"/>
        </w:rPr>
        <w:tab/>
      </w:r>
      <w:r>
        <w:rPr>
          <w:rFonts w:hint="eastAsia" w:ascii="仿宋" w:hAnsi="仿宋" w:eastAsia="仿宋" w:cs="仿宋"/>
          <w:color w:val="auto"/>
          <w:spacing w:val="-2"/>
          <w:sz w:val="24"/>
          <w:highlight w:val="none"/>
        </w:rPr>
        <w:t>万元，资产总额为</w:t>
      </w:r>
      <w:r>
        <w:rPr>
          <w:rFonts w:hint="eastAsia" w:ascii="仿宋" w:hAnsi="仿宋" w:eastAsia="仿宋" w:cs="仿宋"/>
          <w:color w:val="auto"/>
          <w:spacing w:val="-2"/>
          <w:sz w:val="24"/>
          <w:highlight w:val="none"/>
          <w:u w:val="single"/>
        </w:rPr>
        <w:tab/>
      </w:r>
      <w:r>
        <w:rPr>
          <w:rFonts w:hint="eastAsia" w:ascii="仿宋" w:hAnsi="仿宋" w:eastAsia="仿宋" w:cs="仿宋"/>
          <w:color w:val="auto"/>
          <w:spacing w:val="-2"/>
          <w:sz w:val="24"/>
          <w:highlight w:val="none"/>
        </w:rPr>
        <w:t>万元，属于（</w:t>
      </w:r>
      <w:r>
        <w:rPr>
          <w:rFonts w:hint="eastAsia" w:ascii="仿宋" w:hAnsi="仿宋" w:eastAsia="仿宋" w:cs="仿宋"/>
          <w:color w:val="auto"/>
          <w:spacing w:val="-2"/>
          <w:sz w:val="24"/>
          <w:highlight w:val="none"/>
          <w:u w:val="single"/>
        </w:rPr>
        <w:t>中型企业、小型企业、微型企业</w:t>
      </w:r>
      <w:r>
        <w:rPr>
          <w:rFonts w:hint="eastAsia" w:ascii="仿宋" w:hAnsi="仿宋" w:eastAsia="仿宋" w:cs="仿宋"/>
          <w:color w:val="auto"/>
          <w:spacing w:val="-2"/>
          <w:sz w:val="24"/>
          <w:highlight w:val="none"/>
        </w:rPr>
        <w:t>）；</w:t>
      </w:r>
    </w:p>
    <w:p>
      <w:pPr>
        <w:pStyle w:val="2"/>
        <w:tabs>
          <w:tab w:val="left" w:pos="562"/>
          <w:tab w:val="left" w:pos="3372"/>
          <w:tab w:val="left" w:pos="3653"/>
        </w:tabs>
        <w:spacing w:line="400" w:lineRule="exact"/>
        <w:ind w:firstLine="472" w:firstLineChars="2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w:t>
      </w:r>
    </w:p>
    <w:p>
      <w:pPr>
        <w:pStyle w:val="2"/>
        <w:tabs>
          <w:tab w:val="left" w:pos="562"/>
          <w:tab w:val="left" w:pos="3372"/>
          <w:tab w:val="left" w:pos="3653"/>
        </w:tabs>
        <w:spacing w:line="400" w:lineRule="exact"/>
        <w:ind w:firstLine="472" w:firstLineChars="2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400" w:lineRule="exact"/>
        <w:ind w:firstLine="472" w:firstLineChars="2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本企业对上述声明内容的真实性负责。如有虚假，将依法承担相应责任。</w:t>
      </w:r>
    </w:p>
    <w:p>
      <w:pPr>
        <w:pStyle w:val="2"/>
        <w:tabs>
          <w:tab w:val="left" w:pos="562"/>
          <w:tab w:val="left" w:pos="3372"/>
          <w:tab w:val="left" w:pos="3653"/>
        </w:tabs>
        <w:spacing w:line="400" w:lineRule="exact"/>
        <w:ind w:firstLine="472" w:firstLineChars="2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400" w:lineRule="exact"/>
        <w:ind w:left="4200" w:leftChars="2000"/>
        <w:rPr>
          <w:rFonts w:hint="eastAsia" w:ascii="仿宋" w:hAnsi="仿宋" w:eastAsia="仿宋" w:cs="仿宋"/>
          <w:color w:val="auto"/>
          <w:spacing w:val="-2"/>
          <w:sz w:val="24"/>
          <w:highlight w:val="none"/>
        </w:rPr>
      </w:pPr>
    </w:p>
    <w:p>
      <w:pPr>
        <w:spacing w:line="400" w:lineRule="exact"/>
        <w:rPr>
          <w:rFonts w:hint="eastAsia" w:ascii="仿宋" w:hAnsi="仿宋" w:eastAsia="仿宋" w:cs="仿宋"/>
          <w:color w:val="auto"/>
          <w:spacing w:val="-2"/>
          <w:sz w:val="24"/>
          <w:highlight w:val="none"/>
        </w:rPr>
      </w:pPr>
    </w:p>
    <w:p>
      <w:pPr>
        <w:pStyle w:val="2"/>
        <w:spacing w:line="400" w:lineRule="exact"/>
        <w:rPr>
          <w:rFonts w:hint="eastAsia" w:ascii="仿宋" w:hAnsi="仿宋" w:eastAsia="仿宋" w:cs="仿宋"/>
          <w:color w:val="auto"/>
          <w:highlight w:val="none"/>
        </w:rPr>
      </w:pPr>
    </w:p>
    <w:p>
      <w:pPr>
        <w:pStyle w:val="2"/>
        <w:tabs>
          <w:tab w:val="left" w:pos="562"/>
          <w:tab w:val="left" w:pos="3372"/>
          <w:tab w:val="left" w:pos="3653"/>
        </w:tabs>
        <w:spacing w:line="400" w:lineRule="exact"/>
        <w:ind w:left="4200" w:leftChars="20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企业名称（盖章）：</w:t>
      </w:r>
    </w:p>
    <w:p>
      <w:pPr>
        <w:pStyle w:val="2"/>
        <w:tabs>
          <w:tab w:val="left" w:pos="562"/>
          <w:tab w:val="left" w:pos="3372"/>
          <w:tab w:val="left" w:pos="3653"/>
        </w:tabs>
        <w:spacing w:line="400" w:lineRule="exact"/>
        <w:ind w:left="4200" w:leftChars="20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日期：</w:t>
      </w:r>
    </w:p>
    <w:p>
      <w:pPr>
        <w:pStyle w:val="2"/>
        <w:tabs>
          <w:tab w:val="left" w:pos="562"/>
          <w:tab w:val="left" w:pos="3372"/>
          <w:tab w:val="left" w:pos="3653"/>
        </w:tabs>
        <w:spacing w:line="400" w:lineRule="exact"/>
        <w:rPr>
          <w:rFonts w:hint="eastAsia" w:ascii="仿宋" w:hAnsi="仿宋" w:eastAsia="仿宋" w:cs="仿宋"/>
          <w:color w:val="auto"/>
          <w:spacing w:val="-2"/>
          <w:sz w:val="24"/>
          <w:highlight w:val="none"/>
        </w:rPr>
      </w:pPr>
    </w:p>
    <w:p>
      <w:pPr>
        <w:pStyle w:val="2"/>
        <w:tabs>
          <w:tab w:val="left" w:pos="562"/>
          <w:tab w:val="left" w:pos="3372"/>
          <w:tab w:val="left" w:pos="3653"/>
        </w:tabs>
        <w:spacing w:before="30" w:line="400" w:lineRule="exact"/>
        <w:ind w:firstLine="472" w:firstLineChars="200"/>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说明：从业人员、营业收入、资产总额填报上一年度数据，无上一年度数据的新成立企业可不填报。</w:t>
      </w: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附 2</w:t>
      </w:r>
    </w:p>
    <w:p>
      <w:pPr>
        <w:spacing w:after="319" w:afterLines="100" w:line="400" w:lineRule="exact"/>
        <w:jc w:val="center"/>
        <w:outlineLvl w:val="0"/>
        <w:rPr>
          <w:rFonts w:hint="eastAsia" w:ascii="仿宋" w:hAnsi="仿宋" w:eastAsia="仿宋" w:cs="仿宋"/>
          <w:color w:val="auto"/>
          <w:sz w:val="28"/>
          <w:szCs w:val="28"/>
          <w:highlight w:val="none"/>
          <w:lang w:val="fr-CH"/>
        </w:rPr>
      </w:pPr>
      <w:r>
        <w:rPr>
          <w:rFonts w:hint="eastAsia" w:ascii="仿宋" w:hAnsi="仿宋" w:eastAsia="仿宋" w:cs="仿宋"/>
          <w:color w:val="auto"/>
          <w:sz w:val="28"/>
          <w:szCs w:val="28"/>
          <w:highlight w:val="none"/>
          <w:lang w:val="fr-CH"/>
        </w:rPr>
        <w:t>（单位名称）××年面向中小企业预留项目执行情况公告</w:t>
      </w:r>
    </w:p>
    <w:p>
      <w:pPr>
        <w:pStyle w:val="2"/>
        <w:tabs>
          <w:tab w:val="left" w:pos="562"/>
          <w:tab w:val="left" w:pos="3372"/>
          <w:tab w:val="left" w:pos="3653"/>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根据《政府采购促进中小企业发展管理办法》（财库﹝2020﹞46</w:t>
      </w:r>
      <w:r>
        <w:rPr>
          <w:rFonts w:hint="eastAsia" w:ascii="仿宋" w:hAnsi="仿宋" w:eastAsia="仿宋" w:cs="仿宋"/>
          <w:color w:val="auto"/>
          <w:spacing w:val="-47"/>
          <w:sz w:val="24"/>
          <w:highlight w:val="none"/>
        </w:rPr>
        <w:t xml:space="preserve"> 号</w:t>
      </w:r>
      <w:r>
        <w:rPr>
          <w:rFonts w:hint="eastAsia" w:ascii="仿宋" w:hAnsi="仿宋" w:eastAsia="仿宋" w:cs="仿宋"/>
          <w:color w:val="auto"/>
          <w:spacing w:val="-22"/>
          <w:sz w:val="24"/>
          <w:highlight w:val="none"/>
        </w:rPr>
        <w:t>）</w:t>
      </w:r>
      <w:r>
        <w:rPr>
          <w:rFonts w:hint="eastAsia" w:ascii="仿宋" w:hAnsi="仿宋" w:eastAsia="仿宋" w:cs="仿宋"/>
          <w:color w:val="auto"/>
          <w:spacing w:val="-7"/>
          <w:sz w:val="24"/>
          <w:highlight w:val="none"/>
        </w:rPr>
        <w:t>要求，现对本部门</w:t>
      </w:r>
      <w:r>
        <w:rPr>
          <w:rFonts w:hint="eastAsia" w:ascii="仿宋" w:hAnsi="仿宋" w:eastAsia="仿宋" w:cs="仿宋"/>
          <w:color w:val="auto"/>
          <w:spacing w:val="-3"/>
          <w:sz w:val="24"/>
          <w:highlight w:val="none"/>
        </w:rPr>
        <w:t>（</w:t>
      </w:r>
      <w:r>
        <w:rPr>
          <w:rFonts w:hint="eastAsia" w:ascii="仿宋" w:hAnsi="仿宋" w:eastAsia="仿宋" w:cs="仿宋"/>
          <w:color w:val="auto"/>
          <w:sz w:val="24"/>
          <w:highlight w:val="none"/>
        </w:rPr>
        <w:t>单位</w:t>
      </w:r>
      <w:r>
        <w:rPr>
          <w:rFonts w:hint="eastAsia" w:ascii="仿宋" w:hAnsi="仿宋" w:eastAsia="仿宋" w:cs="仿宋"/>
          <w:color w:val="auto"/>
          <w:spacing w:val="-7"/>
          <w:sz w:val="24"/>
          <w:highlight w:val="none"/>
        </w:rPr>
        <w:t>）</w:t>
      </w:r>
      <w:r>
        <w:rPr>
          <w:rFonts w:hint="eastAsia" w:ascii="仿宋" w:hAnsi="仿宋" w:eastAsia="仿宋" w:cs="仿宋"/>
          <w:color w:val="auto"/>
          <w:spacing w:val="-4"/>
          <w:sz w:val="24"/>
          <w:highlight w:val="none"/>
        </w:rPr>
        <w:t>××年面向中小企业预留项目执行情况公告如下：</w:t>
      </w:r>
    </w:p>
    <w:p>
      <w:pPr>
        <w:pStyle w:val="2"/>
        <w:tabs>
          <w:tab w:val="left" w:pos="562"/>
          <w:tab w:val="left" w:pos="3372"/>
          <w:tab w:val="left" w:pos="3653"/>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本部门（单位）××年预留项目面向中小企业采购共计××万元，其中，面向小微企业采购××万元，占××%。</w:t>
      </w:r>
    </w:p>
    <w:p>
      <w:pPr>
        <w:pStyle w:val="2"/>
        <w:tabs>
          <w:tab w:val="left" w:pos="562"/>
          <w:tab w:val="left" w:pos="3372"/>
          <w:tab w:val="left" w:pos="3653"/>
        </w:tabs>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面向中小企业预留项目明细</w:t>
      </w:r>
    </w:p>
    <w:tbl>
      <w:tblPr>
        <w:tblStyle w:val="18"/>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9"/>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66" w:type="dxa"/>
            <w:noWrap w:val="0"/>
            <w:vAlign w:val="center"/>
          </w:tcPr>
          <w:p>
            <w:pPr>
              <w:pStyle w:val="29"/>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2010" w:type="dxa"/>
            <w:noWrap w:val="0"/>
            <w:vAlign w:val="center"/>
          </w:tcPr>
          <w:p>
            <w:pPr>
              <w:pStyle w:val="29"/>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预留选项</w:t>
            </w:r>
          </w:p>
        </w:tc>
        <w:tc>
          <w:tcPr>
            <w:tcW w:w="2296" w:type="dxa"/>
            <w:noWrap w:val="0"/>
            <w:vAlign w:val="center"/>
          </w:tcPr>
          <w:p>
            <w:pPr>
              <w:pStyle w:val="29"/>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面向中小企业采购金额</w:t>
            </w:r>
          </w:p>
        </w:tc>
        <w:tc>
          <w:tcPr>
            <w:tcW w:w="1784" w:type="dxa"/>
            <w:noWrap w:val="0"/>
            <w:vAlign w:val="center"/>
          </w:tcPr>
          <w:p>
            <w:pPr>
              <w:pStyle w:val="29"/>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1866" w:type="dxa"/>
            <w:tcBorders>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2010" w:type="dxa"/>
            <w:tcBorders>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（填写“采购项</w:t>
            </w:r>
          </w:p>
        </w:tc>
        <w:tc>
          <w:tcPr>
            <w:tcW w:w="2296" w:type="dxa"/>
            <w:tcBorders>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1784" w:type="dxa"/>
            <w:vMerge w:val="restart"/>
            <w:noWrap w:val="0"/>
            <w:vAlign w:val="center"/>
          </w:tcPr>
          <w:p>
            <w:pPr>
              <w:pStyle w:val="29"/>
              <w:spacing w:line="400" w:lineRule="exact"/>
              <w:jc w:val="center"/>
              <w:rPr>
                <w:rFonts w:hint="eastAsia" w:ascii="仿宋" w:hAnsi="仿宋" w:eastAsia="仿宋" w:cs="仿宋"/>
                <w:color w:val="auto"/>
                <w:sz w:val="24"/>
                <w:szCs w:val="24"/>
                <w:highlight w:val="none"/>
              </w:rPr>
            </w:pPr>
          </w:p>
          <w:p>
            <w:pPr>
              <w:pStyle w:val="29"/>
              <w:spacing w:line="400" w:lineRule="exact"/>
              <w:jc w:val="center"/>
              <w:rPr>
                <w:rFonts w:hint="eastAsia" w:ascii="仿宋" w:hAnsi="仿宋" w:eastAsia="仿宋" w:cs="仿宋"/>
                <w:color w:val="auto"/>
                <w:sz w:val="24"/>
                <w:szCs w:val="24"/>
                <w:highlight w:val="none"/>
              </w:rPr>
            </w:pPr>
          </w:p>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c>
          <w:tcPr>
            <w:tcW w:w="186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2010"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目整体预留”、</w:t>
            </w:r>
          </w:p>
        </w:tc>
        <w:tc>
          <w:tcPr>
            <w:tcW w:w="229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1784"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c>
          <w:tcPr>
            <w:tcW w:w="186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2010"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“设置专门采购</w:t>
            </w:r>
          </w:p>
        </w:tc>
        <w:tc>
          <w:tcPr>
            <w:tcW w:w="229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1784"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c>
          <w:tcPr>
            <w:tcW w:w="186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（填写集中采</w:t>
            </w:r>
          </w:p>
        </w:tc>
        <w:tc>
          <w:tcPr>
            <w:tcW w:w="2010"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包”、“要求以</w:t>
            </w:r>
          </w:p>
        </w:tc>
        <w:tc>
          <w:tcPr>
            <w:tcW w:w="229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1784"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c>
          <w:tcPr>
            <w:tcW w:w="186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购目录以内或</w:t>
            </w:r>
          </w:p>
        </w:tc>
        <w:tc>
          <w:tcPr>
            <w:tcW w:w="2010"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联合体形式参</w:t>
            </w:r>
          </w:p>
        </w:tc>
        <w:tc>
          <w:tcPr>
            <w:tcW w:w="229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（精确到万元）</w:t>
            </w:r>
          </w:p>
        </w:tc>
        <w:tc>
          <w:tcPr>
            <w:tcW w:w="1784"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c>
          <w:tcPr>
            <w:tcW w:w="186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者采购限额标</w:t>
            </w:r>
          </w:p>
        </w:tc>
        <w:tc>
          <w:tcPr>
            <w:tcW w:w="2010"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加”或者“要求</w:t>
            </w:r>
          </w:p>
        </w:tc>
        <w:tc>
          <w:tcPr>
            <w:tcW w:w="229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1784"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c>
          <w:tcPr>
            <w:tcW w:w="186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准以上的采购项目</w:t>
            </w:r>
          </w:p>
        </w:tc>
        <w:tc>
          <w:tcPr>
            <w:tcW w:w="2010"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合同分包”，除</w:t>
            </w:r>
          </w:p>
        </w:tc>
        <w:tc>
          <w:tcPr>
            <w:tcW w:w="229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1784"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c>
          <w:tcPr>
            <w:tcW w:w="186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2010"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“采购项目全部</w:t>
            </w:r>
          </w:p>
        </w:tc>
        <w:tc>
          <w:tcPr>
            <w:tcW w:w="229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1784"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c>
          <w:tcPr>
            <w:tcW w:w="186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2010"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预留”外，还应</w:t>
            </w:r>
          </w:p>
        </w:tc>
        <w:tc>
          <w:tcPr>
            <w:tcW w:w="229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1784"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c>
          <w:tcPr>
            <w:tcW w:w="186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2010"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当填写预留给中</w:t>
            </w:r>
          </w:p>
        </w:tc>
        <w:tc>
          <w:tcPr>
            <w:tcW w:w="2296" w:type="dxa"/>
            <w:tcBorders>
              <w:top w:val="nil"/>
              <w:bottom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1784"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c>
          <w:tcPr>
            <w:tcW w:w="1866" w:type="dxa"/>
            <w:tcBorders>
              <w:top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2010" w:type="dxa"/>
            <w:tcBorders>
              <w:top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小企业的比例）</w:t>
            </w:r>
          </w:p>
        </w:tc>
        <w:tc>
          <w:tcPr>
            <w:tcW w:w="2296" w:type="dxa"/>
            <w:tcBorders>
              <w:top w:val="nil"/>
            </w:tcBorders>
            <w:noWrap w:val="0"/>
            <w:vAlign w:val="center"/>
          </w:tcPr>
          <w:p>
            <w:pPr>
              <w:pStyle w:val="29"/>
              <w:spacing w:line="400" w:lineRule="exact"/>
              <w:jc w:val="center"/>
              <w:rPr>
                <w:rFonts w:hint="eastAsia" w:ascii="仿宋" w:hAnsi="仿宋" w:eastAsia="仿宋" w:cs="仿宋"/>
                <w:color w:val="auto"/>
                <w:sz w:val="24"/>
                <w:szCs w:val="24"/>
                <w:highlight w:val="none"/>
              </w:rPr>
            </w:pPr>
          </w:p>
        </w:tc>
        <w:tc>
          <w:tcPr>
            <w:tcW w:w="1784" w:type="dxa"/>
            <w:vMerge w:val="continue"/>
            <w:tcBorders>
              <w:top w:val="nil"/>
            </w:tcBorders>
            <w:noWrap w:val="0"/>
            <w:vAlign w:val="center"/>
          </w:tcPr>
          <w:p>
            <w:pPr>
              <w:spacing w:line="400" w:lineRule="exact"/>
              <w:jc w:val="center"/>
              <w:rPr>
                <w:rFonts w:hint="eastAsia"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866" w:type="dxa"/>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010" w:type="dxa"/>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296" w:type="dxa"/>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84" w:type="dxa"/>
            <w:noWrap w:val="0"/>
            <w:vAlign w:val="center"/>
          </w:tcPr>
          <w:p>
            <w:pPr>
              <w:pStyle w:val="29"/>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pStyle w:val="2"/>
        <w:tabs>
          <w:tab w:val="left" w:pos="562"/>
          <w:tab w:val="left" w:pos="3372"/>
          <w:tab w:val="left" w:pos="3653"/>
        </w:tabs>
        <w:spacing w:before="128" w:line="400" w:lineRule="exact"/>
        <w:ind w:left="4220" w:right="1843"/>
        <w:rPr>
          <w:rFonts w:hint="eastAsia" w:ascii="仿宋" w:hAnsi="仿宋" w:eastAsia="仿宋" w:cs="仿宋"/>
          <w:color w:val="auto"/>
          <w:sz w:val="24"/>
          <w:highlight w:val="none"/>
        </w:rPr>
      </w:pPr>
      <w:r>
        <w:rPr>
          <w:rFonts w:hint="eastAsia" w:ascii="仿宋" w:hAnsi="仿宋" w:eastAsia="仿宋" w:cs="仿宋"/>
          <w:color w:val="auto"/>
          <w:sz w:val="24"/>
          <w:highlight w:val="none"/>
        </w:rPr>
        <w:t>部门（单位）名称： 、日期：</w:t>
      </w:r>
    </w:p>
    <w:p>
      <w:pPr>
        <w:pStyle w:val="2"/>
        <w:tabs>
          <w:tab w:val="left" w:pos="562"/>
          <w:tab w:val="left" w:pos="3372"/>
          <w:tab w:val="left" w:pos="3653"/>
        </w:tabs>
        <w:spacing w:line="400" w:lineRule="exact"/>
        <w:rPr>
          <w:rFonts w:hint="eastAsia" w:ascii="仿宋" w:hAnsi="仿宋" w:eastAsia="仿宋" w:cs="仿宋"/>
          <w:color w:val="auto"/>
          <w:sz w:val="24"/>
          <w:highlight w:val="none"/>
        </w:rPr>
      </w:pPr>
    </w:p>
    <w:p>
      <w:pPr>
        <w:pStyle w:val="16"/>
        <w:spacing w:line="400" w:lineRule="exact"/>
        <w:jc w:val="both"/>
        <w:outlineLvl w:val="9"/>
        <w:rPr>
          <w:rFonts w:hint="eastAsia" w:ascii="仿宋" w:hAnsi="仿宋" w:eastAsia="仿宋" w:cs="仿宋"/>
          <w:color w:val="auto"/>
          <w:sz w:val="24"/>
          <w:szCs w:val="24"/>
          <w:highlight w:val="none"/>
        </w:rPr>
      </w:pPr>
    </w:p>
    <w:p>
      <w:pPr>
        <w:tabs>
          <w:tab w:val="left" w:pos="360"/>
        </w:tabs>
        <w:spacing w:line="400" w:lineRule="exact"/>
        <w:outlineLvl w:val="1"/>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2.工业和信息化部、国家统计局、国家发展和改革委员会、财政部《关于印发〈中小企业划型标准规定〉的通知》（工信部联企〔2011〕300 号）</w:t>
      </w:r>
    </w:p>
    <w:p>
      <w:pPr>
        <w:pStyle w:val="2"/>
        <w:tabs>
          <w:tab w:val="left" w:pos="562"/>
          <w:tab w:val="left" w:pos="3372"/>
          <w:tab w:val="left" w:pos="3653"/>
        </w:tabs>
        <w:spacing w:line="400" w:lineRule="exact"/>
        <w:rPr>
          <w:rFonts w:hint="eastAsia" w:ascii="仿宋" w:hAnsi="仿宋" w:eastAsia="仿宋" w:cs="仿宋"/>
          <w:color w:val="auto"/>
          <w:sz w:val="24"/>
          <w:highlight w:val="none"/>
        </w:rPr>
      </w:pPr>
    </w:p>
    <w:p>
      <w:pPr>
        <w:spacing w:after="319" w:afterLines="100" w:line="400" w:lineRule="exact"/>
        <w:jc w:val="center"/>
        <w:outlineLvl w:val="0"/>
        <w:rPr>
          <w:rFonts w:hint="eastAsia" w:ascii="仿宋" w:hAnsi="仿宋" w:eastAsia="仿宋" w:cs="仿宋"/>
          <w:color w:val="auto"/>
          <w:sz w:val="28"/>
          <w:szCs w:val="28"/>
          <w:highlight w:val="none"/>
          <w:lang w:val="fr-CH"/>
        </w:rPr>
      </w:pPr>
      <w:r>
        <w:rPr>
          <w:rFonts w:hint="eastAsia" w:ascii="仿宋" w:hAnsi="仿宋" w:eastAsia="仿宋" w:cs="仿宋"/>
          <w:color w:val="auto"/>
          <w:sz w:val="28"/>
          <w:szCs w:val="28"/>
          <w:highlight w:val="none"/>
          <w:lang w:val="fr-CH"/>
        </w:rPr>
        <w:t>关于印发中小企业划型标准规定的通知</w:t>
      </w:r>
    </w:p>
    <w:p>
      <w:pPr>
        <w:spacing w:after="319" w:afterLines="100"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工信部联企业〔2011〕300号</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各省、自治区、直辖市人民政府，国务院各部委、各直属机构及有关单位：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
        <w:spacing w:line="400" w:lineRule="exact"/>
        <w:rPr>
          <w:rFonts w:hint="eastAsia" w:ascii="仿宋" w:hAnsi="仿宋" w:eastAsia="仿宋" w:cs="仿宋"/>
          <w:color w:val="auto"/>
          <w:highlight w:val="none"/>
        </w:rPr>
      </w:pPr>
    </w:p>
    <w:p>
      <w:pPr>
        <w:spacing w:line="4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工业和信息化部 国家统计局</w:t>
      </w:r>
    </w:p>
    <w:p>
      <w:pPr>
        <w:spacing w:line="4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国家发展和改革委员会 财政部</w:t>
      </w:r>
    </w:p>
    <w:p>
      <w:pPr>
        <w:spacing w:line="4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二○一一年六月十八日</w:t>
      </w:r>
    </w:p>
    <w:p>
      <w:pPr>
        <w:spacing w:line="400" w:lineRule="exact"/>
        <w:ind w:firstLine="480" w:firstLineChars="200"/>
        <w:rPr>
          <w:rFonts w:hint="eastAsia" w:ascii="仿宋" w:hAnsi="仿宋" w:eastAsia="仿宋" w:cs="仿宋"/>
          <w:color w:val="auto"/>
          <w:sz w:val="24"/>
          <w:highlight w:val="none"/>
        </w:rPr>
      </w:pPr>
    </w:p>
    <w:p>
      <w:pPr>
        <w:spacing w:line="400" w:lineRule="exact"/>
        <w:ind w:firstLine="480" w:firstLineChars="200"/>
        <w:rPr>
          <w:rFonts w:hint="eastAsia" w:ascii="仿宋" w:hAnsi="仿宋" w:eastAsia="仿宋" w:cs="仿宋"/>
          <w:color w:val="auto"/>
          <w:sz w:val="24"/>
          <w:highlight w:val="none"/>
        </w:rPr>
      </w:pPr>
    </w:p>
    <w:p>
      <w:pPr>
        <w:spacing w:line="400" w:lineRule="exact"/>
        <w:ind w:firstLine="480" w:firstLineChars="200"/>
        <w:rPr>
          <w:rFonts w:hint="eastAsia" w:ascii="仿宋" w:hAnsi="仿宋" w:eastAsia="仿宋" w:cs="仿宋"/>
          <w:color w:val="auto"/>
          <w:sz w:val="24"/>
          <w:highlight w:val="none"/>
        </w:rPr>
      </w:pPr>
    </w:p>
    <w:p>
      <w:pPr>
        <w:spacing w:after="319" w:afterLines="100" w:line="400" w:lineRule="exact"/>
        <w:jc w:val="center"/>
        <w:outlineLvl w:val="0"/>
        <w:rPr>
          <w:rFonts w:hint="eastAsia" w:ascii="仿宋" w:hAnsi="仿宋" w:eastAsia="仿宋" w:cs="仿宋"/>
          <w:color w:val="auto"/>
          <w:sz w:val="28"/>
          <w:szCs w:val="28"/>
          <w:highlight w:val="none"/>
          <w:lang w:val="fr-CH"/>
        </w:rPr>
      </w:pPr>
      <w:r>
        <w:rPr>
          <w:rFonts w:hint="eastAsia" w:ascii="仿宋" w:hAnsi="仿宋" w:eastAsia="仿宋" w:cs="仿宋"/>
          <w:color w:val="auto"/>
          <w:sz w:val="28"/>
          <w:szCs w:val="28"/>
          <w:highlight w:val="none"/>
          <w:lang w:val="fr-CH"/>
        </w:rPr>
        <w:t xml:space="preserve">中小企业划型标准规定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一、根据《中华人民共和国中小企业促进法》和《国务院关于进一步促进中小企业发展的若干意见》(国发〔2009〕36号)，制定本规定。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二、中小企业划分为中型、小型、微型三种类型，具体标准根据企业从业人员、营业收入、资产总额等指标，结合行业特点制定。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四、各行业划型标准为：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五、企业类型的划分以统计部门的统计数据为依据。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六、本规定适用于在中华人民共和国境内依法设立的各类所有制和各种组织形式的企业。个体工商户和本规定以外的行业，参照本规定进行划型。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八、本规定由工业和信息化部、国家统计局会同有关部门根据《国民经济行业分类》修订情况和企业发展变化情况适时修订。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九、本规定由工业和信息化部、国家统计局会同有关部门负责解释。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十、本规定自发布之日起执行，原国家经贸委、原国家计委、财政部和国家统计局2003年颁布的《中小企业标准暂行规定》同时废止。</w:t>
      </w:r>
    </w:p>
    <w:p>
      <w:pPr>
        <w:spacing w:line="400" w:lineRule="exact"/>
        <w:ind w:firstLine="480" w:firstLineChars="200"/>
        <w:rPr>
          <w:rFonts w:hint="eastAsia" w:ascii="仿宋" w:hAnsi="仿宋" w:eastAsia="仿宋" w:cs="仿宋"/>
          <w:color w:val="auto"/>
          <w:sz w:val="24"/>
          <w:highlight w:val="none"/>
        </w:rPr>
      </w:pPr>
    </w:p>
    <w:p>
      <w:pPr>
        <w:tabs>
          <w:tab w:val="left" w:pos="360"/>
        </w:tabs>
        <w:spacing w:line="400" w:lineRule="exact"/>
        <w:outlineLvl w:val="1"/>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3.国家统计局《关于印发〈统计上大中小微型企业划分办法（2017）〉的通知》</w:t>
      </w:r>
    </w:p>
    <w:p>
      <w:pPr>
        <w:widowControl/>
        <w:shd w:val="clear" w:color="auto" w:fill="FFFFFF"/>
        <w:spacing w:line="400" w:lineRule="exact"/>
        <w:jc w:val="center"/>
        <w:rPr>
          <w:rFonts w:hint="eastAsia" w:ascii="仿宋" w:hAnsi="仿宋" w:eastAsia="仿宋" w:cs="仿宋"/>
          <w:b/>
          <w:bCs/>
          <w:color w:val="auto"/>
          <w:kern w:val="0"/>
          <w:sz w:val="24"/>
          <w:highlight w:val="none"/>
        </w:rPr>
      </w:pPr>
    </w:p>
    <w:p>
      <w:pPr>
        <w:spacing w:after="319" w:afterLines="100" w:line="400" w:lineRule="exact"/>
        <w:jc w:val="center"/>
        <w:outlineLvl w:val="0"/>
        <w:rPr>
          <w:rFonts w:hint="eastAsia" w:ascii="仿宋" w:hAnsi="仿宋" w:eastAsia="仿宋" w:cs="仿宋"/>
          <w:color w:val="auto"/>
          <w:sz w:val="28"/>
          <w:szCs w:val="28"/>
          <w:highlight w:val="none"/>
          <w:lang w:val="fr-CH"/>
        </w:rPr>
      </w:pPr>
      <w:r>
        <w:rPr>
          <w:rFonts w:hint="eastAsia" w:ascii="仿宋" w:hAnsi="仿宋" w:eastAsia="仿宋" w:cs="仿宋"/>
          <w:color w:val="auto"/>
          <w:sz w:val="28"/>
          <w:szCs w:val="28"/>
          <w:highlight w:val="none"/>
          <w:lang w:val="fr-CH"/>
        </w:rPr>
        <w:t>国家统计局关于印发《统计上大中小微型企业划分办法（2017）》的通知</w:t>
      </w:r>
    </w:p>
    <w:p>
      <w:pPr>
        <w:widowControl/>
        <w:shd w:val="clear" w:color="auto" w:fill="FFFFFF"/>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p>
      <w:pPr>
        <w:widowControl/>
        <w:shd w:val="clear" w:color="auto" w:fill="FFFFFF"/>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各省、自治区、直辖市统计局，新疆生产建设兵团统计局，国务院各有关部门，国家统计局各调查总队： </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pPr>
        <w:widowControl/>
        <w:shd w:val="clear" w:color="auto" w:fill="FFFFFF"/>
        <w:spacing w:line="40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rPr>
        <w:t>附件：《统计上大中小微型企业划分办法（2017）》修订说明</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p>
      <w:pPr>
        <w:widowControl/>
        <w:shd w:val="clear" w:color="auto" w:fill="FFFFFF"/>
        <w:spacing w:line="400" w:lineRule="exact"/>
        <w:ind w:firstLine="480" w:firstLineChars="200"/>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国家统计局</w:t>
      </w:r>
    </w:p>
    <w:p>
      <w:pPr>
        <w:widowControl/>
        <w:shd w:val="clear" w:color="auto" w:fill="FFFFFF"/>
        <w:spacing w:line="400" w:lineRule="exact"/>
        <w:ind w:firstLine="480" w:firstLineChars="200"/>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2017年12月28日</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p>
      <w:pPr>
        <w:spacing w:after="319" w:afterLines="100" w:line="400" w:lineRule="exact"/>
        <w:jc w:val="center"/>
        <w:outlineLvl w:val="0"/>
        <w:rPr>
          <w:rFonts w:hint="eastAsia" w:ascii="仿宋" w:hAnsi="仿宋" w:eastAsia="仿宋" w:cs="仿宋"/>
          <w:color w:val="auto"/>
          <w:sz w:val="28"/>
          <w:szCs w:val="28"/>
          <w:highlight w:val="none"/>
          <w:lang w:val="fr-CH"/>
        </w:rPr>
      </w:pPr>
      <w:r>
        <w:rPr>
          <w:rFonts w:hint="eastAsia" w:ascii="仿宋" w:hAnsi="仿宋" w:eastAsia="仿宋" w:cs="仿宋"/>
          <w:color w:val="auto"/>
          <w:sz w:val="28"/>
          <w:szCs w:val="28"/>
          <w:highlight w:val="none"/>
          <w:lang w:val="fr-CH"/>
        </w:rPr>
        <w:t>统计上大中小微型企业划分办法（2017）</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五、企业划分由政府综合统计部门根据统计年报每年确定一次，定报统计原则上不进行调整。</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六、本办法自印发之日起执行，国家统计局2011年印发的《统计上大中小微型企业划分办法》（国统字〔2011〕75号）同时废止。</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附表：统计上大中小微型企业划分标准</w:t>
      </w:r>
    </w:p>
    <w:p>
      <w:pPr>
        <w:widowControl/>
        <w:spacing w:line="400" w:lineRule="exact"/>
        <w:jc w:val="left"/>
        <w:rPr>
          <w:rFonts w:hint="eastAsia" w:ascii="仿宋" w:hAnsi="仿宋" w:eastAsia="仿宋" w:cs="仿宋"/>
          <w:color w:val="auto"/>
          <w:kern w:val="0"/>
          <w:sz w:val="24"/>
          <w:highlight w:val="none"/>
        </w:rPr>
      </w:pPr>
    </w:p>
    <w:p>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附表：</w:t>
      </w:r>
    </w:p>
    <w:p>
      <w:pPr>
        <w:spacing w:after="319" w:afterLines="100" w:line="400" w:lineRule="exact"/>
        <w:jc w:val="center"/>
        <w:outlineLvl w:val="0"/>
        <w:rPr>
          <w:rFonts w:hint="eastAsia" w:ascii="仿宋" w:hAnsi="仿宋" w:eastAsia="仿宋" w:cs="仿宋"/>
          <w:color w:val="auto"/>
          <w:sz w:val="28"/>
          <w:szCs w:val="28"/>
          <w:highlight w:val="none"/>
          <w:lang w:val="fr-CH"/>
        </w:rPr>
      </w:pPr>
      <w:r>
        <w:rPr>
          <w:rFonts w:hint="eastAsia" w:ascii="仿宋" w:hAnsi="仿宋" w:eastAsia="仿宋" w:cs="仿宋"/>
          <w:color w:val="auto"/>
          <w:sz w:val="28"/>
          <w:szCs w:val="28"/>
          <w:highlight w:val="none"/>
          <w:lang w:val="fr-CH"/>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行业名称</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指标名称</w:t>
            </w:r>
          </w:p>
        </w:tc>
        <w:tc>
          <w:tcPr>
            <w:tcW w:w="727" w:type="dxa"/>
            <w:noWrap w:val="0"/>
            <w:vAlign w:val="center"/>
          </w:tcPr>
          <w:p>
            <w:pPr>
              <w:widowControl/>
              <w:spacing w:line="40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计量</w:t>
            </w:r>
          </w:p>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单位</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大型</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中型</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小型</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仿宋" w:hAnsi="仿宋" w:eastAsia="仿宋" w:cs="仿宋"/>
                <w:color w:val="auto"/>
                <w:kern w:val="0"/>
                <w:sz w:val="24"/>
                <w:highlight w:val="none"/>
              </w:rPr>
            </w:pP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仿宋" w:hAnsi="仿宋" w:eastAsia="仿宋" w:cs="仿宋"/>
                <w:color w:val="auto"/>
                <w:kern w:val="0"/>
                <w:sz w:val="24"/>
                <w:highlight w:val="none"/>
              </w:rPr>
            </w:pP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仿宋" w:hAnsi="仿宋" w:eastAsia="仿宋" w:cs="仿宋"/>
                <w:color w:val="auto"/>
                <w:kern w:val="0"/>
                <w:sz w:val="24"/>
                <w:highlight w:val="none"/>
              </w:rPr>
            </w:pP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仿宋" w:hAnsi="仿宋" w:eastAsia="仿宋" w:cs="仿宋"/>
                <w:color w:val="auto"/>
                <w:kern w:val="0"/>
                <w:sz w:val="24"/>
                <w:highlight w:val="none"/>
              </w:rPr>
            </w:pP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仿宋" w:hAnsi="仿宋" w:eastAsia="仿宋" w:cs="仿宋"/>
                <w:color w:val="auto"/>
                <w:kern w:val="0"/>
                <w:sz w:val="24"/>
                <w:highlight w:val="none"/>
              </w:rPr>
            </w:pP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仿宋" w:hAnsi="仿宋" w:eastAsia="仿宋" w:cs="仿宋"/>
                <w:color w:val="auto"/>
                <w:kern w:val="0"/>
                <w:sz w:val="24"/>
                <w:highlight w:val="none"/>
              </w:rPr>
            </w:pP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仿宋" w:hAnsi="仿宋" w:eastAsia="仿宋" w:cs="仿宋"/>
                <w:color w:val="auto"/>
                <w:kern w:val="0"/>
                <w:sz w:val="24"/>
                <w:highlight w:val="none"/>
              </w:rPr>
            </w:pP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仿宋" w:hAnsi="仿宋" w:eastAsia="仿宋" w:cs="仿宋"/>
                <w:color w:val="auto"/>
                <w:kern w:val="0"/>
                <w:sz w:val="24"/>
                <w:highlight w:val="none"/>
              </w:rPr>
            </w:pP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仿宋" w:hAnsi="仿宋" w:eastAsia="仿宋" w:cs="仿宋"/>
                <w:color w:val="auto"/>
                <w:kern w:val="0"/>
                <w:sz w:val="24"/>
                <w:highlight w:val="none"/>
              </w:rPr>
            </w:pP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仿宋" w:hAnsi="仿宋" w:eastAsia="仿宋" w:cs="仿宋"/>
                <w:color w:val="auto"/>
                <w:kern w:val="0"/>
                <w:sz w:val="24"/>
                <w:highlight w:val="none"/>
              </w:rPr>
            </w:pP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仿宋" w:hAnsi="仿宋" w:eastAsia="仿宋" w:cs="仿宋"/>
                <w:color w:val="auto"/>
                <w:kern w:val="0"/>
                <w:sz w:val="24"/>
                <w:highlight w:val="none"/>
              </w:rPr>
            </w:pP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仿宋" w:hAnsi="仿宋" w:eastAsia="仿宋" w:cs="仿宋"/>
                <w:color w:val="auto"/>
                <w:kern w:val="0"/>
                <w:sz w:val="24"/>
                <w:highlight w:val="none"/>
              </w:rPr>
            </w:pP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仿宋" w:hAnsi="仿宋" w:eastAsia="仿宋" w:cs="仿宋"/>
                <w:color w:val="auto"/>
                <w:kern w:val="0"/>
                <w:sz w:val="24"/>
                <w:highlight w:val="none"/>
              </w:rPr>
            </w:pP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仿宋" w:hAnsi="仿宋" w:eastAsia="仿宋" w:cs="仿宋"/>
                <w:color w:val="auto"/>
                <w:kern w:val="0"/>
                <w:sz w:val="24"/>
                <w:highlight w:val="none"/>
              </w:rPr>
            </w:pP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462"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727"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011"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664"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446"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793" w:type="dxa"/>
            <w:noWrap w:val="0"/>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说明：</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1.大型、中型和小型企业须同时满足所列指标的下限，否则下划一档；微型企业只须满足所列指标中的一项即可。</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400" w:lineRule="exact"/>
        <w:rPr>
          <w:rFonts w:hint="eastAsia" w:ascii="仿宋" w:hAnsi="仿宋" w:eastAsia="仿宋" w:cs="仿宋"/>
          <w:color w:val="auto"/>
          <w:sz w:val="24"/>
          <w:highlight w:val="none"/>
        </w:rPr>
      </w:pPr>
    </w:p>
    <w:p>
      <w:pPr>
        <w:pStyle w:val="16"/>
        <w:spacing w:line="400" w:lineRule="exact"/>
        <w:outlineLvl w:val="9"/>
        <w:rPr>
          <w:rFonts w:hint="eastAsia" w:ascii="仿宋" w:hAnsi="仿宋" w:eastAsia="仿宋" w:cs="仿宋"/>
          <w:color w:val="auto"/>
          <w:sz w:val="24"/>
          <w:szCs w:val="24"/>
          <w:highlight w:val="none"/>
        </w:rPr>
      </w:pPr>
    </w:p>
    <w:p>
      <w:pPr>
        <w:tabs>
          <w:tab w:val="left" w:pos="360"/>
        </w:tabs>
        <w:spacing w:line="400" w:lineRule="exac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4.财政部、民政部、中国残联《关于促进残疾人就业政府采购政策的通知》（财库〔2017〕141 号）</w:t>
      </w:r>
    </w:p>
    <w:p>
      <w:pPr>
        <w:shd w:val="clear" w:color="auto" w:fill="FFFFFF"/>
        <w:spacing w:line="400" w:lineRule="exact"/>
        <w:rPr>
          <w:rFonts w:hint="eastAsia" w:ascii="仿宋" w:hAnsi="仿宋" w:eastAsia="仿宋" w:cs="仿宋"/>
          <w:bCs/>
          <w:color w:val="auto"/>
          <w:sz w:val="24"/>
          <w:highlight w:val="none"/>
        </w:rPr>
      </w:pPr>
    </w:p>
    <w:p>
      <w:pPr>
        <w:spacing w:after="319" w:afterLines="100" w:line="400" w:lineRule="exact"/>
        <w:jc w:val="center"/>
        <w:outlineLvl w:val="0"/>
        <w:rPr>
          <w:rFonts w:hint="eastAsia" w:ascii="仿宋" w:hAnsi="仿宋" w:eastAsia="仿宋" w:cs="仿宋"/>
          <w:color w:val="auto"/>
          <w:sz w:val="28"/>
          <w:szCs w:val="28"/>
          <w:highlight w:val="none"/>
          <w:lang w:val="fr-CH"/>
        </w:rPr>
      </w:pPr>
      <w:r>
        <w:rPr>
          <w:rFonts w:hint="eastAsia" w:ascii="仿宋" w:hAnsi="仿宋" w:eastAsia="仿宋" w:cs="仿宋"/>
          <w:color w:val="auto"/>
          <w:sz w:val="28"/>
          <w:szCs w:val="28"/>
          <w:highlight w:val="none"/>
          <w:lang w:val="fr-CH"/>
        </w:rPr>
        <w:t>关于促进残疾人就业政府采购政策的通知</w:t>
      </w:r>
    </w:p>
    <w:p>
      <w:pPr>
        <w:pStyle w:val="15"/>
        <w:shd w:val="clear" w:color="auto" w:fill="FFFFFF"/>
        <w:spacing w:before="0" w:beforeAutospacing="0" w:after="0" w:afterAutospacing="0" w:line="400" w:lineRule="exact"/>
        <w:ind w:firstLine="480"/>
        <w:jc w:val="center"/>
        <w:rPr>
          <w:rFonts w:hint="eastAsia" w:ascii="仿宋" w:hAnsi="仿宋" w:eastAsia="仿宋" w:cs="仿宋"/>
          <w:color w:val="auto"/>
          <w:highlight w:val="none"/>
        </w:rPr>
      </w:pPr>
      <w:bookmarkStart w:id="52" w:name="sendNo"/>
      <w:r>
        <w:rPr>
          <w:rFonts w:hint="eastAsia" w:ascii="仿宋" w:hAnsi="仿宋" w:eastAsia="仿宋" w:cs="仿宋"/>
          <w:color w:val="auto"/>
          <w:highlight w:val="none"/>
        </w:rPr>
        <w:t>财库〔</w:t>
      </w:r>
      <w:bookmarkEnd w:id="52"/>
      <w:r>
        <w:rPr>
          <w:rFonts w:hint="eastAsia" w:ascii="仿宋" w:hAnsi="仿宋" w:eastAsia="仿宋" w:cs="仿宋"/>
          <w:color w:val="auto"/>
          <w:highlight w:val="none"/>
        </w:rPr>
        <w:t>2017〕141号</w:t>
      </w:r>
    </w:p>
    <w:p>
      <w:pPr>
        <w:pStyle w:val="15"/>
        <w:shd w:val="clear" w:color="auto" w:fill="FFFFFF"/>
        <w:spacing w:before="0" w:beforeAutospacing="0" w:after="0" w:afterAutospacing="0" w:line="400" w:lineRule="exact"/>
        <w:ind w:firstLine="480"/>
        <w:jc w:val="center"/>
        <w:rPr>
          <w:rFonts w:hint="eastAsia" w:ascii="仿宋" w:hAnsi="仿宋" w:eastAsia="仿宋" w:cs="仿宋"/>
          <w:color w:val="auto"/>
          <w:highlight w:val="none"/>
        </w:rPr>
      </w:pPr>
    </w:p>
    <w:p>
      <w:pPr>
        <w:pStyle w:val="15"/>
        <w:shd w:val="clear" w:color="auto" w:fill="FFFFFF"/>
        <w:spacing w:before="0" w:beforeAutospacing="0" w:after="0" w:afterAutospacing="0" w:line="400" w:lineRule="exact"/>
        <w:rPr>
          <w:rFonts w:hint="eastAsia" w:ascii="仿宋" w:hAnsi="仿宋" w:eastAsia="仿宋" w:cs="仿宋"/>
          <w:color w:val="auto"/>
          <w:highlight w:val="none"/>
        </w:rPr>
      </w:pPr>
      <w:bookmarkStart w:id="53" w:name="toDeptId"/>
      <w:r>
        <w:rPr>
          <w:rFonts w:hint="eastAsia" w:ascii="仿宋" w:hAnsi="仿宋" w:eastAsia="仿宋" w:cs="仿宋"/>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3"/>
      <w:r>
        <w:rPr>
          <w:rFonts w:hint="eastAsia" w:ascii="仿宋" w:hAnsi="仿宋" w:eastAsia="仿宋" w:cs="仿宋"/>
          <w:color w:val="auto"/>
          <w:highlight w:val="none"/>
        </w:rPr>
        <w:t>：</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为了发挥政府采购促进残疾人就业的作用，进一步保障残疾人权益，依照《政府采购法》、《残疾人保障法》等法律法规及相关规定，现就促进残疾人就业政府采购政策通知如下：</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一、享受政府采购支持政策的残疾人福利性单位应当同时满足以下条件：</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（一）安置的残疾人占本单位在职职工人数的比例不低于25%（含25%），并且安置的残疾人人数不少于10人（含10人）；</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（二）依法与安置的每位残疾人签订了一年以上（含一年）的劳动合同或服务协议；</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（三）为安置的每位残疾人按月足额缴纳了基本养老保险、基本医疗保险、失业保险、工伤保险和生育保险等社会保险费；</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（四）通过银行等金融机构向安置的每位残疾人，按月支付了不低于单位所在区县适用的经省级人民政府批准的月最低工资标准的工资；</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（五）提供本单位制造的货物、承担的工程或者服务（以下简称产品），或者提供其他残疾人福利性单位制造的货物（不包括使用非残疾人福利性单位注册商标的货物）。</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中标、成交供应商为残疾人福利性单位的，采购人或者其委托的采购代理机构应当随中标、成交结果同时公告其《残疾人福利性单位声明函》，接受社会监督。</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供应商提供的《残疾人福利性单位声明函》与事实不符的，依照《政府采购法》第七十七条第一款的规定追究法律责任。</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四、采购人采购公开招标数额标准以上的货物或者服务，因落实促进残疾人就业政策的需要，依法履行有关报批程序后，可采用公开招标以外的采购方式。</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七、本通知自2017年10月1日起执行。</w:t>
      </w:r>
    </w:p>
    <w:p>
      <w:pPr>
        <w:pStyle w:val="15"/>
        <w:shd w:val="clear" w:color="auto" w:fill="FFFFFF"/>
        <w:spacing w:before="0" w:beforeAutospacing="0" w:after="0" w:afterAutospacing="0" w:line="400" w:lineRule="exact"/>
        <w:ind w:firstLine="480" w:firstLineChars="200"/>
        <w:rPr>
          <w:rFonts w:hint="eastAsia" w:ascii="仿宋" w:hAnsi="仿宋" w:eastAsia="仿宋" w:cs="仿宋"/>
          <w:color w:val="auto"/>
          <w:highlight w:val="none"/>
        </w:rPr>
      </w:pPr>
    </w:p>
    <w:p>
      <w:pPr>
        <w:pStyle w:val="15"/>
        <w:shd w:val="clear" w:color="auto" w:fill="FFFFFF"/>
        <w:spacing w:before="0" w:beforeAutospacing="0" w:after="0" w:afterAutospacing="0" w:line="400" w:lineRule="exact"/>
        <w:ind w:firstLine="480" w:firstLineChars="200"/>
        <w:jc w:val="right"/>
        <w:rPr>
          <w:rFonts w:hint="eastAsia" w:ascii="仿宋" w:hAnsi="仿宋" w:eastAsia="仿宋" w:cs="仿宋"/>
          <w:color w:val="auto"/>
          <w:highlight w:val="none"/>
        </w:rPr>
      </w:pPr>
      <w:r>
        <w:rPr>
          <w:rFonts w:hint="eastAsia" w:ascii="仿宋" w:hAnsi="仿宋" w:eastAsia="仿宋" w:cs="仿宋"/>
          <w:color w:val="auto"/>
          <w:highlight w:val="none"/>
        </w:rPr>
        <w:t>财政部 民政部 中国残疾人联合会</w:t>
      </w:r>
    </w:p>
    <w:p>
      <w:pPr>
        <w:pStyle w:val="15"/>
        <w:shd w:val="clear" w:color="auto" w:fill="FFFFFF"/>
        <w:spacing w:before="0" w:beforeAutospacing="0" w:after="0" w:afterAutospacing="0" w:line="400" w:lineRule="exact"/>
        <w:ind w:firstLine="480" w:firstLineChars="200"/>
        <w:jc w:val="right"/>
        <w:rPr>
          <w:rFonts w:hint="eastAsia" w:ascii="仿宋" w:hAnsi="仿宋" w:eastAsia="仿宋" w:cs="仿宋"/>
          <w:color w:val="auto"/>
          <w:highlight w:val="none"/>
        </w:rPr>
      </w:pPr>
      <w:r>
        <w:rPr>
          <w:rFonts w:hint="eastAsia" w:ascii="仿宋" w:hAnsi="仿宋" w:eastAsia="仿宋" w:cs="仿宋"/>
          <w:color w:val="auto"/>
          <w:highlight w:val="none"/>
        </w:rPr>
        <w:t>2017年8月22日</w:t>
      </w:r>
    </w:p>
    <w:p>
      <w:pPr>
        <w:pStyle w:val="15"/>
        <w:shd w:val="clear" w:color="auto" w:fill="FFFFFF"/>
        <w:spacing w:before="0" w:beforeAutospacing="0" w:after="0" w:afterAutospacing="0" w:line="400" w:lineRule="exact"/>
        <w:ind w:firstLine="480" w:firstLineChars="200"/>
        <w:jc w:val="right"/>
        <w:rPr>
          <w:rFonts w:hint="eastAsia" w:ascii="仿宋" w:hAnsi="仿宋" w:eastAsia="仿宋" w:cs="仿宋"/>
          <w:color w:val="auto"/>
          <w:highlight w:val="none"/>
        </w:rPr>
      </w:pPr>
    </w:p>
    <w:p>
      <w:pPr>
        <w:pStyle w:val="31"/>
        <w:shd w:val="clear" w:color="auto" w:fill="FFFFFF"/>
        <w:spacing w:before="0" w:beforeAutospacing="0" w:after="0" w:afterAutospacing="0" w:line="400" w:lineRule="exact"/>
        <w:jc w:val="both"/>
        <w:rPr>
          <w:rFonts w:hint="eastAsia" w:ascii="仿宋" w:hAnsi="仿宋" w:eastAsia="仿宋" w:cs="仿宋"/>
          <w:color w:val="auto"/>
          <w:highlight w:val="none"/>
        </w:rPr>
      </w:pPr>
    </w:p>
    <w:p>
      <w:pPr>
        <w:pStyle w:val="31"/>
        <w:shd w:val="clear" w:color="auto" w:fill="FFFFFF"/>
        <w:spacing w:before="0" w:beforeAutospacing="0" w:after="0" w:afterAutospacing="0" w:line="400" w:lineRule="exact"/>
        <w:jc w:val="both"/>
        <w:rPr>
          <w:rFonts w:hint="eastAsia" w:ascii="仿宋" w:hAnsi="仿宋" w:eastAsia="仿宋" w:cs="仿宋"/>
          <w:color w:val="auto"/>
          <w:highlight w:val="none"/>
        </w:rPr>
      </w:pPr>
      <w:r>
        <w:rPr>
          <w:rFonts w:hint="eastAsia" w:ascii="仿宋" w:hAnsi="仿宋" w:eastAsia="仿宋" w:cs="仿宋"/>
          <w:color w:val="auto"/>
          <w:highlight w:val="none"/>
        </w:rPr>
        <w:t>附件：</w:t>
      </w:r>
    </w:p>
    <w:p>
      <w:pPr>
        <w:pStyle w:val="31"/>
        <w:shd w:val="clear" w:color="auto" w:fill="FFFFFF"/>
        <w:spacing w:before="0" w:beforeAutospacing="0" w:after="0" w:afterAutospacing="0" w:line="400" w:lineRule="exact"/>
        <w:ind w:firstLine="560" w:firstLineChars="200"/>
        <w:jc w:val="center"/>
        <w:outlineLvl w:val="0"/>
        <w:rPr>
          <w:rFonts w:hint="eastAsia" w:ascii="仿宋" w:hAnsi="仿宋" w:eastAsia="仿宋" w:cs="仿宋"/>
          <w:color w:val="auto"/>
          <w:kern w:val="2"/>
          <w:sz w:val="28"/>
          <w:szCs w:val="28"/>
          <w:highlight w:val="none"/>
          <w:lang w:val="fr-CH"/>
        </w:rPr>
      </w:pPr>
      <w:r>
        <w:rPr>
          <w:rFonts w:hint="eastAsia" w:ascii="仿宋" w:hAnsi="仿宋" w:eastAsia="仿宋" w:cs="仿宋"/>
          <w:color w:val="auto"/>
          <w:kern w:val="2"/>
          <w:sz w:val="28"/>
          <w:szCs w:val="28"/>
          <w:highlight w:val="none"/>
          <w:lang w:val="fr-CH"/>
        </w:rPr>
        <w:t>残疾人福利性单位声明函</w:t>
      </w:r>
    </w:p>
    <w:p>
      <w:pPr>
        <w:pStyle w:val="31"/>
        <w:shd w:val="clear" w:color="auto" w:fill="FFFFFF"/>
        <w:spacing w:before="0" w:beforeAutospacing="0" w:after="0" w:afterAutospacing="0" w:line="400" w:lineRule="exact"/>
        <w:ind w:firstLine="480" w:firstLineChars="200"/>
        <w:jc w:val="both"/>
        <w:rPr>
          <w:rFonts w:hint="eastAsia" w:ascii="仿宋" w:hAnsi="仿宋" w:eastAsia="仿宋" w:cs="仿宋"/>
          <w:color w:val="auto"/>
          <w:highlight w:val="none"/>
        </w:rPr>
      </w:pPr>
    </w:p>
    <w:p>
      <w:pPr>
        <w:pStyle w:val="31"/>
        <w:shd w:val="clear" w:color="auto" w:fill="FFFFFF"/>
        <w:spacing w:before="0" w:beforeAutospacing="0" w:after="0" w:afterAutospacing="0" w:line="400" w:lineRule="exact"/>
        <w:ind w:firstLine="480" w:firstLineChars="200"/>
        <w:jc w:val="both"/>
        <w:rPr>
          <w:rFonts w:hint="eastAsia" w:ascii="仿宋" w:hAnsi="仿宋" w:eastAsia="仿宋" w:cs="仿宋"/>
          <w:color w:val="auto"/>
          <w:highlight w:val="none"/>
        </w:rPr>
      </w:pPr>
      <w:r>
        <w:rPr>
          <w:rStyle w:val="24"/>
          <w:rFonts w:hint="eastAsia" w:ascii="仿宋" w:hAnsi="仿宋" w:eastAsia="仿宋" w:cs="仿宋"/>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hd w:val="clear" w:color="auto" w:fill="FFFFFF"/>
        <w:spacing w:before="0" w:beforeAutospacing="0" w:after="0" w:afterAutospacing="0" w:line="400" w:lineRule="exact"/>
        <w:ind w:firstLine="480" w:firstLineChars="200"/>
        <w:jc w:val="both"/>
        <w:rPr>
          <w:rFonts w:hint="eastAsia" w:ascii="仿宋" w:hAnsi="仿宋" w:eastAsia="仿宋" w:cs="仿宋"/>
          <w:color w:val="auto"/>
          <w:highlight w:val="none"/>
        </w:rPr>
      </w:pPr>
      <w:r>
        <w:rPr>
          <w:rStyle w:val="24"/>
          <w:rFonts w:hint="eastAsia" w:ascii="仿宋" w:hAnsi="仿宋" w:eastAsia="仿宋" w:cs="仿宋"/>
          <w:color w:val="auto"/>
          <w:highlight w:val="none"/>
        </w:rPr>
        <w:t>本单位对上述声明的真实性负责。如有虚假，将依法承担相应责任。</w:t>
      </w:r>
    </w:p>
    <w:p>
      <w:pPr>
        <w:pStyle w:val="31"/>
        <w:shd w:val="clear" w:color="auto" w:fill="FFFFFF"/>
        <w:spacing w:before="0" w:beforeAutospacing="0" w:after="0" w:afterAutospacing="0" w:line="40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投标人已知悉《关于促进残疾人就业政府采购政策的通知》（财库〔2017〕141 号）的规定，承诺提供的声明函内容是真实的，如提供声明函内容不实，则依法追究相关法律责任。</w:t>
      </w:r>
    </w:p>
    <w:p>
      <w:pPr>
        <w:pStyle w:val="31"/>
        <w:shd w:val="clear" w:color="auto" w:fill="FFFFFF"/>
        <w:spacing w:before="0" w:beforeAutospacing="0" w:after="0" w:afterAutospacing="0" w:line="400" w:lineRule="exact"/>
        <w:ind w:firstLine="480" w:firstLineChars="200"/>
        <w:jc w:val="both"/>
        <w:rPr>
          <w:rFonts w:hint="eastAsia" w:ascii="仿宋" w:hAnsi="仿宋" w:eastAsia="仿宋" w:cs="仿宋"/>
          <w:color w:val="auto"/>
          <w:highlight w:val="none"/>
        </w:rPr>
      </w:pPr>
    </w:p>
    <w:p>
      <w:pPr>
        <w:pStyle w:val="31"/>
        <w:shd w:val="clear" w:color="auto" w:fill="FFFFFF"/>
        <w:spacing w:before="0" w:beforeAutospacing="0" w:after="0" w:afterAutospacing="0" w:line="400" w:lineRule="exact"/>
        <w:ind w:firstLine="480" w:firstLineChars="200"/>
        <w:jc w:val="both"/>
        <w:rPr>
          <w:rFonts w:hint="eastAsia" w:ascii="仿宋" w:hAnsi="仿宋" w:eastAsia="仿宋" w:cs="仿宋"/>
          <w:color w:val="auto"/>
          <w:highlight w:val="none"/>
        </w:rPr>
      </w:pPr>
    </w:p>
    <w:p>
      <w:pPr>
        <w:pStyle w:val="31"/>
        <w:shd w:val="clear" w:color="auto" w:fill="FFFFFF"/>
        <w:spacing w:before="0" w:beforeAutospacing="0" w:after="0" w:afterAutospacing="0" w:line="400" w:lineRule="exact"/>
        <w:ind w:firstLine="480" w:firstLineChars="200"/>
        <w:jc w:val="both"/>
        <w:rPr>
          <w:rFonts w:hint="eastAsia" w:ascii="仿宋" w:hAnsi="仿宋" w:eastAsia="仿宋" w:cs="仿宋"/>
          <w:color w:val="auto"/>
          <w:highlight w:val="none"/>
        </w:rPr>
      </w:pPr>
    </w:p>
    <w:p>
      <w:pPr>
        <w:pStyle w:val="31"/>
        <w:shd w:val="clear" w:color="auto" w:fill="FFFFFF"/>
        <w:spacing w:before="0" w:beforeAutospacing="0" w:after="0" w:afterAutospacing="0" w:line="400" w:lineRule="exact"/>
        <w:ind w:right="2100" w:rightChars="1000"/>
        <w:jc w:val="right"/>
        <w:rPr>
          <w:rFonts w:hint="eastAsia" w:ascii="仿宋" w:hAnsi="仿宋" w:eastAsia="仿宋" w:cs="仿宋"/>
          <w:color w:val="auto"/>
          <w:highlight w:val="none"/>
        </w:rPr>
      </w:pPr>
      <w:r>
        <w:rPr>
          <w:rStyle w:val="24"/>
          <w:rFonts w:hint="eastAsia" w:ascii="仿宋" w:hAnsi="仿宋" w:eastAsia="仿宋" w:cs="仿宋"/>
          <w:color w:val="auto"/>
          <w:highlight w:val="none"/>
        </w:rPr>
        <w:t>单位名称（盖章）：</w:t>
      </w:r>
    </w:p>
    <w:p>
      <w:pPr>
        <w:pStyle w:val="31"/>
        <w:shd w:val="clear" w:color="auto" w:fill="FFFFFF"/>
        <w:spacing w:before="0" w:beforeAutospacing="0" w:after="0" w:afterAutospacing="0" w:line="400" w:lineRule="exact"/>
        <w:ind w:right="2100" w:rightChars="1000"/>
        <w:jc w:val="right"/>
        <w:rPr>
          <w:rFonts w:hint="eastAsia" w:ascii="仿宋" w:hAnsi="仿宋" w:eastAsia="仿宋" w:cs="仿宋"/>
          <w:color w:val="auto"/>
          <w:highlight w:val="none"/>
          <w:lang w:val="fr-CH"/>
        </w:rPr>
      </w:pPr>
      <w:r>
        <w:rPr>
          <w:rStyle w:val="24"/>
          <w:rFonts w:hint="eastAsia" w:ascii="仿宋" w:hAnsi="仿宋" w:eastAsia="仿宋" w:cs="仿宋"/>
          <w:color w:val="auto"/>
          <w:highlight w:val="none"/>
        </w:rPr>
        <w:t>日 期：</w:t>
      </w:r>
    </w:p>
    <w:p>
      <w:pPr>
        <w:tabs>
          <w:tab w:val="left" w:pos="640"/>
          <w:tab w:val="left" w:pos="1260"/>
          <w:tab w:val="left" w:pos="1418"/>
        </w:tabs>
        <w:spacing w:line="400" w:lineRule="exact"/>
        <w:ind w:right="-420" w:rightChars="-200"/>
        <w:rPr>
          <w:rFonts w:hint="eastAsia" w:ascii="仿宋" w:hAnsi="仿宋" w:eastAsia="仿宋" w:cs="仿宋"/>
          <w:color w:val="auto"/>
          <w:sz w:val="24"/>
          <w:highlight w:val="none"/>
          <w:lang w:val="fr-CH"/>
        </w:rPr>
      </w:pPr>
    </w:p>
    <w:p>
      <w:pPr>
        <w:spacing w:line="400" w:lineRule="exact"/>
        <w:rPr>
          <w:rFonts w:hint="eastAsia" w:ascii="仿宋" w:hAnsi="仿宋" w:eastAsia="仿宋" w:cs="仿宋"/>
          <w:color w:val="auto"/>
          <w:highlight w:val="none"/>
        </w:rPr>
      </w:pPr>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Source Han Sans 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3">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4">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5">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6">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7"/>
  </w:num>
  <w:num w:numId="2">
    <w:abstractNumId w:val="2"/>
  </w:num>
  <w:num w:numId="3">
    <w:abstractNumId w:val="3"/>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YTBkMmRiYWU4ODM1YTczNTM1ZGVmMTYzNjFiOTIifQ=="/>
  </w:docVars>
  <w:rsids>
    <w:rsidRoot w:val="00EC3C65"/>
    <w:rsid w:val="00301663"/>
    <w:rsid w:val="00324CC2"/>
    <w:rsid w:val="003E331E"/>
    <w:rsid w:val="003F417C"/>
    <w:rsid w:val="005005E2"/>
    <w:rsid w:val="00660EE1"/>
    <w:rsid w:val="006A5E51"/>
    <w:rsid w:val="00BC4D5F"/>
    <w:rsid w:val="00CA1656"/>
    <w:rsid w:val="00D76997"/>
    <w:rsid w:val="00DC208B"/>
    <w:rsid w:val="00E87A5F"/>
    <w:rsid w:val="00EC3C65"/>
    <w:rsid w:val="012D2227"/>
    <w:rsid w:val="019A3B52"/>
    <w:rsid w:val="02072294"/>
    <w:rsid w:val="024E4B4B"/>
    <w:rsid w:val="02775E4F"/>
    <w:rsid w:val="02873BB9"/>
    <w:rsid w:val="02B349AE"/>
    <w:rsid w:val="02EA4873"/>
    <w:rsid w:val="033C0D43"/>
    <w:rsid w:val="03AC3B74"/>
    <w:rsid w:val="03AE53E3"/>
    <w:rsid w:val="04390EE3"/>
    <w:rsid w:val="04936845"/>
    <w:rsid w:val="05476ED2"/>
    <w:rsid w:val="057448C8"/>
    <w:rsid w:val="05920CD3"/>
    <w:rsid w:val="07456165"/>
    <w:rsid w:val="08303203"/>
    <w:rsid w:val="087370B9"/>
    <w:rsid w:val="089A2355"/>
    <w:rsid w:val="091837BC"/>
    <w:rsid w:val="0A2C39C3"/>
    <w:rsid w:val="0A692F6B"/>
    <w:rsid w:val="0A6A0048"/>
    <w:rsid w:val="0AC41E4E"/>
    <w:rsid w:val="0B0E2460"/>
    <w:rsid w:val="0BE502CE"/>
    <w:rsid w:val="0BF16C73"/>
    <w:rsid w:val="0CB358A1"/>
    <w:rsid w:val="0D8E6743"/>
    <w:rsid w:val="0DE93979"/>
    <w:rsid w:val="0E56244E"/>
    <w:rsid w:val="0E8611C8"/>
    <w:rsid w:val="0E905A81"/>
    <w:rsid w:val="0ECF2202"/>
    <w:rsid w:val="0F26713F"/>
    <w:rsid w:val="0F7F00F1"/>
    <w:rsid w:val="0F9B1B75"/>
    <w:rsid w:val="10276347"/>
    <w:rsid w:val="10EF74F9"/>
    <w:rsid w:val="114E054D"/>
    <w:rsid w:val="119359ED"/>
    <w:rsid w:val="119C142F"/>
    <w:rsid w:val="11CE35B2"/>
    <w:rsid w:val="12906AB9"/>
    <w:rsid w:val="12B865C0"/>
    <w:rsid w:val="14292F25"/>
    <w:rsid w:val="14EF1875"/>
    <w:rsid w:val="15190004"/>
    <w:rsid w:val="15363948"/>
    <w:rsid w:val="15406575"/>
    <w:rsid w:val="15A46B04"/>
    <w:rsid w:val="15C04A37"/>
    <w:rsid w:val="16817418"/>
    <w:rsid w:val="16B9389A"/>
    <w:rsid w:val="174E78BD"/>
    <w:rsid w:val="1767428D"/>
    <w:rsid w:val="17AE7E39"/>
    <w:rsid w:val="182061EA"/>
    <w:rsid w:val="18463837"/>
    <w:rsid w:val="18D314AE"/>
    <w:rsid w:val="18D31E0A"/>
    <w:rsid w:val="190D49C0"/>
    <w:rsid w:val="196071E6"/>
    <w:rsid w:val="1AD32329"/>
    <w:rsid w:val="1B3C158C"/>
    <w:rsid w:val="1B4353B8"/>
    <w:rsid w:val="1B7C407F"/>
    <w:rsid w:val="1B944F25"/>
    <w:rsid w:val="1C2344FA"/>
    <w:rsid w:val="1C311B1C"/>
    <w:rsid w:val="1C460B0A"/>
    <w:rsid w:val="1D57667F"/>
    <w:rsid w:val="1D9E3217"/>
    <w:rsid w:val="1DA5166B"/>
    <w:rsid w:val="1DBD0118"/>
    <w:rsid w:val="1DBE6B30"/>
    <w:rsid w:val="1E4569AA"/>
    <w:rsid w:val="1E5107BC"/>
    <w:rsid w:val="1E876FC3"/>
    <w:rsid w:val="1E933BB9"/>
    <w:rsid w:val="1FEB0844"/>
    <w:rsid w:val="202D296B"/>
    <w:rsid w:val="20947775"/>
    <w:rsid w:val="20F639E9"/>
    <w:rsid w:val="21C803EB"/>
    <w:rsid w:val="228026A7"/>
    <w:rsid w:val="22851A21"/>
    <w:rsid w:val="2308609F"/>
    <w:rsid w:val="238C21A7"/>
    <w:rsid w:val="253B1F59"/>
    <w:rsid w:val="25910727"/>
    <w:rsid w:val="25A85672"/>
    <w:rsid w:val="261A4BC0"/>
    <w:rsid w:val="267D7507"/>
    <w:rsid w:val="26A57561"/>
    <w:rsid w:val="27D20E0F"/>
    <w:rsid w:val="27F9448F"/>
    <w:rsid w:val="2835035F"/>
    <w:rsid w:val="296B53DE"/>
    <w:rsid w:val="297527CF"/>
    <w:rsid w:val="29AA742B"/>
    <w:rsid w:val="2A76793C"/>
    <w:rsid w:val="2B070753"/>
    <w:rsid w:val="2B6FC51D"/>
    <w:rsid w:val="2CE61358"/>
    <w:rsid w:val="2CFFE160"/>
    <w:rsid w:val="2D3D2B16"/>
    <w:rsid w:val="2D9278AF"/>
    <w:rsid w:val="2DCF110D"/>
    <w:rsid w:val="2E063C32"/>
    <w:rsid w:val="2ECE6063"/>
    <w:rsid w:val="2EE401B3"/>
    <w:rsid w:val="2EE7FA34"/>
    <w:rsid w:val="302400EF"/>
    <w:rsid w:val="30D61D01"/>
    <w:rsid w:val="313034EA"/>
    <w:rsid w:val="31DA5230"/>
    <w:rsid w:val="32483F63"/>
    <w:rsid w:val="32A27B35"/>
    <w:rsid w:val="333472C1"/>
    <w:rsid w:val="34926DF8"/>
    <w:rsid w:val="35AF758C"/>
    <w:rsid w:val="35B93AAE"/>
    <w:rsid w:val="35E6061B"/>
    <w:rsid w:val="36A90F2F"/>
    <w:rsid w:val="36AC3C67"/>
    <w:rsid w:val="36BF8007"/>
    <w:rsid w:val="36CB555D"/>
    <w:rsid w:val="3776777C"/>
    <w:rsid w:val="37BFDFC3"/>
    <w:rsid w:val="38C43424"/>
    <w:rsid w:val="38FF62E1"/>
    <w:rsid w:val="3931057C"/>
    <w:rsid w:val="396BC8A9"/>
    <w:rsid w:val="39B645E5"/>
    <w:rsid w:val="3A5C3ADB"/>
    <w:rsid w:val="3AB96E83"/>
    <w:rsid w:val="3AD32BC5"/>
    <w:rsid w:val="3B334A39"/>
    <w:rsid w:val="3B342C87"/>
    <w:rsid w:val="3B8D6AEC"/>
    <w:rsid w:val="3BFF23C6"/>
    <w:rsid w:val="3C2E3495"/>
    <w:rsid w:val="3C9E39FD"/>
    <w:rsid w:val="3CBD0327"/>
    <w:rsid w:val="3CC72F54"/>
    <w:rsid w:val="3DB37775"/>
    <w:rsid w:val="3EEFB64F"/>
    <w:rsid w:val="3EFE5BE5"/>
    <w:rsid w:val="3F7846AF"/>
    <w:rsid w:val="3F7D0FEB"/>
    <w:rsid w:val="3FB1AE7A"/>
    <w:rsid w:val="3FD76BB4"/>
    <w:rsid w:val="3FFD0478"/>
    <w:rsid w:val="3FFF8729"/>
    <w:rsid w:val="40DE6ABE"/>
    <w:rsid w:val="41032072"/>
    <w:rsid w:val="411A5B22"/>
    <w:rsid w:val="41A27F5D"/>
    <w:rsid w:val="42097EFD"/>
    <w:rsid w:val="42A90964"/>
    <w:rsid w:val="43170066"/>
    <w:rsid w:val="432A7860"/>
    <w:rsid w:val="434F15AD"/>
    <w:rsid w:val="43834A37"/>
    <w:rsid w:val="43FCB9B9"/>
    <w:rsid w:val="443F29F6"/>
    <w:rsid w:val="4456696C"/>
    <w:rsid w:val="452A7168"/>
    <w:rsid w:val="45BB3838"/>
    <w:rsid w:val="46AB11F1"/>
    <w:rsid w:val="482A0F65"/>
    <w:rsid w:val="48335D86"/>
    <w:rsid w:val="4847426C"/>
    <w:rsid w:val="488949B7"/>
    <w:rsid w:val="48AE479D"/>
    <w:rsid w:val="49D00F6E"/>
    <w:rsid w:val="4B0215FB"/>
    <w:rsid w:val="4C3C2CD2"/>
    <w:rsid w:val="4CA83414"/>
    <w:rsid w:val="4CBD3A2C"/>
    <w:rsid w:val="4D2834AF"/>
    <w:rsid w:val="4D541E1B"/>
    <w:rsid w:val="4D782049"/>
    <w:rsid w:val="4DD824CD"/>
    <w:rsid w:val="4E383A52"/>
    <w:rsid w:val="4F5148FF"/>
    <w:rsid w:val="4F7D2AC4"/>
    <w:rsid w:val="4FF86E3D"/>
    <w:rsid w:val="51826DFB"/>
    <w:rsid w:val="523A78CD"/>
    <w:rsid w:val="54684BC5"/>
    <w:rsid w:val="547B5119"/>
    <w:rsid w:val="54DB5397"/>
    <w:rsid w:val="5500083F"/>
    <w:rsid w:val="56BF4B95"/>
    <w:rsid w:val="57956634"/>
    <w:rsid w:val="57F687AD"/>
    <w:rsid w:val="57FF34A0"/>
    <w:rsid w:val="59D22C0A"/>
    <w:rsid w:val="5A513967"/>
    <w:rsid w:val="5A5A47D7"/>
    <w:rsid w:val="5A872F32"/>
    <w:rsid w:val="5BC30933"/>
    <w:rsid w:val="5C5A2F9F"/>
    <w:rsid w:val="5C5D3B6B"/>
    <w:rsid w:val="5C902F0B"/>
    <w:rsid w:val="5D177188"/>
    <w:rsid w:val="5D6A66B4"/>
    <w:rsid w:val="5DA545EC"/>
    <w:rsid w:val="5DF69ED8"/>
    <w:rsid w:val="5EC944B6"/>
    <w:rsid w:val="5F3F0281"/>
    <w:rsid w:val="5F65588D"/>
    <w:rsid w:val="5FEA2932"/>
    <w:rsid w:val="5FF76DFD"/>
    <w:rsid w:val="609452E7"/>
    <w:rsid w:val="61FC4B9F"/>
    <w:rsid w:val="63203117"/>
    <w:rsid w:val="639C0FD0"/>
    <w:rsid w:val="6493527C"/>
    <w:rsid w:val="6525440C"/>
    <w:rsid w:val="654B50E5"/>
    <w:rsid w:val="65BA51DB"/>
    <w:rsid w:val="67ED7463"/>
    <w:rsid w:val="68975621"/>
    <w:rsid w:val="69747710"/>
    <w:rsid w:val="6A9171FD"/>
    <w:rsid w:val="6B19231D"/>
    <w:rsid w:val="6B39476E"/>
    <w:rsid w:val="6BB3A4CD"/>
    <w:rsid w:val="6BBF8DDD"/>
    <w:rsid w:val="6C5555D7"/>
    <w:rsid w:val="6CB73B9C"/>
    <w:rsid w:val="6CFB0D6C"/>
    <w:rsid w:val="6D260D22"/>
    <w:rsid w:val="6D766839"/>
    <w:rsid w:val="6D8D3218"/>
    <w:rsid w:val="6DAB4C2F"/>
    <w:rsid w:val="6DAD4F9F"/>
    <w:rsid w:val="6DDE30B4"/>
    <w:rsid w:val="6DDEFA52"/>
    <w:rsid w:val="6DFC480B"/>
    <w:rsid w:val="6E9216CD"/>
    <w:rsid w:val="6EDB783C"/>
    <w:rsid w:val="6EE756FF"/>
    <w:rsid w:val="6FA0237A"/>
    <w:rsid w:val="6FDF2B21"/>
    <w:rsid w:val="6FEC382A"/>
    <w:rsid w:val="70775D93"/>
    <w:rsid w:val="70BD03E1"/>
    <w:rsid w:val="7161057A"/>
    <w:rsid w:val="732C6762"/>
    <w:rsid w:val="733760DC"/>
    <w:rsid w:val="734C0DB6"/>
    <w:rsid w:val="738CC4CB"/>
    <w:rsid w:val="74447249"/>
    <w:rsid w:val="746B3416"/>
    <w:rsid w:val="746F7950"/>
    <w:rsid w:val="749D3FBF"/>
    <w:rsid w:val="77374F56"/>
    <w:rsid w:val="77C664A7"/>
    <w:rsid w:val="787E7C64"/>
    <w:rsid w:val="7886649D"/>
    <w:rsid w:val="788F3A2D"/>
    <w:rsid w:val="78C35D83"/>
    <w:rsid w:val="78F244F2"/>
    <w:rsid w:val="79CD0EA3"/>
    <w:rsid w:val="79DB12C6"/>
    <w:rsid w:val="7A52471D"/>
    <w:rsid w:val="7A88301C"/>
    <w:rsid w:val="7AF78D52"/>
    <w:rsid w:val="7AFF3793"/>
    <w:rsid w:val="7B1B3E90"/>
    <w:rsid w:val="7B346280"/>
    <w:rsid w:val="7B585393"/>
    <w:rsid w:val="7B5856D7"/>
    <w:rsid w:val="7BEF7A75"/>
    <w:rsid w:val="7BFF0EAB"/>
    <w:rsid w:val="7C016B85"/>
    <w:rsid w:val="7C0B683D"/>
    <w:rsid w:val="7D1D8225"/>
    <w:rsid w:val="7D35519A"/>
    <w:rsid w:val="7DBB3A98"/>
    <w:rsid w:val="7DF7188F"/>
    <w:rsid w:val="7E34379F"/>
    <w:rsid w:val="7E5D0039"/>
    <w:rsid w:val="7EAA16AC"/>
    <w:rsid w:val="7EFB73C2"/>
    <w:rsid w:val="7EFE1AFE"/>
    <w:rsid w:val="7EFF03B0"/>
    <w:rsid w:val="7F3F6575"/>
    <w:rsid w:val="7FB603FA"/>
    <w:rsid w:val="7FE75BA8"/>
    <w:rsid w:val="7FE76623"/>
    <w:rsid w:val="7FF34A54"/>
    <w:rsid w:val="7FF50DBE"/>
    <w:rsid w:val="7FF7DE67"/>
    <w:rsid w:val="7FFE60C1"/>
    <w:rsid w:val="9FAFDA58"/>
    <w:rsid w:val="BABBA57E"/>
    <w:rsid w:val="BB7F62F7"/>
    <w:rsid w:val="BBDFE684"/>
    <w:rsid w:val="BBF708CC"/>
    <w:rsid w:val="BD7F2A3D"/>
    <w:rsid w:val="BEBB3CD9"/>
    <w:rsid w:val="BEF374FD"/>
    <w:rsid w:val="BF9ADBB7"/>
    <w:rsid w:val="BFEE3B97"/>
    <w:rsid w:val="BFFF21CD"/>
    <w:rsid w:val="CDB6A86A"/>
    <w:rsid w:val="CFDFAB23"/>
    <w:rsid w:val="D0DB908D"/>
    <w:rsid w:val="DBE595FF"/>
    <w:rsid w:val="DD8DC27C"/>
    <w:rsid w:val="DDDF91FC"/>
    <w:rsid w:val="DDEE082D"/>
    <w:rsid w:val="DEFD08F8"/>
    <w:rsid w:val="DEFE1469"/>
    <w:rsid w:val="DFE613CA"/>
    <w:rsid w:val="DFF70FBB"/>
    <w:rsid w:val="E7FF7A9F"/>
    <w:rsid w:val="EB9B0D82"/>
    <w:rsid w:val="EE3FB5C7"/>
    <w:rsid w:val="EFD7FDEC"/>
    <w:rsid w:val="EFFF842A"/>
    <w:rsid w:val="F7FB4FDC"/>
    <w:rsid w:val="FBB6F37D"/>
    <w:rsid w:val="FBFF7D1C"/>
    <w:rsid w:val="FBFFE65F"/>
    <w:rsid w:val="FC4F95C2"/>
    <w:rsid w:val="FDD165C5"/>
    <w:rsid w:val="FDF3B137"/>
    <w:rsid w:val="FDFB261E"/>
    <w:rsid w:val="FE0DB779"/>
    <w:rsid w:val="FEFF028B"/>
    <w:rsid w:val="FF0E5660"/>
    <w:rsid w:val="FF67FB5A"/>
    <w:rsid w:val="FFAE8143"/>
    <w:rsid w:val="FFB5ED8E"/>
    <w:rsid w:val="FFBDF241"/>
    <w:rsid w:val="FFFD7401"/>
    <w:rsid w:val="FFFFA5CD"/>
    <w:rsid w:val="FFFFE5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22"/>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9">
    <w:name w:val="Default Paragraph Font"/>
    <w:semiHidden/>
    <w:uiPriority w:val="0"/>
  </w:style>
  <w:style w:type="table" w:default="1" w:styleId="18">
    <w:name w:val="Normal Table"/>
    <w:semiHidden/>
    <w:qFormat/>
    <w:uiPriority w:val="0"/>
    <w:tblPr>
      <w:tblStyle w:val="18"/>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6">
    <w:name w:val="Normal Indent"/>
    <w:basedOn w:val="1"/>
    <w:qFormat/>
    <w:uiPriority w:val="0"/>
    <w:pPr>
      <w:ind w:firstLine="420" w:firstLineChars="200"/>
    </w:pPr>
    <w:rPr>
      <w:szCs w:val="20"/>
    </w:rPr>
  </w:style>
  <w:style w:type="paragraph" w:styleId="7">
    <w:name w:val="annotation text"/>
    <w:basedOn w:val="1"/>
    <w:unhideWhenUsed/>
    <w:qFormat/>
    <w:uiPriority w:val="0"/>
    <w:pPr>
      <w:jc w:val="left"/>
    </w:p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宋体"/>
      <w:color w:val="000000"/>
      <w:sz w:val="24"/>
      <w:szCs w:val="24"/>
      <w:lang w:val="en-US" w:eastAsia="zh-CN" w:bidi="ar-SA"/>
    </w:rPr>
  </w:style>
  <w:style w:type="paragraph" w:styleId="11">
    <w:name w:val="Balloon Text"/>
    <w:basedOn w:val="1"/>
    <w:unhideWhenUsed/>
    <w:qFormat/>
    <w:uiPriority w:val="99"/>
    <w:rPr>
      <w:kern w:val="0"/>
      <w:sz w:val="18"/>
      <w:szCs w:val="18"/>
    </w:rPr>
  </w:style>
  <w:style w:type="paragraph" w:styleId="12">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3">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eastAsia="隶书"/>
      <w:b/>
      <w:bCs/>
      <w:sz w:val="32"/>
      <w:szCs w:val="32"/>
    </w:rPr>
  </w:style>
  <w:style w:type="paragraph" w:styleId="17">
    <w:name w:val="Body Text First Indent 2"/>
    <w:basedOn w:val="8"/>
    <w:qFormat/>
    <w:uiPriority w:val="0"/>
    <w:pPr>
      <w:ind w:firstLine="420"/>
    </w:pPr>
  </w:style>
  <w:style w:type="character" w:styleId="20">
    <w:name w:val="page number"/>
    <w:qFormat/>
    <w:uiPriority w:val="0"/>
  </w:style>
  <w:style w:type="character" w:styleId="21">
    <w:name w:val="annotation reference"/>
    <w:qFormat/>
    <w:uiPriority w:val="0"/>
    <w:rPr>
      <w:sz w:val="21"/>
      <w:szCs w:val="21"/>
    </w:rPr>
  </w:style>
  <w:style w:type="character" w:customStyle="1" w:styleId="22">
    <w:name w:val="标题 1 字符"/>
    <w:link w:val="3"/>
    <w:qFormat/>
    <w:uiPriority w:val="0"/>
    <w:rPr>
      <w:b/>
      <w:kern w:val="44"/>
      <w:sz w:val="44"/>
    </w:rPr>
  </w:style>
  <w:style w:type="character" w:customStyle="1" w:styleId="23">
    <w:name w:val="页眉 字符"/>
    <w:link w:val="13"/>
    <w:uiPriority w:val="0"/>
    <w:rPr>
      <w:kern w:val="2"/>
      <w:sz w:val="18"/>
      <w:szCs w:val="18"/>
    </w:rPr>
  </w:style>
  <w:style w:type="character" w:customStyle="1" w:styleId="24">
    <w:name w:val="qowt-font5-gb2312"/>
    <w:qFormat/>
    <w:uiPriority w:val="0"/>
  </w:style>
  <w:style w:type="paragraph" w:customStyle="1" w:styleId="25">
    <w:name w:val="正文格式"/>
    <w:basedOn w:val="8"/>
    <w:qFormat/>
    <w:uiPriority w:val="99"/>
    <w:pPr>
      <w:spacing w:after="0" w:line="360" w:lineRule="auto"/>
      <w:ind w:left="0" w:leftChars="0" w:firstLine="600"/>
    </w:pPr>
    <w:rPr>
      <w:rFonts w:eastAsia="仿宋_GB2312"/>
      <w:sz w:val="30"/>
      <w:szCs w:val="30"/>
    </w:rPr>
  </w:style>
  <w:style w:type="paragraph" w:customStyle="1" w:styleId="26">
    <w:name w:val="（）列表模式"/>
    <w:basedOn w:val="1"/>
    <w:qFormat/>
    <w:uiPriority w:val="0"/>
    <w:pPr>
      <w:tabs>
        <w:tab w:val="left" w:pos="960"/>
        <w:tab w:val="left" w:pos="1470"/>
      </w:tabs>
      <w:spacing w:line="360" w:lineRule="auto"/>
      <w:ind w:left="1470" w:hanging="420"/>
    </w:pPr>
    <w:rPr>
      <w:sz w:val="24"/>
      <w:szCs w:val="20"/>
    </w:rPr>
  </w:style>
  <w:style w:type="paragraph" w:customStyle="1" w:styleId="27">
    <w:name w:val="_Style 1"/>
    <w:basedOn w:val="1"/>
    <w:next w:val="1"/>
    <w:qFormat/>
    <w:uiPriority w:val="99"/>
    <w:pPr>
      <w:ind w:firstLine="420" w:firstLineChars="200"/>
    </w:p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9">
    <w:name w:val="Table Paragraph"/>
    <w:basedOn w:val="1"/>
    <w:qFormat/>
    <w:uiPriority w:val="0"/>
    <w:pPr>
      <w:autoSpaceDE w:val="0"/>
      <w:autoSpaceDN w:val="0"/>
      <w:jc w:val="left"/>
    </w:pPr>
    <w:rPr>
      <w:rFonts w:ascii="宋体" w:hAnsi="宋体" w:cs="宋体"/>
      <w:kern w:val="0"/>
      <w:sz w:val="22"/>
      <w:szCs w:val="22"/>
    </w:rPr>
  </w:style>
  <w:style w:type="paragraph" w:styleId="30">
    <w:name w:val="List Paragraph"/>
    <w:basedOn w:val="1"/>
    <w:qFormat/>
    <w:uiPriority w:val="34"/>
    <w:pPr>
      <w:ind w:firstLine="420" w:firstLineChars="200"/>
    </w:p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
    <w:name w:val="p0"/>
    <w:basedOn w:val="1"/>
    <w:qFormat/>
    <w:uiPriority w:val="0"/>
    <w:rPr>
      <w:rFonts w:ascii="Calibri" w:hAnsi="Calibri" w:cs="宋体"/>
      <w:szCs w:val="21"/>
    </w:rPr>
  </w:style>
  <w:style w:type="paragraph" w:customStyle="1" w:styleId="33">
    <w:name w:val="列出段落1"/>
    <w:basedOn w:val="1"/>
    <w:qFormat/>
    <w:uiPriority w:val="34"/>
    <w:pPr>
      <w:ind w:firstLine="420" w:firstLineChars="200"/>
    </w:pPr>
  </w:style>
  <w:style w:type="paragraph" w:customStyle="1" w:styleId="34">
    <w:name w:val="正文 A"/>
    <w:qFormat/>
    <w:uiPriority w:val="0"/>
    <w:pPr>
      <w:widowControl w:val="0"/>
      <w:jc w:val="both"/>
    </w:pPr>
    <w:rPr>
      <w:rFonts w:eastAsia="Times New Roman" w:cs="Calibri"/>
      <w:color w:val="000000"/>
      <w:kern w:val="2"/>
      <w:sz w:val="21"/>
      <w:szCs w:val="21"/>
      <w:lang w:val="en-US" w:eastAsia="zh-CN" w:bidi="ar-SA"/>
    </w:rPr>
  </w:style>
  <w:style w:type="paragraph" w:styleId="35">
    <w:name w:val=""/>
    <w:unhideWhenUsed/>
    <w:uiPriority w:val="99"/>
    <w:rPr>
      <w:kern w:val="2"/>
      <w:sz w:val="21"/>
      <w:szCs w:val="24"/>
      <w:lang w:val="en-US" w:eastAsia="zh-CN" w:bidi="ar-SA"/>
    </w:rPr>
  </w:style>
  <w:style w:type="character" w:customStyle="1" w:styleId="36">
    <w:name w:val="Hyperlink.0"/>
    <w:qFormat/>
    <w:uiPriority w:val="0"/>
    <w:rPr>
      <w:rFonts w:ascii="宋体" w:hAnsi="宋体" w:eastAsia="宋体" w:cs="宋体"/>
      <w:lang w:val="en-US"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36595</Words>
  <Characters>39130</Characters>
  <Lines>305</Lines>
  <Paragraphs>85</Paragraphs>
  <TotalTime>2441.66666666667</TotalTime>
  <ScaleCrop>false</ScaleCrop>
  <LinksUpToDate>false</LinksUpToDate>
  <CharactersWithSpaces>40973</CharactersWithSpaces>
  <Application>WPS Office_11.8.2.11480_F1E327BC-269C-435d-A152-05C5408002CA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2022-05-30T23:27:00Z</dcterms:created>
  <dc:creator>hp</dc:creator>
  <cp:lastModifiedBy>xiewdong</cp:lastModifiedBy>
  <cp:lastPrinted>2023-01-06T01:47:35Z</cp:lastPrinted>
  <dcterms:modified xsi:type="dcterms:W3CDTF">2023-01-11T09:59:29Z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2052-11.8.2.11480</vt:lpwstr>
  </property>
  <property fmtid="{D5CDD505-2E9C-101B-9397-08002B2CF9AE}" pid="3" name="ICV">
    <vt:lpwstr>882E393FAE6E448887D06BD9D8FCD6D1</vt:lpwstr>
  </property>
</Properties>
</file>