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77" w:lineRule="auto"/>
        <w:rPr>
          <w:rFonts w:ascii="黑体" w:hAnsi="黑体" w:eastAsia="黑体"/>
          <w:b/>
          <w:color w:val="auto"/>
          <w:sz w:val="72"/>
          <w:szCs w:val="72"/>
          <w:highlight w:val="none"/>
        </w:rPr>
      </w:pPr>
      <w:r>
        <w:rPr>
          <w:rFonts w:ascii="黑体" w:hAnsi="黑体" w:eastAsia="黑体"/>
          <w:b/>
          <w:color w:val="auto"/>
          <w:sz w:val="72"/>
          <w:szCs w:val="72"/>
          <w:highlight w:val="none"/>
        </w:rPr>
        <w:fldChar w:fldCharType="begin"/>
      </w:r>
      <w:r>
        <w:rPr>
          <w:rFonts w:ascii="黑体" w:hAnsi="黑体" w:eastAsia="黑体"/>
          <w:b/>
          <w:color w:val="auto"/>
          <w:sz w:val="72"/>
          <w:szCs w:val="72"/>
          <w:highlight w:val="none"/>
        </w:rPr>
        <w:instrText xml:space="preserve">ADDIN CNKISM.UserStyle</w:instrText>
      </w:r>
      <w:r>
        <w:rPr>
          <w:rFonts w:ascii="黑体" w:hAnsi="黑体" w:eastAsia="黑体"/>
          <w:b/>
          <w:color w:val="auto"/>
          <w:sz w:val="72"/>
          <w:szCs w:val="72"/>
          <w:highlight w:val="none"/>
        </w:rPr>
        <w:fldChar w:fldCharType="end"/>
      </w:r>
    </w:p>
    <w:p>
      <w:pPr>
        <w:jc w:val="center"/>
        <w:outlineLvl w:val="0"/>
        <w:rPr>
          <w:rFonts w:ascii="宋体" w:hAnsi="宋体"/>
          <w:b/>
          <w:color w:val="auto"/>
          <w:sz w:val="72"/>
          <w:szCs w:val="72"/>
          <w:highlight w:val="none"/>
        </w:rPr>
      </w:pPr>
      <w:r>
        <w:rPr>
          <w:rFonts w:hint="eastAsia" w:ascii="宋体" w:hAnsi="宋体"/>
          <w:b/>
          <w:color w:val="auto"/>
          <w:sz w:val="72"/>
          <w:szCs w:val="72"/>
          <w:highlight w:val="none"/>
        </w:rPr>
        <w:t>简易招标文件</w:t>
      </w:r>
    </w:p>
    <w:p>
      <w:pPr>
        <w:rPr>
          <w:rFonts w:ascii="宋体" w:hAnsi="宋体"/>
          <w:b/>
          <w:color w:val="auto"/>
          <w:sz w:val="28"/>
          <w:szCs w:val="28"/>
          <w:highlight w:val="none"/>
        </w:rPr>
      </w:pPr>
    </w:p>
    <w:p>
      <w:pPr>
        <w:rPr>
          <w:rFonts w:ascii="宋体" w:hAnsi="宋体"/>
          <w:b/>
          <w:color w:val="auto"/>
          <w:highlight w:val="none"/>
        </w:rPr>
      </w:pPr>
    </w:p>
    <w:p>
      <w:pPr>
        <w:rPr>
          <w:rFonts w:ascii="宋体" w:hAnsi="宋体"/>
          <w:b/>
          <w:color w:val="auto"/>
          <w:sz w:val="44"/>
          <w:highlight w:val="none"/>
        </w:rPr>
      </w:pPr>
    </w:p>
    <w:p>
      <w:pPr>
        <w:ind w:left="437" w:leftChars="208" w:firstLine="271" w:firstLineChars="75"/>
        <w:outlineLvl w:val="0"/>
        <w:rPr>
          <w:rFonts w:ascii="宋体" w:hAnsi="宋体"/>
          <w:b/>
          <w:color w:val="auto"/>
          <w:sz w:val="36"/>
          <w:szCs w:val="36"/>
          <w:highlight w:val="none"/>
        </w:rPr>
      </w:pPr>
      <w:r>
        <w:rPr>
          <w:rFonts w:hint="eastAsia" w:ascii="宋体" w:hAnsi="宋体"/>
          <w:b/>
          <w:color w:val="auto"/>
          <w:sz w:val="36"/>
          <w:szCs w:val="36"/>
          <w:highlight w:val="none"/>
        </w:rPr>
        <w:t>招标编号：</w:t>
      </w:r>
      <w:r>
        <w:rPr>
          <w:rFonts w:hint="eastAsia"/>
          <w:b/>
          <w:sz w:val="36"/>
          <w:szCs w:val="36"/>
        </w:rPr>
        <w:t>QH202</w:t>
      </w:r>
      <w:r>
        <w:rPr>
          <w:rFonts w:hint="default"/>
          <w:b/>
          <w:sz w:val="36"/>
          <w:szCs w:val="36"/>
        </w:rPr>
        <w:t>2</w:t>
      </w:r>
      <w:r>
        <w:rPr>
          <w:rFonts w:hint="eastAsia"/>
          <w:b/>
          <w:sz w:val="36"/>
          <w:szCs w:val="36"/>
        </w:rPr>
        <w:t>005</w:t>
      </w:r>
    </w:p>
    <w:p>
      <w:pPr>
        <w:ind w:firstLine="723" w:firstLineChars="200"/>
        <w:rPr>
          <w:rFonts w:ascii="宋体" w:hAnsi="宋体"/>
          <w:b/>
          <w:color w:val="auto"/>
          <w:sz w:val="36"/>
          <w:szCs w:val="36"/>
          <w:highlight w:val="none"/>
        </w:rPr>
      </w:pPr>
    </w:p>
    <w:p>
      <w:pPr>
        <w:ind w:firstLine="723" w:firstLineChars="200"/>
        <w:rPr>
          <w:rFonts w:ascii="宋体" w:hAnsi="宋体"/>
          <w:b/>
          <w:color w:val="auto"/>
          <w:sz w:val="44"/>
          <w:highlight w:val="none"/>
        </w:rPr>
      </w:pPr>
      <w:r>
        <w:rPr>
          <w:rFonts w:hint="eastAsia" w:ascii="宋体" w:hAnsi="宋体"/>
          <w:b/>
          <w:color w:val="auto"/>
          <w:sz w:val="36"/>
          <w:szCs w:val="36"/>
          <w:highlight w:val="none"/>
        </w:rPr>
        <w:t>招标项目：</w:t>
      </w:r>
      <w:r>
        <w:rPr>
          <w:rFonts w:hint="default"/>
          <w:b/>
          <w:sz w:val="36"/>
          <w:szCs w:val="36"/>
        </w:rPr>
        <w:t>2022年度</w:t>
      </w:r>
      <w:r>
        <w:rPr>
          <w:rFonts w:hint="eastAsia"/>
          <w:b/>
          <w:sz w:val="36"/>
          <w:szCs w:val="36"/>
        </w:rPr>
        <w:t>“一带一路”法治地图</w:t>
      </w:r>
      <w:r>
        <w:rPr>
          <w:rFonts w:hint="eastAsia"/>
          <w:b/>
          <w:sz w:val="36"/>
          <w:szCs w:val="36"/>
          <w:lang w:eastAsia="zh-CN"/>
        </w:rPr>
        <w:t>运营维护更新</w:t>
      </w:r>
      <w:r>
        <w:rPr>
          <w:rFonts w:hint="eastAsia"/>
          <w:b/>
          <w:sz w:val="36"/>
          <w:szCs w:val="36"/>
        </w:rPr>
        <w:t>项目</w:t>
      </w:r>
    </w:p>
    <w:p>
      <w:pPr>
        <w:ind w:firstLine="442" w:firstLineChars="100"/>
        <w:rPr>
          <w:rFonts w:ascii="宋体" w:hAnsi="宋体"/>
          <w:b/>
          <w:color w:val="auto"/>
          <w:sz w:val="44"/>
          <w:highlight w:val="none"/>
        </w:rPr>
      </w:pPr>
    </w:p>
    <w:p>
      <w:pPr>
        <w:ind w:left="1260" w:leftChars="600" w:firstLine="1855" w:firstLineChars="420"/>
        <w:rPr>
          <w:rFonts w:ascii="宋体" w:hAnsi="宋体"/>
          <w:b/>
          <w:color w:val="auto"/>
          <w:sz w:val="44"/>
          <w:highlight w:val="none"/>
        </w:rPr>
      </w:pPr>
    </w:p>
    <w:p>
      <w:pPr>
        <w:ind w:left="1260" w:leftChars="600" w:firstLine="1855" w:firstLineChars="420"/>
        <w:rPr>
          <w:rFonts w:ascii="宋体" w:hAnsi="宋体"/>
          <w:b/>
          <w:color w:val="auto"/>
          <w:sz w:val="44"/>
          <w:highlight w:val="none"/>
        </w:rPr>
      </w:pPr>
    </w:p>
    <w:p>
      <w:pPr>
        <w:rPr>
          <w:rFonts w:ascii="宋体" w:hAnsi="宋体"/>
          <w:b/>
          <w:color w:val="auto"/>
          <w:sz w:val="44"/>
          <w:highlight w:val="none"/>
        </w:rPr>
      </w:pPr>
    </w:p>
    <w:p>
      <w:pPr>
        <w:rPr>
          <w:rFonts w:ascii="宋体" w:hAnsi="宋体"/>
          <w:b/>
          <w:color w:val="auto"/>
          <w:sz w:val="44"/>
          <w:highlight w:val="none"/>
        </w:rPr>
      </w:pPr>
    </w:p>
    <w:p>
      <w:pPr>
        <w:pStyle w:val="2"/>
        <w:rPr>
          <w:rFonts w:ascii="宋体" w:hAnsi="宋体"/>
          <w:b/>
          <w:color w:val="auto"/>
          <w:sz w:val="44"/>
          <w:highlight w:val="none"/>
        </w:rPr>
      </w:pPr>
    </w:p>
    <w:p>
      <w:pPr>
        <w:pStyle w:val="2"/>
        <w:rPr>
          <w:rFonts w:ascii="宋体" w:hAnsi="宋体"/>
          <w:b/>
          <w:color w:val="auto"/>
          <w:sz w:val="44"/>
          <w:highlight w:val="none"/>
        </w:rPr>
      </w:pPr>
    </w:p>
    <w:p>
      <w:pPr>
        <w:pStyle w:val="2"/>
        <w:rPr>
          <w:rFonts w:ascii="宋体" w:hAnsi="宋体"/>
          <w:b/>
          <w:color w:val="auto"/>
          <w:sz w:val="44"/>
          <w:highlight w:val="none"/>
        </w:rPr>
      </w:pPr>
    </w:p>
    <w:p>
      <w:pPr>
        <w:pStyle w:val="2"/>
        <w:rPr>
          <w:rFonts w:ascii="宋体" w:hAnsi="宋体"/>
          <w:b/>
          <w:color w:val="auto"/>
          <w:sz w:val="44"/>
          <w:highlight w:val="none"/>
        </w:rPr>
      </w:pPr>
    </w:p>
    <w:p>
      <w:pPr>
        <w:rPr>
          <w:rFonts w:ascii="宋体" w:hAnsi="宋体"/>
          <w:b/>
          <w:color w:val="auto"/>
          <w:sz w:val="44"/>
          <w:highlight w:val="none"/>
        </w:rPr>
      </w:pPr>
    </w:p>
    <w:p>
      <w:pPr>
        <w:spacing w:line="48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深圳市前海深港现代服务业合作区管理局</w:t>
      </w:r>
    </w:p>
    <w:p>
      <w:pPr>
        <w:spacing w:line="480" w:lineRule="auto"/>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二〇二</w:t>
      </w:r>
      <w:r>
        <w:rPr>
          <w:rFonts w:hint="default" w:ascii="黑体" w:hAnsi="黑体" w:eastAsia="黑体" w:cs="宋体"/>
          <w:color w:val="auto"/>
          <w:sz w:val="32"/>
          <w:szCs w:val="32"/>
          <w:highlight w:val="none"/>
        </w:rPr>
        <w:t>二</w:t>
      </w:r>
      <w:r>
        <w:rPr>
          <w:rFonts w:hint="eastAsia" w:ascii="黑体" w:hAnsi="黑体" w:eastAsia="黑体" w:cs="宋体"/>
          <w:color w:val="auto"/>
          <w:sz w:val="32"/>
          <w:szCs w:val="32"/>
          <w:highlight w:val="none"/>
        </w:rPr>
        <w:t>年</w:t>
      </w:r>
      <w:r>
        <w:rPr>
          <w:rFonts w:hint="eastAsia" w:ascii="黑体" w:hAnsi="黑体" w:eastAsia="黑体" w:cs="宋体"/>
          <w:color w:val="auto"/>
          <w:sz w:val="32"/>
          <w:szCs w:val="32"/>
          <w:highlight w:val="none"/>
          <w:lang w:eastAsia="zh-CN"/>
        </w:rPr>
        <w:t>三</w:t>
      </w:r>
      <w:r>
        <w:rPr>
          <w:rFonts w:hint="eastAsia" w:ascii="黑体" w:hAnsi="黑体" w:eastAsia="黑体" w:cs="宋体"/>
          <w:color w:val="auto"/>
          <w:sz w:val="32"/>
          <w:szCs w:val="32"/>
          <w:highlight w:val="none"/>
        </w:rPr>
        <w:t>月</w:t>
      </w:r>
    </w:p>
    <w:p>
      <w:pPr>
        <w:rPr>
          <w:rFonts w:hint="eastAsia" w:ascii="仿宋" w:hAnsi="仿宋" w:eastAsia="仿宋"/>
          <w:b/>
          <w:bCs/>
          <w:color w:val="auto"/>
          <w:sz w:val="32"/>
          <w:szCs w:val="28"/>
          <w:highlight w:val="none"/>
        </w:rPr>
      </w:pPr>
      <w:r>
        <w:rPr>
          <w:rFonts w:hint="eastAsia" w:ascii="仿宋" w:hAnsi="仿宋" w:eastAsia="仿宋"/>
          <w:b/>
          <w:bCs/>
          <w:color w:val="auto"/>
          <w:sz w:val="32"/>
          <w:szCs w:val="28"/>
          <w:highlight w:val="none"/>
        </w:rPr>
        <w:br w:type="page"/>
      </w:r>
    </w:p>
    <w:p>
      <w:pPr>
        <w:jc w:val="center"/>
        <w:rPr>
          <w:rFonts w:ascii="黑体" w:eastAsia="黑体"/>
          <w:sz w:val="36"/>
          <w:szCs w:val="36"/>
        </w:rPr>
      </w:pPr>
      <w:r>
        <w:rPr>
          <w:rFonts w:hint="eastAsia" w:ascii="黑体" w:eastAsia="黑体"/>
          <w:sz w:val="36"/>
          <w:szCs w:val="36"/>
        </w:rPr>
        <w:t>特别警示条款</w:t>
      </w:r>
    </w:p>
    <w:p>
      <w:pPr>
        <w:pStyle w:val="9"/>
      </w:pP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《深圳经济特区政府采购条例》第五十七条</w:t>
      </w:r>
      <w:r>
        <w:rPr>
          <w:rFonts w:ascii="仿宋" w:hAnsi="仿宋" w:eastAsia="仿宋" w:cs="仿宋"/>
          <w:sz w:val="24"/>
        </w:rPr>
        <w:t xml:space="preserve"> </w:t>
      </w:r>
      <w:r>
        <w:rPr>
          <w:rFonts w:hint="eastAsia" w:ascii="仿宋" w:hAnsi="仿宋" w:eastAsia="仿宋" w:cs="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（一）在采购活动中应当回避而未回避的；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（二）未按本条例规定签订、履行采购合同，造成严重后果的；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（三）隐瞒真实情况，提供虚假资料的；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（四）以非法手段排斥其他供应商参与竞争的；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（五）与其他采购参加人串通投标的；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（六）恶意投诉的；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（七）向采购项目相关人行贿或者提供其他不当利益的；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（八）阻碍、抗拒主管部门监督检查的；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（九）其他违反本条例规定的行为。</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《深圳经济特区政府采购条例实施细则》第七十六条 </w:t>
      </w:r>
      <w:r>
        <w:rPr>
          <w:rFonts w:ascii="仿宋" w:hAnsi="仿宋" w:eastAsia="仿宋" w:cs="仿宋"/>
          <w:sz w:val="24"/>
        </w:rPr>
        <w:t xml:space="preserve"> </w:t>
      </w:r>
      <w:r>
        <w:rPr>
          <w:rFonts w:hint="eastAsia" w:ascii="仿宋" w:hAnsi="仿宋" w:eastAsia="仿宋" w:cs="仿宋"/>
          <w:sz w:val="24"/>
        </w:rPr>
        <w:t>供应商有下列行为之一的，由主管部门记入供应商诚信档案并作出以下处罚：</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《深圳经济特区政府采购条例实施细则》第七十七条 </w:t>
      </w:r>
      <w:r>
        <w:rPr>
          <w:rFonts w:ascii="仿宋" w:hAnsi="仿宋" w:eastAsia="仿宋" w:cs="仿宋"/>
          <w:sz w:val="24"/>
        </w:rPr>
        <w:t xml:space="preserve"> </w:t>
      </w:r>
      <w:r>
        <w:rPr>
          <w:rFonts w:hint="eastAsia" w:ascii="仿宋" w:hAnsi="仿宋" w:eastAsia="仿宋" w:cs="仿宋"/>
          <w:sz w:val="24"/>
        </w:rPr>
        <w:t>供应商有下列行为之一的，属于情节严重，由市场监管部门依法吊销其营业执照，主管部门取消其参与本市政府采购的资格，并作出以下处罚：</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《深圳经济特区政府采购条例实施细则》第七十九条 </w:t>
      </w:r>
      <w:r>
        <w:rPr>
          <w:rFonts w:ascii="仿宋" w:hAnsi="仿宋" w:eastAsia="仿宋" w:cs="仿宋"/>
          <w:sz w:val="24"/>
        </w:rPr>
        <w:t xml:space="preserve"> </w:t>
      </w:r>
      <w:r>
        <w:rPr>
          <w:rFonts w:hint="eastAsia" w:ascii="仿宋" w:hAnsi="仿宋" w:eastAsia="仿宋" w:cs="仿宋"/>
          <w:sz w:val="24"/>
        </w:rPr>
        <w:t>供应商有下列情形之一的，属于采购条例所称的串通投标行为，按照采购条例第五十七条有关规定处理：</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（一）投标供应商之间相互约定给予未中标的供应商利益补偿。</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（二）不同投标供应商的法定代表人、主要经营负责人、项目投标授权代表人、项目负责人、主要技术人员为同一人、属同一单位或者在同一单位缴纳社会保险。</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（三）不同投标供应商的投标文件由同一单位或者同一人编制，或者由同一人分阶段参与编制的。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（四）不同投标供应商的投标文件或部分投标文件相互混装。</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（五）不同投标供应商的投标文件内容存在非正常一致。</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（六）由同一单位工作人员为两家以上（含两家）供应商进行同一项投标活动的。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（七）主管部门依照法律、法规认定的其他情形。</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《深圳经济特区政府采购条例实施细则》第八十一条 </w:t>
      </w:r>
      <w:r>
        <w:rPr>
          <w:rFonts w:ascii="仿宋" w:hAnsi="仿宋" w:eastAsia="仿宋" w:cs="仿宋"/>
          <w:sz w:val="24"/>
        </w:rPr>
        <w:t xml:space="preserve"> </w:t>
      </w:r>
      <w:r>
        <w:rPr>
          <w:rFonts w:hint="eastAsia" w:ascii="仿宋" w:hAnsi="仿宋" w:eastAsia="仿宋" w:cs="仿宋"/>
          <w:sz w:val="24"/>
        </w:rPr>
        <w:t>供应商有下列情形之一的，属于隐瞒真实情况，提供虚假资料，按照采购条例第五十七条的有关规定处理：</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（一）通过转让或者租借等方式从其他单位获取资格或者资质证书投标的。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（二）由其他单位或者其他单位负责人在投标供应商编制的投标文件上加盖印章或者签字的。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（三）项目负责人或者主要技术人员不是本单位人员的。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（四）投标保证金不是从投标供应商基本账户转出的。</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（五）其他隐瞒真实情况、提供虚假资料的行为。</w:t>
      </w:r>
    </w:p>
    <w:p>
      <w:pPr>
        <w:snapToGrid w:val="0"/>
        <w:spacing w:line="300" w:lineRule="exact"/>
        <w:ind w:firstLine="470" w:firstLineChars="196"/>
        <w:rPr>
          <w:rFonts w:ascii="仿宋" w:hAnsi="仿宋" w:eastAsia="仿宋" w:cs="仿宋"/>
          <w:sz w:val="24"/>
        </w:rPr>
      </w:pPr>
      <w:r>
        <w:rPr>
          <w:rFonts w:hint="eastAsia" w:ascii="仿宋" w:hAnsi="仿宋" w:eastAsia="仿宋" w:cs="仿宋"/>
          <w:sz w:val="24"/>
        </w:rPr>
        <w:t>投标供应商不能提供项目负责人或者主要技术人员的劳动合同、社会保险等劳动关系证明材料的，视为存在前款第（三）项规定的情形。</w:t>
      </w:r>
    </w:p>
    <w:p>
      <w:pPr>
        <w:rPr>
          <w:rFonts w:hint="eastAsia" w:ascii="仿宋" w:hAnsi="仿宋" w:eastAsia="仿宋"/>
          <w:b/>
          <w:bCs/>
          <w:color w:val="auto"/>
          <w:sz w:val="32"/>
          <w:szCs w:val="28"/>
          <w:highlight w:val="none"/>
        </w:rPr>
      </w:pPr>
    </w:p>
    <w:p>
      <w:pPr>
        <w:rPr>
          <w:rFonts w:hint="eastAsia" w:ascii="仿宋" w:hAnsi="仿宋" w:eastAsia="仿宋"/>
          <w:b/>
          <w:bCs/>
          <w:color w:val="auto"/>
          <w:sz w:val="32"/>
          <w:szCs w:val="28"/>
          <w:highlight w:val="none"/>
        </w:rPr>
      </w:pPr>
      <w:r>
        <w:rPr>
          <w:rFonts w:hint="eastAsia" w:ascii="仿宋" w:hAnsi="仿宋" w:eastAsia="仿宋"/>
          <w:b/>
          <w:bCs/>
          <w:color w:val="auto"/>
          <w:sz w:val="32"/>
          <w:szCs w:val="28"/>
          <w:highlight w:val="none"/>
        </w:rPr>
        <w:br w:type="page"/>
      </w:r>
    </w:p>
    <w:p>
      <w:pPr>
        <w:pStyle w:val="3"/>
        <w:rPr>
          <w:rFonts w:ascii="仿宋" w:hAnsi="仿宋" w:eastAsia="仿宋"/>
          <w:b/>
          <w:bCs/>
          <w:color w:val="auto"/>
          <w:sz w:val="32"/>
          <w:szCs w:val="28"/>
          <w:highlight w:val="none"/>
        </w:rPr>
      </w:pPr>
      <w:r>
        <w:rPr>
          <w:rFonts w:hint="eastAsia" w:ascii="仿宋" w:hAnsi="仿宋" w:eastAsia="仿宋"/>
          <w:b/>
          <w:bCs/>
          <w:color w:val="auto"/>
          <w:sz w:val="32"/>
          <w:szCs w:val="28"/>
          <w:highlight w:val="none"/>
        </w:rPr>
        <w:t>第一章 招标邀请书</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深圳市前海深港现代服务业合作区管理局就《2022年度“一带一路”法治地图</w:t>
      </w:r>
      <w:r>
        <w:rPr>
          <w:rFonts w:hint="eastAsia" w:ascii="仿宋" w:hAnsi="仿宋" w:eastAsia="仿宋"/>
          <w:color w:val="auto"/>
          <w:szCs w:val="21"/>
          <w:highlight w:val="none"/>
          <w:lang w:eastAsia="zh-CN"/>
        </w:rPr>
        <w:t>运营维护更新</w:t>
      </w:r>
      <w:r>
        <w:rPr>
          <w:rFonts w:hint="eastAsia" w:ascii="仿宋" w:hAnsi="仿宋" w:eastAsia="仿宋"/>
          <w:color w:val="auto"/>
          <w:szCs w:val="21"/>
          <w:highlight w:val="none"/>
        </w:rPr>
        <w:t>项目》采用公开征集供应商简易招标方式采购，欢迎符合投标人资格要求的专业供应商积极参加投标。</w:t>
      </w:r>
    </w:p>
    <w:p>
      <w:pPr>
        <w:ind w:firstLine="420" w:firstLineChars="200"/>
        <w:rPr>
          <w:rFonts w:ascii="仿宋" w:hAnsi="仿宋" w:eastAsia="仿宋"/>
          <w:color w:val="auto"/>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招标文件编号</w:t>
            </w:r>
          </w:p>
        </w:tc>
        <w:tc>
          <w:tcPr>
            <w:tcW w:w="6745"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QH202</w:t>
            </w:r>
            <w:r>
              <w:rPr>
                <w:rFonts w:hint="default" w:ascii="仿宋" w:hAnsi="仿宋" w:eastAsia="仿宋"/>
                <w:color w:val="auto"/>
                <w:szCs w:val="21"/>
                <w:highlight w:val="none"/>
              </w:rPr>
              <w:t>2</w:t>
            </w:r>
            <w:r>
              <w:rPr>
                <w:rFonts w:hint="eastAsia" w:ascii="仿宋" w:hAnsi="仿宋" w:eastAsia="仿宋"/>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招标项目名称</w:t>
            </w:r>
          </w:p>
        </w:tc>
        <w:tc>
          <w:tcPr>
            <w:tcW w:w="6745"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2022年度“一带一路”法治地图</w:t>
            </w:r>
            <w:r>
              <w:rPr>
                <w:rFonts w:hint="eastAsia" w:ascii="仿宋" w:hAnsi="仿宋" w:eastAsia="仿宋"/>
                <w:color w:val="auto"/>
                <w:szCs w:val="21"/>
                <w:highlight w:val="none"/>
                <w:lang w:eastAsia="zh-CN"/>
              </w:rPr>
              <w:t>运营维护更新</w:t>
            </w:r>
            <w:r>
              <w:rPr>
                <w:rFonts w:hint="eastAsia" w:ascii="仿宋" w:hAnsi="仿宋" w:eastAsia="仿宋"/>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标的内容</w:t>
            </w:r>
          </w:p>
        </w:tc>
        <w:tc>
          <w:tcPr>
            <w:tcW w:w="6745"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auto"/>
                <w:szCs w:val="21"/>
                <w:highlight w:val="none"/>
              </w:rPr>
            </w:pPr>
            <w:r>
              <w:rPr>
                <w:rFonts w:hint="eastAsia" w:ascii="仿宋" w:hAnsi="仿宋" w:eastAsia="仿宋"/>
                <w:color w:val="auto"/>
                <w:szCs w:val="21"/>
                <w:highlight w:val="none"/>
              </w:rPr>
              <w:t>项目预算</w:t>
            </w:r>
          </w:p>
        </w:tc>
        <w:tc>
          <w:tcPr>
            <w:tcW w:w="6745" w:type="dxa"/>
            <w:noWrap/>
          </w:tcPr>
          <w:p>
            <w:pPr>
              <w:spacing w:after="60" w:line="360" w:lineRule="auto"/>
              <w:rPr>
                <w:rFonts w:ascii="仿宋" w:hAnsi="仿宋" w:eastAsia="仿宋"/>
                <w:color w:val="auto"/>
                <w:szCs w:val="21"/>
                <w:highlight w:val="none"/>
              </w:rPr>
            </w:pPr>
            <w:r>
              <w:rPr>
                <w:rFonts w:hint="eastAsia" w:ascii="仿宋" w:hAnsi="仿宋" w:eastAsia="仿宋"/>
                <w:bCs/>
                <w:color w:val="auto"/>
                <w:kern w:val="0"/>
                <w:szCs w:val="21"/>
                <w:highlight w:val="none"/>
                <w:lang w:val="en-US" w:eastAsia="zh-CN"/>
              </w:rPr>
              <w:t>8</w:t>
            </w:r>
            <w:r>
              <w:rPr>
                <w:rFonts w:hint="eastAsia" w:ascii="仿宋" w:hAnsi="仿宋" w:eastAsia="仿宋"/>
                <w:bCs/>
                <w:color w:val="auto"/>
                <w:kern w:val="0"/>
                <w:szCs w:val="21"/>
                <w:highlight w:val="none"/>
              </w:rPr>
              <w:t>0</w:t>
            </w:r>
            <w:r>
              <w:rPr>
                <w:rFonts w:hint="eastAsia" w:ascii="仿宋" w:hAnsi="仿宋" w:eastAsia="仿宋"/>
                <w:color w:val="auto"/>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标书获得办法</w:t>
            </w:r>
          </w:p>
        </w:tc>
        <w:tc>
          <w:tcPr>
            <w:tcW w:w="6745"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招标文件为电子版，深圳市前海深港现代服务业合作区管理局免费下载。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8"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报名方式</w:t>
            </w:r>
          </w:p>
        </w:tc>
        <w:tc>
          <w:tcPr>
            <w:tcW w:w="6745" w:type="dxa"/>
            <w:noWrap/>
          </w:tcPr>
          <w:p>
            <w:pPr>
              <w:adjustRightInd w:val="0"/>
              <w:snapToGrid w:val="0"/>
              <w:spacing w:line="400" w:lineRule="exact"/>
              <w:rPr>
                <w:rFonts w:hint="default" w:ascii="仿宋" w:hAnsi="仿宋"/>
                <w:color w:val="auto"/>
                <w:kern w:val="0"/>
                <w:szCs w:val="21"/>
                <w:highlight w:val="none"/>
              </w:rPr>
            </w:pPr>
            <w:r>
              <w:rPr>
                <w:rFonts w:hint="eastAsia" w:ascii="仿宋" w:hAnsi="仿宋" w:eastAsia="仿宋"/>
                <w:color w:val="auto"/>
                <w:kern w:val="0"/>
                <w:szCs w:val="21"/>
                <w:highlight w:val="none"/>
              </w:rPr>
              <w:t>将投标文件密封并在投标截止时间202</w:t>
            </w:r>
            <w:r>
              <w:rPr>
                <w:rFonts w:hint="default" w:ascii="仿宋" w:hAnsi="仿宋" w:eastAsia="仿宋"/>
                <w:color w:val="auto"/>
                <w:kern w:val="0"/>
                <w:szCs w:val="21"/>
                <w:highlight w:val="none"/>
              </w:rPr>
              <w:t>2</w:t>
            </w:r>
            <w:r>
              <w:rPr>
                <w:rFonts w:hint="eastAsia" w:ascii="仿宋" w:hAnsi="仿宋" w:eastAsia="仿宋"/>
                <w:color w:val="auto"/>
                <w:kern w:val="0"/>
                <w:szCs w:val="21"/>
                <w:highlight w:val="none"/>
              </w:rPr>
              <w:t>年</w:t>
            </w:r>
            <w:r>
              <w:rPr>
                <w:rFonts w:hint="eastAsia" w:ascii="仿宋" w:hAnsi="仿宋" w:eastAsia="仿宋"/>
                <w:color w:val="auto"/>
                <w:kern w:val="0"/>
                <w:szCs w:val="21"/>
                <w:highlight w:val="none"/>
                <w:lang w:val="en-US" w:eastAsia="zh-CN"/>
              </w:rPr>
              <w:t>3</w:t>
            </w:r>
            <w:r>
              <w:rPr>
                <w:rFonts w:hint="eastAsia" w:ascii="仿宋" w:hAnsi="仿宋" w:eastAsia="仿宋"/>
                <w:color w:val="auto"/>
                <w:kern w:val="0"/>
                <w:szCs w:val="21"/>
                <w:highlight w:val="none"/>
              </w:rPr>
              <w:t>月</w:t>
            </w:r>
            <w:r>
              <w:rPr>
                <w:rFonts w:hint="eastAsia" w:ascii="仿宋" w:hAnsi="仿宋" w:eastAsia="仿宋"/>
                <w:color w:val="auto"/>
                <w:kern w:val="0"/>
                <w:szCs w:val="21"/>
                <w:highlight w:val="none"/>
                <w:lang w:val="en-US" w:eastAsia="zh-CN"/>
              </w:rPr>
              <w:t>23</w:t>
            </w:r>
            <w:r>
              <w:rPr>
                <w:rFonts w:hint="eastAsia" w:ascii="仿宋" w:hAnsi="仿宋" w:eastAsia="仿宋"/>
                <w:color w:val="auto"/>
                <w:kern w:val="0"/>
                <w:szCs w:val="21"/>
                <w:highlight w:val="none"/>
              </w:rPr>
              <w:t>日</w:t>
            </w:r>
            <w:r>
              <w:rPr>
                <w:rFonts w:hint="eastAsia" w:ascii="仿宋" w:hAnsi="仿宋" w:eastAsia="仿宋"/>
                <w:color w:val="auto"/>
                <w:kern w:val="0"/>
                <w:szCs w:val="21"/>
                <w:highlight w:val="none"/>
                <w:lang w:eastAsia="zh-CN"/>
              </w:rPr>
              <w:t>上</w:t>
            </w:r>
            <w:r>
              <w:rPr>
                <w:rFonts w:hint="eastAsia" w:ascii="仿宋" w:hAnsi="仿宋" w:eastAsia="仿宋"/>
                <w:color w:val="auto"/>
                <w:kern w:val="0"/>
                <w:szCs w:val="21"/>
                <w:highlight w:val="none"/>
              </w:rPr>
              <w:t>午</w:t>
            </w:r>
            <w:r>
              <w:rPr>
                <w:rFonts w:hint="eastAsia" w:ascii="仿宋" w:hAnsi="仿宋" w:eastAsia="仿宋"/>
                <w:color w:val="auto"/>
                <w:kern w:val="0"/>
                <w:szCs w:val="21"/>
                <w:highlight w:val="none"/>
                <w:lang w:val="en-US" w:eastAsia="zh-CN"/>
              </w:rPr>
              <w:t>11</w:t>
            </w:r>
            <w:r>
              <w:rPr>
                <w:rFonts w:hint="eastAsia" w:ascii="仿宋" w:hAnsi="仿宋" w:eastAsia="仿宋"/>
                <w:color w:val="auto"/>
                <w:kern w:val="0"/>
                <w:szCs w:val="21"/>
                <w:highlight w:val="none"/>
              </w:rPr>
              <w:t>：</w:t>
            </w:r>
            <w:r>
              <w:rPr>
                <w:rFonts w:hint="eastAsia" w:ascii="仿宋" w:hAnsi="仿宋" w:eastAsia="仿宋"/>
                <w:color w:val="auto"/>
                <w:kern w:val="0"/>
                <w:szCs w:val="21"/>
                <w:highlight w:val="none"/>
                <w:lang w:val="en-US" w:eastAsia="zh-CN"/>
              </w:rPr>
              <w:t>0</w:t>
            </w:r>
            <w:r>
              <w:rPr>
                <w:rFonts w:hint="eastAsia" w:ascii="仿宋" w:hAnsi="仿宋" w:eastAsia="仿宋"/>
                <w:color w:val="auto"/>
                <w:kern w:val="0"/>
                <w:szCs w:val="21"/>
                <w:highlight w:val="none"/>
              </w:rPr>
              <w:t>0:00前送达（含快递方式）至深圳市南山区前海深港现代服务业合作区前湾一路19号前海管理局E105室。联系人：</w:t>
            </w:r>
            <w:r>
              <w:rPr>
                <w:rFonts w:hint="eastAsia" w:ascii="仿宋" w:hAnsi="仿宋" w:eastAsia="仿宋"/>
                <w:color w:val="auto"/>
                <w:kern w:val="0"/>
                <w:szCs w:val="21"/>
                <w:highlight w:val="none"/>
                <w:lang w:val="en-US" w:eastAsia="zh-CN"/>
              </w:rPr>
              <w:t>黄工</w:t>
            </w:r>
            <w:r>
              <w:rPr>
                <w:rFonts w:hint="eastAsia" w:ascii="仿宋" w:hAnsi="仿宋" w:eastAsia="仿宋"/>
                <w:color w:val="auto"/>
                <w:kern w:val="0"/>
                <w:szCs w:val="21"/>
                <w:highlight w:val="none"/>
              </w:rPr>
              <w:t xml:space="preserve"> 联系电话：0755-</w:t>
            </w:r>
            <w:r>
              <w:rPr>
                <w:rFonts w:hint="eastAsia" w:ascii="仿宋" w:hAnsi="仿宋" w:eastAsia="仿宋"/>
                <w:color w:val="auto"/>
                <w:kern w:val="0"/>
                <w:szCs w:val="21"/>
                <w:highlight w:val="none"/>
                <w:lang w:eastAsia="zh-CN"/>
              </w:rPr>
              <w:t>36667540</w:t>
            </w:r>
          </w:p>
          <w:p>
            <w:pPr>
              <w:adjustRightInd w:val="0"/>
              <w:snapToGrid w:val="0"/>
              <w:spacing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8"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投标人资格要求</w:t>
            </w:r>
          </w:p>
        </w:tc>
        <w:tc>
          <w:tcPr>
            <w:tcW w:w="6745" w:type="dxa"/>
            <w:noWrap/>
          </w:tcPr>
          <w:p>
            <w:pPr>
              <w:adjustRightInd w:val="0"/>
              <w:snapToGrid w:val="0"/>
              <w:spacing w:line="400" w:lineRule="exact"/>
              <w:rPr>
                <w:rFonts w:ascii="仿宋" w:hAnsi="仿宋" w:eastAsia="仿宋"/>
                <w:color w:val="auto"/>
                <w:kern w:val="0"/>
                <w:szCs w:val="21"/>
                <w:highlight w:val="none"/>
              </w:rPr>
            </w:pPr>
            <w:r>
              <w:rPr>
                <w:rFonts w:ascii="仿宋" w:hAnsi="仿宋" w:eastAsia="仿宋"/>
                <w:color w:val="auto"/>
                <w:kern w:val="0"/>
                <w:szCs w:val="21"/>
                <w:highlight w:val="none"/>
              </w:rPr>
              <w:t>1.</w:t>
            </w:r>
            <w:r>
              <w:rPr>
                <w:rFonts w:hint="eastAsia" w:ascii="仿宋" w:hAnsi="仿宋" w:eastAsia="仿宋"/>
                <w:color w:val="auto"/>
                <w:kern w:val="0"/>
                <w:szCs w:val="21"/>
                <w:highlight w:val="none"/>
              </w:rPr>
              <w:t>投标人须为在中华人民共和国境内注册的具有独立法人资格或具有独立承担民事责任能力的其它组织（提供营业执照或者法人证书等资格证明复印件并加盖投标人公章）。</w:t>
            </w:r>
          </w:p>
          <w:p>
            <w:pPr>
              <w:adjustRightInd w:val="0"/>
              <w:snapToGrid w:val="0"/>
              <w:spacing w:line="400" w:lineRule="exact"/>
              <w:rPr>
                <w:rFonts w:ascii="仿宋" w:hAnsi="仿宋" w:eastAsia="仿宋"/>
                <w:color w:val="auto"/>
                <w:kern w:val="0"/>
                <w:szCs w:val="21"/>
                <w:highlight w:val="none"/>
              </w:rPr>
            </w:pPr>
            <w:r>
              <w:rPr>
                <w:rFonts w:ascii="仿宋" w:hAnsi="仿宋" w:eastAsia="仿宋"/>
                <w:color w:val="auto"/>
                <w:kern w:val="0"/>
                <w:szCs w:val="21"/>
                <w:highlight w:val="none"/>
              </w:rPr>
              <w:t>2.</w:t>
            </w:r>
            <w:r>
              <w:rPr>
                <w:rFonts w:hint="eastAsia" w:ascii="仿宋" w:hAnsi="仿宋" w:eastAsia="仿宋"/>
                <w:color w:val="auto"/>
                <w:kern w:val="0"/>
                <w:szCs w:val="21"/>
                <w:highlight w:val="none"/>
              </w:rPr>
              <w:t>本项目不接受联合体投标</w:t>
            </w:r>
            <w:r>
              <w:rPr>
                <w:rFonts w:hint="eastAsia" w:ascii="仿宋" w:hAnsi="仿宋" w:eastAsia="仿宋"/>
                <w:color w:val="auto"/>
                <w:kern w:val="0"/>
                <w:szCs w:val="21"/>
                <w:highlight w:val="none"/>
                <w:lang w:val="en-US" w:eastAsia="zh-CN"/>
              </w:rPr>
              <w:t>,不允许分包</w:t>
            </w:r>
            <w:r>
              <w:rPr>
                <w:rFonts w:hint="eastAsia" w:ascii="仿宋" w:hAnsi="仿宋" w:eastAsia="仿宋"/>
                <w:color w:val="auto"/>
                <w:kern w:val="0"/>
                <w:szCs w:val="21"/>
                <w:highlight w:val="none"/>
              </w:rPr>
              <w:t>。</w:t>
            </w:r>
          </w:p>
          <w:p>
            <w:pPr>
              <w:adjustRightInd w:val="0"/>
              <w:snapToGrid w:val="0"/>
              <w:spacing w:line="400" w:lineRule="exact"/>
              <w:rPr>
                <w:rFonts w:ascii="仿宋" w:hAnsi="仿宋" w:eastAsia="仿宋"/>
                <w:color w:val="auto"/>
                <w:kern w:val="0"/>
                <w:szCs w:val="21"/>
                <w:highlight w:val="none"/>
              </w:rPr>
            </w:pPr>
            <w:r>
              <w:rPr>
                <w:rFonts w:ascii="仿宋" w:hAnsi="仿宋" w:eastAsia="仿宋"/>
                <w:color w:val="auto"/>
                <w:kern w:val="0"/>
                <w:szCs w:val="21"/>
                <w:highlight w:val="none"/>
              </w:rPr>
              <w:t>3.</w:t>
            </w:r>
            <w:r>
              <w:rPr>
                <w:rFonts w:hint="eastAsia" w:ascii="仿宋" w:hAnsi="仿宋" w:eastAsia="仿宋"/>
                <w:color w:val="auto"/>
                <w:kern w:val="0"/>
                <w:szCs w:val="21"/>
                <w:highlight w:val="none"/>
              </w:rPr>
              <w:t>投标人近三年内</w:t>
            </w:r>
            <w:r>
              <w:rPr>
                <w:rFonts w:hint="eastAsia" w:ascii="仿宋" w:hAnsi="仿宋" w:eastAsia="仿宋"/>
                <w:color w:val="auto"/>
                <w:kern w:val="0"/>
                <w:szCs w:val="21"/>
                <w:highlight w:val="none"/>
                <w:lang w:val="zh-CN"/>
              </w:rPr>
              <w:t>（即从20</w:t>
            </w:r>
            <w:r>
              <w:rPr>
                <w:rFonts w:hint="eastAsia" w:ascii="仿宋" w:hAnsi="仿宋" w:eastAsia="仿宋"/>
                <w:color w:val="auto"/>
                <w:kern w:val="0"/>
                <w:szCs w:val="21"/>
                <w:highlight w:val="none"/>
                <w:lang w:val="en-US" w:eastAsia="zh-CN"/>
              </w:rPr>
              <w:t>19</w:t>
            </w:r>
            <w:r>
              <w:rPr>
                <w:rFonts w:hint="eastAsia" w:ascii="仿宋" w:hAnsi="仿宋" w:eastAsia="仿宋"/>
                <w:color w:val="auto"/>
                <w:kern w:val="0"/>
                <w:szCs w:val="21"/>
                <w:highlight w:val="none"/>
                <w:lang w:val="zh-CN"/>
              </w:rPr>
              <w:t>年</w:t>
            </w:r>
            <w:r>
              <w:rPr>
                <w:rFonts w:hint="eastAsia" w:ascii="仿宋" w:hAnsi="仿宋" w:eastAsia="仿宋"/>
                <w:color w:val="auto"/>
                <w:kern w:val="0"/>
                <w:szCs w:val="21"/>
                <w:highlight w:val="none"/>
                <w:lang w:val="en-US" w:eastAsia="zh-CN"/>
              </w:rPr>
              <w:t>3</w:t>
            </w:r>
            <w:r>
              <w:rPr>
                <w:rFonts w:hint="eastAsia" w:ascii="仿宋" w:hAnsi="仿宋" w:eastAsia="仿宋"/>
                <w:color w:val="auto"/>
                <w:kern w:val="0"/>
                <w:szCs w:val="21"/>
                <w:highlight w:val="none"/>
                <w:lang w:val="zh-CN"/>
              </w:rPr>
              <w:t>月开始起算，供应商成立不足三年的可从成立之日起算）无行贿犯罪记录，由招标人查询。查询渠道为中国裁判文书网(http://wenshu.court.gov.cn/)</w:t>
            </w:r>
            <w:r>
              <w:rPr>
                <w:rFonts w:hint="eastAsia" w:ascii="仿宋" w:hAnsi="仿宋" w:eastAsia="仿宋"/>
                <w:color w:val="auto"/>
                <w:szCs w:val="21"/>
                <w:highlight w:val="none"/>
              </w:rPr>
              <w:t>。</w:t>
            </w:r>
          </w:p>
          <w:p>
            <w:pPr>
              <w:adjustRightInd w:val="0"/>
              <w:snapToGrid w:val="0"/>
              <w:spacing w:line="400" w:lineRule="exact"/>
              <w:rPr>
                <w:color w:val="auto"/>
                <w:highlight w:val="none"/>
              </w:rPr>
            </w:pPr>
            <w:r>
              <w:rPr>
                <w:rFonts w:hint="eastAsia" w:ascii="仿宋" w:hAnsi="仿宋" w:eastAsia="仿宋"/>
                <w:bCs/>
                <w:color w:val="auto"/>
                <w:szCs w:val="21"/>
                <w:highlight w:val="none"/>
              </w:rPr>
              <w:t>注：</w:t>
            </w:r>
            <w:r>
              <w:rPr>
                <w:rFonts w:hint="eastAsia" w:ascii="仿宋" w:hAnsi="仿宋" w:eastAsia="仿宋"/>
                <w:color w:val="auto"/>
                <w:kern w:val="0"/>
                <w:szCs w:val="21"/>
                <w:highlight w:val="none"/>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报价要求</w:t>
            </w:r>
          </w:p>
        </w:tc>
        <w:tc>
          <w:tcPr>
            <w:tcW w:w="6745" w:type="dxa"/>
            <w:noWrap/>
          </w:tcPr>
          <w:p>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投标报价为人民币报价，本次投标为总价包干，投标报价包括了投标人完成本招标项目而发生的全部费用，包括设计费、中标服务费、各种资料费、保险、税金、会议评审、广告宣传、公开展示、公众咨询等所有费用，并提供合同要求的报告、全部研究成果文件和全部资料，以及其它相关服务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noWrap/>
          </w:tcPr>
          <w:p>
            <w:pPr>
              <w:spacing w:after="60"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联系方式</w:t>
            </w:r>
          </w:p>
        </w:tc>
        <w:tc>
          <w:tcPr>
            <w:tcW w:w="6745" w:type="dxa"/>
            <w:noWrap/>
          </w:tcPr>
          <w:p>
            <w:pPr>
              <w:spacing w:after="60" w:line="400" w:lineRule="exact"/>
              <w:rPr>
                <w:rFonts w:ascii="仿宋" w:hAnsi="仿宋" w:eastAsia="仿宋"/>
                <w:color w:val="auto"/>
                <w:kern w:val="0"/>
                <w:szCs w:val="21"/>
                <w:highlight w:val="none"/>
              </w:rPr>
            </w:pPr>
            <w:r>
              <w:rPr>
                <w:rFonts w:hint="eastAsia" w:ascii="仿宋" w:hAnsi="仿宋" w:eastAsia="仿宋"/>
                <w:color w:val="auto"/>
                <w:szCs w:val="21"/>
                <w:highlight w:val="none"/>
              </w:rPr>
              <w:t>（一）</w:t>
            </w:r>
            <w:r>
              <w:rPr>
                <w:rFonts w:hint="eastAsia" w:ascii="仿宋" w:hAnsi="仿宋" w:eastAsia="仿宋"/>
                <w:color w:val="auto"/>
                <w:kern w:val="0"/>
                <w:szCs w:val="21"/>
                <w:highlight w:val="none"/>
              </w:rPr>
              <w:t>招标人信息</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名      称： 深圳市前海深港现代服务业合作区管理局</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 xml:space="preserve">联  系  人： </w:t>
            </w:r>
            <w:r>
              <w:rPr>
                <w:rFonts w:hint="eastAsia" w:ascii="仿宋" w:hAnsi="仿宋" w:eastAsia="仿宋"/>
                <w:color w:val="auto"/>
                <w:kern w:val="0"/>
                <w:szCs w:val="21"/>
                <w:highlight w:val="none"/>
                <w:lang w:eastAsia="zh-CN"/>
              </w:rPr>
              <w:t>黄工</w:t>
            </w:r>
          </w:p>
          <w:p>
            <w:pPr>
              <w:spacing w:after="60" w:line="400" w:lineRule="exact"/>
              <w:rPr>
                <w:rFonts w:hint="default" w:ascii="仿宋" w:hAnsi="仿宋"/>
                <w:color w:val="auto"/>
                <w:kern w:val="0"/>
                <w:szCs w:val="21"/>
                <w:highlight w:val="none"/>
              </w:rPr>
            </w:pPr>
            <w:r>
              <w:rPr>
                <w:rFonts w:hint="eastAsia" w:ascii="仿宋" w:hAnsi="仿宋" w:eastAsia="仿宋"/>
                <w:color w:val="auto"/>
                <w:kern w:val="0"/>
                <w:szCs w:val="21"/>
                <w:highlight w:val="none"/>
              </w:rPr>
              <w:t>电      话： 0755-</w:t>
            </w:r>
            <w:r>
              <w:rPr>
                <w:rFonts w:hint="eastAsia" w:ascii="仿宋" w:hAnsi="仿宋" w:eastAsia="仿宋"/>
                <w:color w:val="auto"/>
                <w:kern w:val="0"/>
                <w:szCs w:val="21"/>
                <w:highlight w:val="none"/>
                <w:lang w:eastAsia="zh-CN"/>
              </w:rPr>
              <w:t>36667540</w:t>
            </w:r>
          </w:p>
          <w:p>
            <w:pPr>
              <w:spacing w:after="60" w:line="400" w:lineRule="exact"/>
              <w:rPr>
                <w:rFonts w:ascii="仿宋" w:hAnsi="仿宋" w:eastAsia="仿宋"/>
                <w:color w:val="auto"/>
                <w:kern w:val="0"/>
                <w:szCs w:val="21"/>
                <w:highlight w:val="none"/>
              </w:rPr>
            </w:pPr>
            <w:r>
              <w:rPr>
                <w:rFonts w:hint="eastAsia" w:ascii="仿宋" w:hAnsi="仿宋" w:eastAsia="仿宋"/>
                <w:color w:val="auto"/>
                <w:szCs w:val="21"/>
                <w:highlight w:val="none"/>
              </w:rPr>
              <w:t>（二）</w:t>
            </w:r>
            <w:r>
              <w:rPr>
                <w:rFonts w:hint="eastAsia" w:ascii="仿宋" w:hAnsi="仿宋" w:eastAsia="仿宋"/>
                <w:color w:val="auto"/>
                <w:kern w:val="0"/>
                <w:szCs w:val="21"/>
                <w:highlight w:val="none"/>
              </w:rPr>
              <w:t>采购代理机构信息</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名      称： 友和保险经纪有限公司</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地      址： 深圳市福田区福强路3030号福田体育公园西北角友和招标代理服务中心（靠近北门）</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联  系  人： 李恒慧</w:t>
            </w:r>
          </w:p>
          <w:p>
            <w:pPr>
              <w:spacing w:after="60" w:line="40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电      话： 0755-83881283</w:t>
            </w:r>
          </w:p>
        </w:tc>
      </w:tr>
    </w:tbl>
    <w:p>
      <w:pPr>
        <w:adjustRightInd w:val="0"/>
        <w:snapToGrid w:val="0"/>
        <w:spacing w:line="360" w:lineRule="auto"/>
        <w:ind w:firstLine="420" w:firstLineChars="200"/>
        <w:jc w:val="right"/>
        <w:rPr>
          <w:rFonts w:ascii="仿宋" w:hAnsi="仿宋" w:eastAsia="仿宋"/>
          <w:color w:val="auto"/>
          <w:szCs w:val="21"/>
          <w:highlight w:val="none"/>
        </w:rPr>
      </w:pPr>
    </w:p>
    <w:p>
      <w:pPr>
        <w:wordWrap w:val="0"/>
        <w:adjustRightInd w:val="0"/>
        <w:snapToGrid w:val="0"/>
        <w:spacing w:line="360" w:lineRule="auto"/>
        <w:ind w:firstLine="420" w:firstLineChars="200"/>
        <w:jc w:val="right"/>
        <w:rPr>
          <w:rFonts w:ascii="仿宋" w:hAnsi="仿宋" w:eastAsia="仿宋"/>
          <w:color w:val="auto"/>
          <w:szCs w:val="21"/>
          <w:highlight w:val="none"/>
        </w:rPr>
      </w:pPr>
      <w:r>
        <w:rPr>
          <w:rFonts w:hint="eastAsia" w:ascii="仿宋" w:hAnsi="仿宋" w:eastAsia="仿宋"/>
          <w:color w:val="auto"/>
          <w:szCs w:val="21"/>
          <w:highlight w:val="none"/>
        </w:rPr>
        <w:t xml:space="preserve">           </w:t>
      </w:r>
      <w:r>
        <w:rPr>
          <w:rFonts w:hint="eastAsia" w:ascii="仿宋" w:hAnsi="仿宋" w:eastAsia="仿宋"/>
          <w:color w:val="auto"/>
          <w:szCs w:val="21"/>
          <w:highlight w:val="none"/>
          <w:lang w:val="en-US" w:eastAsia="zh-CN"/>
        </w:rPr>
        <w:t xml:space="preserve">      </w:t>
      </w:r>
      <w:bookmarkStart w:id="26" w:name="_GoBack"/>
      <w:bookmarkEnd w:id="26"/>
      <w:r>
        <w:rPr>
          <w:rFonts w:hint="eastAsia" w:ascii="仿宋" w:hAnsi="仿宋" w:eastAsia="仿宋"/>
          <w:color w:val="auto"/>
          <w:szCs w:val="21"/>
          <w:highlight w:val="none"/>
        </w:rPr>
        <w:t>深圳市前海深管理局</w:t>
      </w:r>
      <w:r>
        <w:rPr>
          <w:rFonts w:ascii="仿宋" w:hAnsi="仿宋" w:eastAsia="仿宋"/>
          <w:color w:val="auto"/>
          <w:szCs w:val="21"/>
          <w:highlight w:val="none"/>
        </w:rPr>
        <w:tab/>
      </w:r>
      <w:r>
        <w:rPr>
          <w:rFonts w:ascii="仿宋" w:hAnsi="仿宋" w:eastAsia="仿宋"/>
          <w:color w:val="auto"/>
          <w:szCs w:val="21"/>
          <w:highlight w:val="none"/>
        </w:rPr>
        <w:tab/>
      </w:r>
    </w:p>
    <w:p>
      <w:pPr>
        <w:adjustRightInd w:val="0"/>
        <w:snapToGrid w:val="0"/>
        <w:spacing w:line="360" w:lineRule="auto"/>
        <w:ind w:firstLine="420" w:firstLineChars="200"/>
        <w:jc w:val="center"/>
        <w:rPr>
          <w:rFonts w:hint="default" w:ascii="仿宋" w:hAnsi="仿宋" w:eastAsia="仿宋"/>
          <w:color w:val="auto"/>
          <w:sz w:val="24"/>
          <w:highlight w:val="none"/>
          <w:lang w:val="en-US" w:eastAsia="zh-CN"/>
        </w:rPr>
      </w:pPr>
      <w:r>
        <w:rPr>
          <w:rFonts w:hint="eastAsia" w:ascii="仿宋" w:hAnsi="仿宋" w:eastAsia="仿宋"/>
          <w:color w:val="auto"/>
          <w:szCs w:val="21"/>
          <w:highlight w:val="none"/>
          <w:lang w:val="en-US" w:eastAsia="zh-CN"/>
        </w:rPr>
        <w:t xml:space="preserve">                                               2022年3月16日</w:t>
      </w:r>
    </w:p>
    <w:p>
      <w:pPr>
        <w:adjustRightInd w:val="0"/>
        <w:snapToGrid w:val="0"/>
        <w:spacing w:line="360" w:lineRule="auto"/>
        <w:ind w:firstLine="480" w:firstLineChars="200"/>
        <w:jc w:val="right"/>
        <w:rPr>
          <w:rFonts w:ascii="仿宋" w:hAnsi="仿宋" w:eastAsia="仿宋"/>
          <w:color w:val="auto"/>
          <w:sz w:val="24"/>
          <w:highlight w:val="none"/>
        </w:rPr>
      </w:pPr>
    </w:p>
    <w:p>
      <w:pPr>
        <w:adjustRightInd w:val="0"/>
        <w:snapToGrid w:val="0"/>
        <w:spacing w:line="360" w:lineRule="auto"/>
        <w:ind w:firstLine="480" w:firstLineChars="200"/>
        <w:jc w:val="right"/>
        <w:rPr>
          <w:rFonts w:ascii="仿宋" w:hAnsi="仿宋" w:eastAsia="仿宋"/>
          <w:color w:val="auto"/>
          <w:sz w:val="24"/>
          <w:highlight w:val="none"/>
        </w:rPr>
      </w:pPr>
    </w:p>
    <w:p>
      <w:pPr>
        <w:pStyle w:val="3"/>
        <w:rPr>
          <w:rFonts w:ascii="仿宋" w:hAnsi="仿宋" w:eastAsia="仿宋"/>
          <w:color w:val="auto"/>
          <w:sz w:val="36"/>
          <w:highlight w:val="none"/>
        </w:rPr>
      </w:pPr>
      <w:r>
        <w:rPr>
          <w:rFonts w:hint="eastAsia" w:ascii="仿宋" w:hAnsi="仿宋" w:eastAsia="仿宋"/>
          <w:color w:val="auto"/>
          <w:sz w:val="36"/>
          <w:highlight w:val="none"/>
        </w:rPr>
        <w:br w:type="page"/>
      </w:r>
      <w:r>
        <w:rPr>
          <w:rFonts w:hint="eastAsia" w:ascii="仿宋" w:hAnsi="仿宋" w:eastAsia="仿宋"/>
          <w:color w:val="auto"/>
          <w:sz w:val="36"/>
          <w:highlight w:val="none"/>
        </w:rPr>
        <w:t>投标文件初审表</w:t>
      </w:r>
    </w:p>
    <w:p>
      <w:pPr>
        <w:jc w:val="center"/>
        <w:rPr>
          <w:rFonts w:ascii="仿宋" w:hAnsi="仿宋" w:eastAsia="仿宋"/>
          <w:b/>
          <w:color w:val="auto"/>
          <w:highlight w:val="none"/>
        </w:rPr>
      </w:pPr>
      <w:r>
        <w:rPr>
          <w:rFonts w:hint="eastAsia" w:ascii="仿宋" w:hAnsi="仿宋" w:eastAsia="仿宋"/>
          <w:b/>
          <w:color w:val="auto"/>
          <w:highlight w:val="none"/>
        </w:rPr>
        <w:t>（凡有下列情形之一的，投标文件无效，投标作废标处理）</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tcPr>
          <w:p>
            <w:pPr>
              <w:jc w:val="center"/>
              <w:rPr>
                <w:rFonts w:ascii="仿宋" w:hAnsi="仿宋" w:eastAsia="仿宋"/>
                <w:color w:val="auto"/>
                <w:highlight w:val="none"/>
              </w:rPr>
            </w:pPr>
            <w:r>
              <w:rPr>
                <w:rFonts w:hint="eastAsia" w:ascii="仿宋" w:hAnsi="仿宋" w:eastAsia="仿宋"/>
                <w:color w:val="auto"/>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1</w:t>
            </w:r>
          </w:p>
        </w:tc>
        <w:tc>
          <w:tcPr>
            <w:tcW w:w="7108" w:type="dxa"/>
            <w:noWrap/>
          </w:tcPr>
          <w:p>
            <w:pPr>
              <w:rPr>
                <w:rFonts w:ascii="仿宋" w:hAnsi="仿宋" w:eastAsia="仿宋"/>
                <w:color w:val="auto"/>
                <w:highlight w:val="none"/>
              </w:rPr>
            </w:pPr>
            <w:r>
              <w:rPr>
                <w:rFonts w:hint="eastAsia" w:ascii="仿宋" w:hAnsi="仿宋" w:eastAsia="仿宋"/>
                <w:color w:val="auto"/>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ign w:val="center"/>
          </w:tcPr>
          <w:p>
            <w:pPr>
              <w:jc w:val="center"/>
              <w:rPr>
                <w:rFonts w:ascii="仿宋" w:hAnsi="仿宋" w:eastAsia="仿宋"/>
                <w:color w:val="auto"/>
                <w:highlight w:val="none"/>
              </w:rPr>
            </w:pPr>
            <w:r>
              <w:rPr>
                <w:rFonts w:hint="eastAsia" w:ascii="仿宋" w:hAnsi="仿宋" w:eastAsia="仿宋"/>
                <w:color w:val="auto"/>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2</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3</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4</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5</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分项报价或投标总价高于预算金额（最高投标限价）的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hint="eastAsia" w:ascii="仿宋" w:hAnsi="仿宋" w:eastAsia="仿宋"/>
                <w:color w:val="auto"/>
                <w:highlight w:val="none"/>
              </w:rPr>
              <w:t>6</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hint="eastAsia" w:ascii="仿宋" w:hAnsi="仿宋" w:eastAsia="仿宋"/>
                <w:color w:val="auto"/>
                <w:highlight w:val="none"/>
              </w:rPr>
              <w:t>7</w:t>
            </w:r>
          </w:p>
        </w:tc>
        <w:tc>
          <w:tcPr>
            <w:tcW w:w="7108" w:type="dxa"/>
            <w:noWrap/>
            <w:vAlign w:val="center"/>
          </w:tcPr>
          <w:p>
            <w:pPr>
              <w:jc w:val="center"/>
              <w:rPr>
                <w:rFonts w:ascii="仿宋" w:hAnsi="仿宋" w:eastAsia="仿宋"/>
                <w:color w:val="auto"/>
                <w:highlight w:val="none"/>
              </w:rPr>
            </w:pPr>
            <w:r>
              <w:rPr>
                <w:rFonts w:hint="eastAsia" w:ascii="仿宋" w:hAnsi="仿宋" w:eastAsia="仿宋"/>
                <w:color w:val="auto"/>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8</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9</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未按招标文件附件所提供的样式和要求完整填写投标文件的，以及未按招标文件要求详细填报材料、品牌、型号的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ascii="仿宋" w:hAnsi="仿宋" w:eastAsia="仿宋"/>
                <w:color w:val="auto"/>
                <w:highlight w:val="none"/>
              </w:rPr>
              <w:t>10</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未按招标文件要求填写《用户需求响应表》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1</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auto"/>
                <w:highlight w:val="none"/>
              </w:rPr>
            </w:pPr>
            <w:r>
              <w:rPr>
                <w:rFonts w:hint="eastAsia" w:ascii="仿宋" w:hAnsi="仿宋" w:eastAsia="仿宋"/>
                <w:color w:val="auto"/>
                <w:highlight w:val="none"/>
              </w:rPr>
              <w:t>12</w:t>
            </w:r>
          </w:p>
        </w:tc>
        <w:tc>
          <w:tcPr>
            <w:tcW w:w="7108" w:type="dxa"/>
            <w:noWrap/>
            <w:vAlign w:val="center"/>
          </w:tcPr>
          <w:p>
            <w:pPr>
              <w:rPr>
                <w:rFonts w:ascii="仿宋" w:hAnsi="仿宋" w:eastAsia="仿宋"/>
                <w:color w:val="auto"/>
                <w:highlight w:val="none"/>
              </w:rPr>
            </w:pPr>
            <w:r>
              <w:rPr>
                <w:rFonts w:hint="eastAsia" w:ascii="仿宋" w:hAnsi="仿宋" w:eastAsia="仿宋"/>
                <w:color w:val="auto"/>
                <w:highlight w:val="none"/>
              </w:rPr>
              <w:t>法律、法规规定的其他情形</w:t>
            </w:r>
          </w:p>
        </w:tc>
      </w:tr>
    </w:tbl>
    <w:p>
      <w:pPr>
        <w:rPr>
          <w:rFonts w:ascii="仿宋" w:hAnsi="仿宋" w:eastAsia="仿宋"/>
          <w:color w:val="auto"/>
          <w:highlight w:val="none"/>
        </w:rPr>
      </w:pPr>
    </w:p>
    <w:p>
      <w:pPr>
        <w:pStyle w:val="3"/>
        <w:rPr>
          <w:color w:val="auto"/>
          <w:highlight w:val="none"/>
        </w:rPr>
      </w:pPr>
      <w:r>
        <w:rPr>
          <w:rFonts w:hint="eastAsia"/>
          <w:color w:val="auto"/>
          <w:sz w:val="24"/>
          <w:highlight w:val="none"/>
        </w:rPr>
        <w:br w:type="page"/>
      </w:r>
      <w:r>
        <w:rPr>
          <w:rFonts w:hint="eastAsia"/>
          <w:color w:val="auto"/>
          <w:highlight w:val="none"/>
        </w:rPr>
        <w:t>第二章 投标须知</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1.本项目是深圳市前海深港现代服务业合作区管理局的《2022年度“一带一路”法治地图</w:t>
      </w:r>
      <w:r>
        <w:rPr>
          <w:rFonts w:hint="eastAsia" w:ascii="仿宋" w:hAnsi="仿宋" w:eastAsia="仿宋"/>
          <w:color w:val="auto"/>
          <w:szCs w:val="21"/>
          <w:highlight w:val="none"/>
          <w:lang w:eastAsia="zh-CN"/>
        </w:rPr>
        <w:t>运营维护更新</w:t>
      </w:r>
      <w:r>
        <w:rPr>
          <w:rFonts w:hint="eastAsia" w:ascii="仿宋" w:hAnsi="仿宋" w:eastAsia="仿宋"/>
          <w:color w:val="auto"/>
          <w:szCs w:val="21"/>
          <w:highlight w:val="none"/>
        </w:rPr>
        <w:t>项目》项目。</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2.本项目不属于深圳市20</w:t>
      </w:r>
      <w:r>
        <w:rPr>
          <w:rFonts w:ascii="仿宋" w:hAnsi="仿宋" w:eastAsia="仿宋"/>
          <w:color w:val="auto"/>
          <w:szCs w:val="21"/>
          <w:highlight w:val="none"/>
        </w:rPr>
        <w:t>2</w:t>
      </w:r>
      <w:r>
        <w:rPr>
          <w:rFonts w:hint="default" w:ascii="仿宋" w:hAnsi="仿宋" w:eastAsia="仿宋"/>
          <w:color w:val="auto"/>
          <w:szCs w:val="21"/>
          <w:highlight w:val="none"/>
        </w:rPr>
        <w:t>2</w:t>
      </w:r>
      <w:r>
        <w:rPr>
          <w:rFonts w:hint="eastAsia" w:ascii="仿宋" w:hAnsi="仿宋" w:eastAsia="仿宋"/>
          <w:color w:val="auto"/>
          <w:szCs w:val="21"/>
          <w:highlight w:val="none"/>
        </w:rPr>
        <w:t>年集中采购目录，根据《中华人民共和国政府采购法》、《深圳经济特区采购条例》的有关规定，深圳市前海深港现代服务业合作区管理局自行组织采购，本次采购公开征集供应商，报名的供应商在两家或两家以上，采用综合评分法的方式进行。</w:t>
      </w:r>
      <w:r>
        <w:rPr>
          <w:rFonts w:hint="eastAsia" w:ascii="仿宋" w:hAnsi="仿宋" w:eastAsia="仿宋"/>
          <w:b/>
          <w:bCs/>
          <w:color w:val="auto"/>
          <w:szCs w:val="21"/>
          <w:highlight w:val="none"/>
        </w:rPr>
        <w:t>如参与投标且符合招标文件要求的供应商仅有一家，评审委员会应与投标供应商进行谈判，原则上成交价应为最初报价的95%。</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3.本项目根据项目的实际情况，公开征集符合投标人资格的供应商。请各供应商根据本文件的要求，准备</w:t>
      </w:r>
      <w:r>
        <w:rPr>
          <w:rFonts w:hint="eastAsia" w:ascii="仿宋" w:hAnsi="仿宋" w:eastAsia="仿宋"/>
          <w:color w:val="auto"/>
          <w:szCs w:val="21"/>
          <w:highlight w:val="none"/>
          <w:u w:val="single"/>
        </w:rPr>
        <w:t>一正五副（电子版为电子光盘或者U盘）</w:t>
      </w:r>
      <w:r>
        <w:rPr>
          <w:rFonts w:hint="eastAsia" w:ascii="仿宋" w:hAnsi="仿宋" w:eastAsia="仿宋"/>
          <w:color w:val="auto"/>
          <w:szCs w:val="21"/>
          <w:highlight w:val="none"/>
        </w:rPr>
        <w:t>完备的资料进行投标。</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4.本招标文件已对本次采购项目的商务条件和货物或服务的质量、技术要求、成果要求、交货要求等作出了明确的规定，投标供应商要做好述标的准备工作（如需）。</w:t>
      </w:r>
    </w:p>
    <w:p>
      <w:pPr>
        <w:spacing w:after="78" w:afterLines="25" w:line="30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5.响应文件要包括如下内容：（投标人按照项目实际内容自行调整）</w:t>
      </w:r>
    </w:p>
    <w:p>
      <w:pPr>
        <w:numPr>
          <w:ilvl w:val="0"/>
          <w:numId w:val="1"/>
        </w:numPr>
        <w:spacing w:after="78" w:afterLines="25" w:line="360" w:lineRule="auto"/>
        <w:ind w:left="1468"/>
        <w:outlineLvl w:val="2"/>
        <w:rPr>
          <w:rFonts w:ascii="仿宋" w:hAnsi="仿宋" w:eastAsia="仿宋" w:cs="Arial"/>
          <w:color w:val="auto"/>
          <w:szCs w:val="21"/>
          <w:highlight w:val="none"/>
        </w:rPr>
      </w:pPr>
      <w:r>
        <w:rPr>
          <w:rFonts w:hint="eastAsia" w:ascii="仿宋" w:hAnsi="仿宋" w:eastAsia="仿宋"/>
          <w:color w:val="auto"/>
          <w:szCs w:val="21"/>
          <w:highlight w:val="none"/>
        </w:rPr>
        <w:t>投标人《营业执照》或法人证书正本复印件（加盖公章）</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rPr>
        <w:t>法定代表人证明书、法定代表人授权书及身份证复印件（加盖公章）</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lang w:eastAsia="zh-CN"/>
        </w:rPr>
        <w:t>投标响应书</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rPr>
        <w:t>项目分项清单及报价</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rPr>
        <w:t>公司情况说明书</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项目负责人</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项目团队实力（项目负责人除外）</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合作机构</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同类业绩情况</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域外法律查明实务经验</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机构社会声誉</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szCs w:val="21"/>
          <w:highlight w:val="none"/>
          <w:lang w:bidi="ar"/>
        </w:rPr>
        <w:t>投标人诚信评价</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s="Times New Roman"/>
          <w:color w:val="auto"/>
          <w:kern w:val="2"/>
          <w:sz w:val="21"/>
          <w:szCs w:val="21"/>
          <w:highlight w:val="none"/>
          <w:lang w:val="zh-CN" w:bidi="ar"/>
        </w:rPr>
        <w:t>对项目需求的理解和响应</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olor w:val="auto"/>
          <w:kern w:val="2"/>
          <w:sz w:val="21"/>
          <w:szCs w:val="21"/>
          <w:highlight w:val="none"/>
          <w:lang w:val="zh-CN" w:bidi="ar"/>
        </w:rPr>
        <w:t>工作安排科学性</w:t>
      </w:r>
    </w:p>
    <w:p>
      <w:pPr>
        <w:numPr>
          <w:ilvl w:val="0"/>
          <w:numId w:val="1"/>
        </w:numPr>
        <w:spacing w:after="78" w:afterLines="25" w:line="360" w:lineRule="auto"/>
        <w:ind w:left="1468"/>
        <w:outlineLvl w:val="2"/>
        <w:rPr>
          <w:rFonts w:hint="eastAsia" w:ascii="仿宋" w:hAnsi="仿宋" w:eastAsia="仿宋"/>
          <w:color w:val="auto"/>
          <w:szCs w:val="21"/>
          <w:highlight w:val="none"/>
        </w:rPr>
      </w:pPr>
      <w:r>
        <w:rPr>
          <w:rFonts w:hint="eastAsia" w:ascii="仿宋" w:hAnsi="仿宋" w:eastAsia="仿宋"/>
          <w:color w:val="auto"/>
          <w:kern w:val="2"/>
          <w:sz w:val="21"/>
          <w:szCs w:val="21"/>
          <w:highlight w:val="none"/>
          <w:lang w:val="zh-CN" w:bidi="ar"/>
        </w:rPr>
        <w:t>合理化建议</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rPr>
        <w:t>用户需求响应表</w:t>
      </w:r>
    </w:p>
    <w:p>
      <w:pPr>
        <w:numPr>
          <w:ilvl w:val="0"/>
          <w:numId w:val="1"/>
        </w:numPr>
        <w:spacing w:after="78" w:afterLines="25" w:line="360" w:lineRule="auto"/>
        <w:ind w:left="1468"/>
        <w:outlineLvl w:val="2"/>
        <w:rPr>
          <w:rFonts w:ascii="仿宋" w:hAnsi="仿宋" w:eastAsia="仿宋"/>
          <w:color w:val="auto"/>
          <w:szCs w:val="21"/>
          <w:highlight w:val="none"/>
        </w:rPr>
      </w:pPr>
      <w:r>
        <w:rPr>
          <w:rFonts w:hint="eastAsia" w:ascii="仿宋" w:hAnsi="仿宋" w:eastAsia="仿宋"/>
          <w:color w:val="auto"/>
          <w:szCs w:val="21"/>
          <w:highlight w:val="none"/>
        </w:rPr>
        <w:t>招标文件要求提供的其它文件</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6.项目的报价要求。</w:t>
      </w:r>
      <w:r>
        <w:rPr>
          <w:rFonts w:hint="eastAsia" w:ascii="仿宋" w:hAnsi="仿宋" w:eastAsia="仿宋" w:cs="Arial"/>
          <w:color w:val="auto"/>
          <w:szCs w:val="21"/>
          <w:highlight w:val="none"/>
        </w:rPr>
        <w:t>投标报价以人民币报价，为综合报价，报价应包括各项服务内容、税费</w:t>
      </w:r>
      <w:r>
        <w:rPr>
          <w:rFonts w:hint="eastAsia" w:ascii="仿宋" w:hAnsi="仿宋" w:eastAsia="仿宋"/>
          <w:color w:val="auto"/>
          <w:szCs w:val="21"/>
          <w:highlight w:val="none"/>
        </w:rPr>
        <w:t>及与本项目有关的一切费用的总价。</w:t>
      </w:r>
    </w:p>
    <w:p>
      <w:pPr>
        <w:spacing w:line="360" w:lineRule="auto"/>
        <w:ind w:firstLine="420" w:firstLineChars="200"/>
        <w:rPr>
          <w:rFonts w:ascii="仿宋" w:hAnsi="仿宋" w:eastAsia="仿宋"/>
          <w:b/>
          <w:color w:val="auto"/>
          <w:szCs w:val="21"/>
          <w:highlight w:val="none"/>
        </w:rPr>
      </w:pPr>
      <w:r>
        <w:rPr>
          <w:rFonts w:hint="eastAsia" w:ascii="仿宋" w:hAnsi="仿宋" w:eastAsia="仿宋"/>
          <w:color w:val="auto"/>
          <w:szCs w:val="21"/>
          <w:highlight w:val="none"/>
        </w:rPr>
        <w:t>7.</w:t>
      </w:r>
      <w:r>
        <w:rPr>
          <w:rFonts w:hint="eastAsia" w:ascii="仿宋" w:hAnsi="仿宋" w:eastAsia="仿宋"/>
          <w:bCs/>
          <w:color w:val="auto"/>
          <w:szCs w:val="21"/>
          <w:highlight w:val="none"/>
        </w:rPr>
        <w:t>采购人会对本次招标的项目确定一个最高限价，最终成交价格超出最高限价将会被当作无效投标处理。</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8.参加投标的供应商</w:t>
      </w:r>
      <w:r>
        <w:rPr>
          <w:rFonts w:hint="eastAsia" w:ascii="仿宋" w:hAnsi="仿宋" w:eastAsia="仿宋"/>
          <w:color w:val="auto"/>
          <w:szCs w:val="21"/>
          <w:highlight w:val="none"/>
          <w:lang w:eastAsia="zh-CN"/>
        </w:rPr>
        <w:t>如</w:t>
      </w:r>
      <w:r>
        <w:rPr>
          <w:rFonts w:hint="eastAsia" w:ascii="仿宋" w:hAnsi="仿宋" w:eastAsia="仿宋"/>
          <w:color w:val="auto"/>
          <w:szCs w:val="21"/>
          <w:highlight w:val="none"/>
        </w:rPr>
        <w:t>需在现场述标时，要派出熟悉本项目情况的项目负责人和对报价有决策权的代表参加，谈判代表要有法人代表的授权。</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9.采购人有权根据项目的实际情况提出质量标准、服务标准、交货标准、交货时间、验收方式、付款方式、履约保证、价格等方面的要求，并就这些内容进行谈判，所有供应商都在同一标准下进行谈判。</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10.本次采购凡涉及知识产权问题，由项目供应商负责。</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11.采购人将组成评审委员会，评审工作由评审委员会独立负责。</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12.供应商应在规定的时间内提交投标文件，如需现场谈判，供应商代表代表必须在评标半小时内到达定标现场（如需）。</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13.如评审委员会需与两名或以上供应商代表进行现场谈判，谈判次序按签到次序安排。</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14.供应商在谈判时由投标授权人与评审委员会进行谈判。</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15.供应商不得将本项目转包给其他人。</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16.所有的谈判内容都必须保密。</w:t>
      </w:r>
    </w:p>
    <w:p>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17.评审委员会将根据供应商的供货能力、服务能力、货物的质量、是否满足本次采购的商务条件、报价等方面的情况进行综合评价，由评审委员会确定符合本次采购要求的供应商，并确定项目成交人。</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18.招标代理服务收费：</w:t>
      </w:r>
    </w:p>
    <w:p>
      <w:pPr>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按《深圳市财政委员会关于规范深圳市社会采购代理机构管理有关事项的补充通知》（深财购〔2018〕27号）文件中的指导意见收取，招标代理服务费以中标金额为基数、按差额定率累进法计算后，减去每个项目1500元专家评审费（500元*3人）计取。如计算完服务费低于3000元按3000元收取。中标人须在中标公告公示期结束后，领取《中标通知书》前，向招标（采购）代理机构缴纳招标代理服务费。具体计取费率标准如下表所示：</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1835"/>
        <w:gridCol w:w="1747"/>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10" w:type="dxa"/>
            <w:vMerge w:val="restart"/>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中标金额</w:t>
            </w:r>
          </w:p>
        </w:tc>
        <w:tc>
          <w:tcPr>
            <w:tcW w:w="5470" w:type="dxa"/>
            <w:gridSpan w:val="3"/>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110" w:type="dxa"/>
            <w:vMerge w:val="continue"/>
            <w:vAlign w:val="center"/>
          </w:tcPr>
          <w:p>
            <w:pPr>
              <w:jc w:val="center"/>
              <w:rPr>
                <w:rFonts w:ascii="仿宋" w:hAnsi="仿宋" w:eastAsia="仿宋" w:cs="仿宋"/>
                <w:color w:val="auto"/>
                <w:szCs w:val="21"/>
                <w:highlight w:val="none"/>
              </w:rPr>
            </w:pPr>
          </w:p>
        </w:tc>
        <w:tc>
          <w:tcPr>
            <w:tcW w:w="1835"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货物招标</w:t>
            </w:r>
          </w:p>
        </w:tc>
        <w:tc>
          <w:tcPr>
            <w:tcW w:w="174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服务招标</w:t>
            </w:r>
          </w:p>
        </w:tc>
        <w:tc>
          <w:tcPr>
            <w:tcW w:w="18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100万元（含）-500万元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500万元（含）-1000万元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1000万元（含）-5000万元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5000万元（含）-1亿元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0.25%</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0.1%</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1亿元（含）-5亿元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5亿元（含）-10亿元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10亿元（含）-50亿元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50亿元（含）-100亿元</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10"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100亿元（含）以上</w:t>
            </w:r>
          </w:p>
        </w:tc>
        <w:tc>
          <w:tcPr>
            <w:tcW w:w="1835"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747"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888" w:type="dxa"/>
            <w:vAlign w:val="center"/>
          </w:tcPr>
          <w:p>
            <w:pPr>
              <w:adjustRightInd w:val="0"/>
              <w:snapToGrid w:val="0"/>
              <w:ind w:right="28"/>
              <w:jc w:val="center"/>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pPr>
        <w:spacing w:line="5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招标代理服务费缴纳至：</w:t>
      </w:r>
    </w:p>
    <w:p>
      <w:pPr>
        <w:spacing w:line="5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开户名称：友和保险经纪有限公司</w:t>
      </w:r>
    </w:p>
    <w:p>
      <w:pPr>
        <w:spacing w:line="5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银行帐号：中国民生银行深圳分行福田支行</w:t>
      </w:r>
    </w:p>
    <w:p>
      <w:pPr>
        <w:spacing w:line="5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开户银行：1806014170017592</w:t>
      </w:r>
    </w:p>
    <w:p>
      <w:pPr>
        <w:pStyle w:val="9"/>
        <w:ind w:firstLine="420"/>
        <w:rPr>
          <w:color w:val="auto"/>
          <w:highlight w:val="none"/>
        </w:rPr>
      </w:pPr>
    </w:p>
    <w:p>
      <w:pPr>
        <w:spacing w:line="360" w:lineRule="auto"/>
        <w:rPr>
          <w:rFonts w:ascii="仿宋" w:hAnsi="仿宋" w:eastAsia="仿宋"/>
          <w:b/>
          <w:bCs/>
          <w:color w:val="auto"/>
          <w:sz w:val="32"/>
          <w:highlight w:val="none"/>
        </w:rPr>
      </w:pPr>
    </w:p>
    <w:p>
      <w:pPr>
        <w:rPr>
          <w:color w:val="auto"/>
          <w:highlight w:val="none"/>
        </w:rPr>
      </w:pPr>
      <w:r>
        <w:rPr>
          <w:rFonts w:hint="eastAsia"/>
          <w:color w:val="auto"/>
          <w:highlight w:val="none"/>
        </w:rPr>
        <w:br w:type="page"/>
      </w:r>
    </w:p>
    <w:p>
      <w:pPr>
        <w:pStyle w:val="3"/>
        <w:rPr>
          <w:color w:val="auto"/>
          <w:highlight w:val="none"/>
        </w:rPr>
      </w:pPr>
      <w:bookmarkStart w:id="0" w:name="_Toc30452"/>
      <w:r>
        <w:rPr>
          <w:rFonts w:hint="eastAsia"/>
          <w:color w:val="auto"/>
          <w:highlight w:val="none"/>
        </w:rPr>
        <w:t>第三章 评标程序</w:t>
      </w:r>
      <w:bookmarkEnd w:id="0"/>
    </w:p>
    <w:p>
      <w:pPr>
        <w:pStyle w:val="17"/>
        <w:ind w:firstLine="0"/>
        <w:rPr>
          <w:color w:val="auto"/>
          <w:highlight w:val="none"/>
        </w:rPr>
      </w:pP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一、依法成立评审委员会。评审委员会由前海管理局组织相关工作人员或有关专家不少于三人的单数组成，评审委员会在开标开始前一天组成。</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二、参加会议人员：评审委员会成员、机关纪委工作人员、项目负责人代表、招标代理工作人员、投标人代表（如需）。</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三、会议主持人：友和保险经纪有限公司工作人员。</w:t>
      </w:r>
    </w:p>
    <w:p>
      <w:pPr>
        <w:spacing w:line="400" w:lineRule="exact"/>
        <w:ind w:firstLine="420" w:firstLineChars="200"/>
        <w:rPr>
          <w:rFonts w:ascii="仿宋" w:hAnsi="仿宋" w:eastAsia="仿宋" w:cs="仿宋"/>
          <w:b/>
          <w:bCs/>
          <w:color w:val="auto"/>
          <w:szCs w:val="21"/>
          <w:highlight w:val="none"/>
        </w:rPr>
      </w:pPr>
      <w:r>
        <w:rPr>
          <w:rFonts w:hint="eastAsia" w:ascii="仿宋" w:hAnsi="仿宋" w:eastAsia="仿宋" w:cs="仿宋"/>
          <w:color w:val="auto"/>
          <w:szCs w:val="21"/>
          <w:highlight w:val="none"/>
        </w:rPr>
        <w:t>四、</w:t>
      </w:r>
      <w:r>
        <w:rPr>
          <w:rFonts w:hint="eastAsia" w:ascii="仿宋" w:hAnsi="仿宋" w:eastAsia="仿宋" w:cs="仿宋"/>
          <w:b/>
          <w:bCs/>
          <w:color w:val="auto"/>
          <w:szCs w:val="21"/>
          <w:highlight w:val="none"/>
        </w:rPr>
        <w:t>开标时间：</w:t>
      </w:r>
      <w:r>
        <w:rPr>
          <w:rFonts w:hint="eastAsia" w:ascii="仿宋" w:hAnsi="仿宋" w:eastAsia="仿宋" w:cs="仿宋"/>
          <w:b/>
          <w:bCs/>
          <w:color w:val="auto"/>
          <w:kern w:val="0"/>
          <w:szCs w:val="21"/>
          <w:highlight w:val="none"/>
        </w:rPr>
        <w:t>202</w:t>
      </w:r>
      <w:r>
        <w:rPr>
          <w:rFonts w:hint="default" w:ascii="仿宋" w:hAnsi="仿宋" w:eastAsia="仿宋" w:cs="仿宋"/>
          <w:b/>
          <w:bCs/>
          <w:color w:val="auto"/>
          <w:kern w:val="0"/>
          <w:szCs w:val="21"/>
          <w:highlight w:val="none"/>
        </w:rPr>
        <w:t>2</w:t>
      </w:r>
      <w:r>
        <w:rPr>
          <w:rFonts w:hint="eastAsia" w:ascii="仿宋" w:hAnsi="仿宋" w:eastAsia="仿宋" w:cs="仿宋"/>
          <w:b/>
          <w:bCs/>
          <w:color w:val="auto"/>
          <w:kern w:val="0"/>
          <w:szCs w:val="21"/>
          <w:highlight w:val="none"/>
        </w:rPr>
        <w:t>年</w:t>
      </w:r>
      <w:r>
        <w:rPr>
          <w:rFonts w:hint="eastAsia" w:ascii="仿宋" w:hAnsi="仿宋" w:eastAsia="仿宋" w:cs="仿宋"/>
          <w:b/>
          <w:bCs/>
          <w:color w:val="auto"/>
          <w:kern w:val="0"/>
          <w:szCs w:val="21"/>
          <w:highlight w:val="none"/>
          <w:lang w:val="en-US" w:eastAsia="zh-CN"/>
        </w:rPr>
        <w:t>3</w:t>
      </w:r>
      <w:r>
        <w:rPr>
          <w:rFonts w:hint="eastAsia" w:ascii="仿宋" w:hAnsi="仿宋" w:eastAsia="仿宋" w:cs="仿宋"/>
          <w:b/>
          <w:bCs/>
          <w:color w:val="auto"/>
          <w:kern w:val="0"/>
          <w:szCs w:val="21"/>
          <w:highlight w:val="none"/>
        </w:rPr>
        <w:t>月</w:t>
      </w:r>
      <w:r>
        <w:rPr>
          <w:rFonts w:hint="eastAsia" w:ascii="仿宋" w:hAnsi="仿宋" w:eastAsia="仿宋" w:cs="仿宋"/>
          <w:b/>
          <w:bCs/>
          <w:color w:val="auto"/>
          <w:kern w:val="0"/>
          <w:szCs w:val="21"/>
          <w:highlight w:val="none"/>
          <w:lang w:val="en-US" w:eastAsia="zh-CN"/>
        </w:rPr>
        <w:t>23</w:t>
      </w:r>
      <w:r>
        <w:rPr>
          <w:rFonts w:hint="eastAsia" w:ascii="仿宋" w:hAnsi="仿宋" w:eastAsia="仿宋" w:cs="仿宋"/>
          <w:b/>
          <w:bCs/>
          <w:color w:val="auto"/>
          <w:kern w:val="0"/>
          <w:szCs w:val="21"/>
          <w:highlight w:val="none"/>
        </w:rPr>
        <w:t>日</w:t>
      </w:r>
      <w:r>
        <w:rPr>
          <w:rFonts w:hint="eastAsia" w:ascii="仿宋" w:hAnsi="仿宋" w:eastAsia="仿宋" w:cs="仿宋"/>
          <w:b/>
          <w:bCs/>
          <w:color w:val="auto"/>
          <w:kern w:val="0"/>
          <w:szCs w:val="21"/>
          <w:highlight w:val="none"/>
          <w:lang w:val="en-US" w:eastAsia="zh-CN"/>
        </w:rPr>
        <w:t>上</w:t>
      </w:r>
      <w:r>
        <w:rPr>
          <w:rFonts w:hint="eastAsia" w:ascii="仿宋" w:hAnsi="仿宋" w:eastAsia="仿宋" w:cs="仿宋"/>
          <w:b/>
          <w:bCs/>
          <w:color w:val="auto"/>
          <w:kern w:val="0"/>
          <w:szCs w:val="21"/>
          <w:highlight w:val="none"/>
        </w:rPr>
        <w:t xml:space="preserve">午 </w:t>
      </w:r>
      <w:r>
        <w:rPr>
          <w:rFonts w:hint="eastAsia" w:ascii="仿宋" w:hAnsi="仿宋" w:eastAsia="仿宋" w:cs="仿宋"/>
          <w:b/>
          <w:bCs/>
          <w:color w:val="auto"/>
          <w:kern w:val="0"/>
          <w:szCs w:val="21"/>
          <w:highlight w:val="none"/>
          <w:lang w:val="en-US" w:eastAsia="zh-CN"/>
        </w:rPr>
        <w:t>11</w:t>
      </w: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lang w:val="en-US" w:eastAsia="zh-CN"/>
        </w:rPr>
        <w:t>0</w:t>
      </w:r>
      <w:r>
        <w:rPr>
          <w:rFonts w:hint="eastAsia" w:ascii="仿宋" w:hAnsi="仿宋" w:eastAsia="仿宋" w:cs="仿宋"/>
          <w:b/>
          <w:bCs/>
          <w:color w:val="auto"/>
          <w:kern w:val="0"/>
          <w:szCs w:val="21"/>
          <w:highlight w:val="none"/>
        </w:rPr>
        <w:t>0:00</w:t>
      </w:r>
      <w:r>
        <w:rPr>
          <w:rFonts w:hint="eastAsia" w:ascii="仿宋" w:hAnsi="仿宋" w:eastAsia="仿宋" w:cs="仿宋"/>
          <w:b/>
          <w:bCs/>
          <w:color w:val="auto"/>
          <w:szCs w:val="21"/>
          <w:highlight w:val="none"/>
        </w:rPr>
        <w:t>。</w:t>
      </w:r>
    </w:p>
    <w:p>
      <w:pPr>
        <w:spacing w:line="400" w:lineRule="exact"/>
        <w:ind w:firstLine="422" w:firstLineChars="200"/>
        <w:rPr>
          <w:rFonts w:ascii="仿宋" w:hAnsi="仿宋" w:eastAsia="仿宋" w:cs="仿宋"/>
          <w:color w:val="auto"/>
          <w:szCs w:val="21"/>
          <w:highlight w:val="none"/>
        </w:rPr>
      </w:pPr>
      <w:r>
        <w:rPr>
          <w:rFonts w:hint="eastAsia" w:ascii="仿宋" w:hAnsi="仿宋" w:eastAsia="仿宋" w:cs="仿宋"/>
          <w:b/>
          <w:bCs/>
          <w:color w:val="auto"/>
          <w:szCs w:val="21"/>
          <w:highlight w:val="none"/>
        </w:rPr>
        <w:t>五、会议开始：</w:t>
      </w:r>
      <w:r>
        <w:rPr>
          <w:rFonts w:hint="eastAsia" w:ascii="仿宋" w:hAnsi="仿宋" w:eastAsia="仿宋" w:cs="仿宋"/>
          <w:b/>
          <w:bCs/>
          <w:color w:val="auto"/>
          <w:kern w:val="0"/>
          <w:szCs w:val="21"/>
          <w:highlight w:val="none"/>
        </w:rPr>
        <w:t>202</w:t>
      </w:r>
      <w:r>
        <w:rPr>
          <w:rFonts w:hint="default" w:ascii="仿宋" w:hAnsi="仿宋" w:eastAsia="仿宋" w:cs="仿宋"/>
          <w:b/>
          <w:bCs/>
          <w:color w:val="auto"/>
          <w:kern w:val="0"/>
          <w:szCs w:val="21"/>
          <w:highlight w:val="none"/>
        </w:rPr>
        <w:t>2</w:t>
      </w:r>
      <w:r>
        <w:rPr>
          <w:rFonts w:hint="eastAsia" w:ascii="仿宋" w:hAnsi="仿宋" w:eastAsia="仿宋" w:cs="仿宋"/>
          <w:b/>
          <w:bCs/>
          <w:color w:val="auto"/>
          <w:kern w:val="0"/>
          <w:szCs w:val="21"/>
          <w:highlight w:val="none"/>
        </w:rPr>
        <w:t>年</w:t>
      </w:r>
      <w:r>
        <w:rPr>
          <w:rFonts w:hint="eastAsia" w:ascii="仿宋" w:hAnsi="仿宋" w:eastAsia="仿宋" w:cs="仿宋"/>
          <w:b/>
          <w:bCs/>
          <w:color w:val="auto"/>
          <w:kern w:val="0"/>
          <w:szCs w:val="21"/>
          <w:highlight w:val="none"/>
          <w:lang w:val="en-US" w:eastAsia="zh-CN"/>
        </w:rPr>
        <w:t>3</w:t>
      </w:r>
      <w:r>
        <w:rPr>
          <w:rFonts w:hint="eastAsia" w:ascii="仿宋" w:hAnsi="仿宋" w:eastAsia="仿宋" w:cs="仿宋"/>
          <w:b/>
          <w:bCs/>
          <w:color w:val="auto"/>
          <w:kern w:val="0"/>
          <w:szCs w:val="21"/>
          <w:highlight w:val="none"/>
        </w:rPr>
        <w:t>月</w:t>
      </w:r>
      <w:r>
        <w:rPr>
          <w:rFonts w:hint="eastAsia" w:ascii="仿宋" w:hAnsi="仿宋" w:eastAsia="仿宋" w:cs="仿宋"/>
          <w:b/>
          <w:bCs/>
          <w:color w:val="auto"/>
          <w:kern w:val="0"/>
          <w:szCs w:val="21"/>
          <w:highlight w:val="none"/>
          <w:lang w:val="en-US" w:eastAsia="zh-CN"/>
        </w:rPr>
        <w:t>23</w:t>
      </w:r>
      <w:r>
        <w:rPr>
          <w:rFonts w:hint="eastAsia" w:ascii="仿宋" w:hAnsi="仿宋" w:eastAsia="仿宋" w:cs="仿宋"/>
          <w:b/>
          <w:bCs/>
          <w:color w:val="auto"/>
          <w:kern w:val="0"/>
          <w:szCs w:val="21"/>
          <w:highlight w:val="none"/>
        </w:rPr>
        <w:t>日</w:t>
      </w:r>
      <w:r>
        <w:rPr>
          <w:rFonts w:hint="eastAsia" w:ascii="仿宋" w:hAnsi="仿宋" w:eastAsia="仿宋" w:cs="仿宋"/>
          <w:b/>
          <w:bCs/>
          <w:color w:val="auto"/>
          <w:kern w:val="0"/>
          <w:szCs w:val="21"/>
          <w:highlight w:val="none"/>
          <w:lang w:val="en-US" w:eastAsia="zh-CN"/>
        </w:rPr>
        <w:t>上</w:t>
      </w:r>
      <w:r>
        <w:rPr>
          <w:rFonts w:hint="eastAsia" w:ascii="仿宋" w:hAnsi="仿宋" w:eastAsia="仿宋" w:cs="仿宋"/>
          <w:b/>
          <w:bCs/>
          <w:color w:val="auto"/>
          <w:kern w:val="0"/>
          <w:szCs w:val="21"/>
          <w:highlight w:val="none"/>
        </w:rPr>
        <w:t xml:space="preserve">午 </w:t>
      </w:r>
      <w:r>
        <w:rPr>
          <w:rFonts w:hint="eastAsia" w:ascii="仿宋" w:hAnsi="仿宋" w:eastAsia="仿宋" w:cs="仿宋"/>
          <w:b/>
          <w:bCs/>
          <w:color w:val="auto"/>
          <w:kern w:val="0"/>
          <w:szCs w:val="21"/>
          <w:highlight w:val="none"/>
          <w:lang w:val="en-US" w:eastAsia="zh-CN"/>
        </w:rPr>
        <w:t>11</w:t>
      </w:r>
      <w:r>
        <w:rPr>
          <w:rFonts w:hint="eastAsia" w:ascii="仿宋" w:hAnsi="仿宋" w:eastAsia="仿宋" w:cs="仿宋"/>
          <w:b/>
          <w:bCs/>
          <w:color w:val="auto"/>
          <w:kern w:val="0"/>
          <w:szCs w:val="21"/>
          <w:highlight w:val="none"/>
        </w:rPr>
        <w:t>:</w:t>
      </w:r>
      <w:r>
        <w:rPr>
          <w:rFonts w:hint="eastAsia" w:ascii="仿宋" w:hAnsi="仿宋" w:eastAsia="仿宋" w:cs="仿宋"/>
          <w:b/>
          <w:bCs/>
          <w:color w:val="auto"/>
          <w:kern w:val="0"/>
          <w:szCs w:val="21"/>
          <w:highlight w:val="none"/>
          <w:lang w:val="en-US" w:eastAsia="zh-CN"/>
        </w:rPr>
        <w:t>0</w:t>
      </w:r>
      <w:r>
        <w:rPr>
          <w:rFonts w:hint="eastAsia" w:ascii="仿宋" w:hAnsi="仿宋" w:eastAsia="仿宋" w:cs="仿宋"/>
          <w:b/>
          <w:bCs/>
          <w:color w:val="auto"/>
          <w:kern w:val="0"/>
          <w:szCs w:val="21"/>
          <w:highlight w:val="none"/>
        </w:rPr>
        <w:t>0:00</w:t>
      </w:r>
      <w:r>
        <w:rPr>
          <w:rFonts w:hint="eastAsia" w:ascii="仿宋" w:hAnsi="仿宋" w:eastAsia="仿宋" w:cs="仿宋"/>
          <w:color w:val="auto"/>
          <w:szCs w:val="21"/>
          <w:highlight w:val="none"/>
        </w:rPr>
        <w:t>，由会议主持人宣布定标会议开始。</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六、项目负责代表向监督部门代表送交投标文件，监督部门代表确认投标文件密封完整，未密封投标文件将作为无效投标。</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七、由监督部门代表现场拆封投标文件，并分发给评审委员会成员。</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八、评审委员会审查供应商的投标文件，工作人员记录审查的情况。</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九、评审委员会按以下工作程序进行：</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1.评标委员会对各供应商的投标文件进行初审，对未能通过初审的投标文件作投标无效处理。</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2.对通过初审的供应商的投标文件进行详细的比较和评价。如需要，进行必要的澄清/说明工作。</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3.根据参与投标且符合招标文件要求的供应商数量情况，确定本项目的评审方法。</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4.采用综合评分法的情况：评审委员会将分别对供应商递交的投标文件进行评审。</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（1）评审委员会将根据供应商的服务能力、成果的质量、是否满足本次采购的商务条件、报价等方面的情况进行综合评价，评标委员会依据得分情况推荐综合得分第一名的供应商为第一中标候选人；</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如果二个及以上供应商的综合评分相同时，取投标价格低者。综合评分和投标报价均相同的并列。投标文件满足招标文件全部实质性要求，且按照评审因素的量化指标评审得分最高的供应商为第一的中标候选人。</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5.如参与投标且符合招标文件要求的供应商仅有一家，评审委员会应与投标供应商进行谈判，谈判按以下工作程序进行：</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（1）供应商在谈判时由项目负责人与评审委员会进行谈判；</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b/>
          <w:bCs/>
          <w:color w:val="auto"/>
          <w:szCs w:val="21"/>
          <w:highlight w:val="none"/>
        </w:rPr>
        <w:t>原则上成交价应为最初报价的95%</w:t>
      </w:r>
      <w:r>
        <w:rPr>
          <w:rFonts w:hint="eastAsia" w:ascii="仿宋" w:hAnsi="仿宋" w:eastAsia="仿宋" w:cs="仿宋"/>
          <w:color w:val="auto"/>
          <w:szCs w:val="21"/>
          <w:highlight w:val="none"/>
        </w:rPr>
        <w:t>；</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6.评审委员会按照本项目招标文件中规定的评标方法确定中标供应商。</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十、根据本次采购的结果，十</w:t>
      </w:r>
      <w:r>
        <w:rPr>
          <w:rFonts w:hint="eastAsia" w:ascii="仿宋" w:hAnsi="仿宋" w:eastAsia="仿宋" w:cs="仿宋"/>
          <w:color w:val="auto"/>
          <w:szCs w:val="21"/>
          <w:highlight w:val="none"/>
          <w:lang w:eastAsia="zh-CN"/>
        </w:rPr>
        <w:t>个工作日</w:t>
      </w:r>
      <w:r>
        <w:rPr>
          <w:rFonts w:hint="eastAsia" w:ascii="仿宋" w:hAnsi="仿宋" w:eastAsia="仿宋" w:cs="仿宋"/>
          <w:color w:val="auto"/>
          <w:szCs w:val="21"/>
          <w:highlight w:val="none"/>
        </w:rPr>
        <w:t>内与中标供应商签订合同。</w:t>
      </w:r>
    </w:p>
    <w:p>
      <w:pPr>
        <w:widowControl/>
        <w:jc w:val="left"/>
        <w:rPr>
          <w:rFonts w:ascii="仿宋" w:hAnsi="仿宋" w:eastAsia="仿宋"/>
          <w:color w:val="auto"/>
          <w:sz w:val="24"/>
          <w:highlight w:val="none"/>
        </w:rPr>
      </w:pPr>
      <w:r>
        <w:rPr>
          <w:color w:val="auto"/>
          <w:highlight w:val="none"/>
        </w:rPr>
        <w:br w:type="page"/>
      </w:r>
    </w:p>
    <w:p>
      <w:pPr>
        <w:pStyle w:val="3"/>
        <w:rPr>
          <w:rFonts w:hint="eastAsia" w:ascii="黑体" w:hAnsi="宋体"/>
          <w:b w:val="0"/>
          <w:bCs w:val="0"/>
          <w:color w:val="auto"/>
          <w:sz w:val="28"/>
          <w:szCs w:val="21"/>
          <w:highlight w:val="none"/>
        </w:rPr>
      </w:pPr>
      <w:r>
        <w:rPr>
          <w:rFonts w:hint="eastAsia" w:ascii="黑体" w:hAnsi="宋体"/>
          <w:b w:val="0"/>
          <w:bCs w:val="0"/>
          <w:color w:val="auto"/>
          <w:sz w:val="28"/>
          <w:szCs w:val="21"/>
          <w:highlight w:val="none"/>
        </w:rPr>
        <w:t>第四章 合 同</w:t>
      </w:r>
    </w:p>
    <w:p>
      <w:pPr>
        <w:spacing w:line="360" w:lineRule="auto"/>
        <w:ind w:firstLine="420" w:firstLineChars="200"/>
        <w:rPr>
          <w:rFonts w:ascii="宋体" w:hAnsi="宋体" w:cs="宋体"/>
          <w:szCs w:val="21"/>
          <w:lang w:bidi="ar"/>
        </w:rPr>
      </w:pPr>
      <w:bookmarkStart w:id="1" w:name="?????"/>
      <w:bookmarkEnd w:id="1"/>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甲方：深圳市前海深港现代服务业合作区管理局</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法定代表人：</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地  址：</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乙方：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法定代表人：</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地址：</w:t>
      </w:r>
    </w:p>
    <w:p>
      <w:pPr>
        <w:spacing w:line="360" w:lineRule="auto"/>
        <w:ind w:firstLine="630" w:firstLineChars="3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根据《中华人民共和国</w:t>
      </w:r>
      <w:r>
        <w:rPr>
          <w:rFonts w:hint="eastAsia" w:ascii="仿宋" w:hAnsi="仿宋" w:eastAsia="仿宋" w:cs="仿宋"/>
          <w:szCs w:val="21"/>
          <w:lang w:val="en-US" w:eastAsia="zh-CN" w:bidi="ar"/>
        </w:rPr>
        <w:t>民法典</w:t>
      </w:r>
      <w:r>
        <w:rPr>
          <w:rFonts w:hint="eastAsia" w:ascii="仿宋" w:hAnsi="仿宋" w:eastAsia="仿宋" w:cs="仿宋"/>
          <w:szCs w:val="21"/>
          <w:lang w:bidi="ar"/>
        </w:rPr>
        <w:t>》和《深圳经济特区政府采购条例》等法律、法规的相关规定，以及招标编号为     的中标通知书的有关内容，经友好协商，甲乙双方就甲方委托乙方承担2022年度“一带一路”法治地图</w:t>
      </w:r>
      <w:r>
        <w:rPr>
          <w:rFonts w:hint="eastAsia" w:ascii="仿宋" w:hAnsi="仿宋" w:eastAsia="仿宋" w:cs="仿宋"/>
          <w:szCs w:val="21"/>
          <w:lang w:eastAsia="zh-CN" w:bidi="ar"/>
        </w:rPr>
        <w:t>运营维护更新</w:t>
      </w:r>
      <w:r>
        <w:rPr>
          <w:rFonts w:hint="eastAsia" w:ascii="仿宋" w:hAnsi="仿宋" w:eastAsia="仿宋" w:cs="仿宋"/>
          <w:szCs w:val="21"/>
          <w:lang w:bidi="ar"/>
        </w:rPr>
        <w:t>项目（以下简称“本项目”）工作事宜达成一致，约定如下：</w:t>
      </w:r>
    </w:p>
    <w:p>
      <w:pPr>
        <w:adjustRightInd w:val="0"/>
        <w:snapToGrid w:val="0"/>
        <w:spacing w:line="360" w:lineRule="auto"/>
        <w:ind w:firstLine="315" w:firstLineChars="150"/>
        <w:rPr>
          <w:rFonts w:hint="eastAsia" w:ascii="仿宋" w:hAnsi="仿宋" w:eastAsia="仿宋" w:cs="仿宋"/>
          <w:szCs w:val="21"/>
        </w:rPr>
      </w:pPr>
      <w:r>
        <w:rPr>
          <w:rStyle w:val="46"/>
          <w:rFonts w:hint="eastAsia" w:ascii="仿宋" w:hAnsi="仿宋" w:eastAsia="仿宋" w:cs="仿宋"/>
          <w:szCs w:val="21"/>
          <w:lang w:bidi="ar"/>
        </w:rPr>
        <w:t>一、项目内容及服务要求</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（一）工作内容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1.工作内容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对“一带一路”法治地图微观平台已查明、检索、翻译的沿线64个国家和地区的法律/判例、法规和政策及相关法律知识进行维护更新，为政府、企业、学术机构和个人提供有关“一带一路”贸易和投资领域的专业、及时的法律知识服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2.工作标准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（1）总量</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“一带一路”法治地图平台已搭载法律/判例、法规和政策内容体量约890万字，本合同服务期内修订、更新的内容体量应当不少于40万字（以外文计）。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沿线国家和地区法律/判例、法规和政策按照其适用范围的大小和法律位阶的高低进行详略区分：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按法律渊源的正式性和非正式性进行分类，优先修订、更新具有正式法律渊源的，其他只具有引导性的政策和学术研究按其影响程度予以考虑是否修订、更新；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优先修订、更新国家立法机关制定的法律和具有普遍法律约束力的判例，其他地方立法机关和不具有普遍约束力的判例按其影响程度和重要性予以考虑是否修订、更新。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（3）工作要求</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第一，专业性：微观法治地图所修订、更新的沿线国家和地区法律/判例、法规和政策应当以商事经贸类为主，并按照法律法规调整的具体领域分类修订、更新：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该国与投资、贸易、金融和税收相关的法律法规及政策，并按其在司法活动中使用的频次和涉及范围的广度和对经贸活动影响的深度进行详略修订、更新；优先修订、更新与中国签订的并已生效的涉及国际经贸投资的双边、多边协定和条约；对和经贸联系密切的劳工保护、知识产权保护、人权保护等法律或规定也有所涉及。</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第二，完整性：已确认修订、更新的国家和地区法律/判例、法规和政策应当内容完整。</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第三，实用性：微观法治地图平台所涉法律/判例、法规、政策致力于规避法律风险和解决社会纠纷。</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（二）工作进度及阶段性成果要求</w:t>
      </w:r>
    </w:p>
    <w:tbl>
      <w:tblPr>
        <w:tblStyle w:val="18"/>
        <w:tblW w:w="8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4"/>
        <w:gridCol w:w="2125"/>
        <w:gridCol w:w="240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工作阶段</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rPr>
                <w:rFonts w:hint="eastAsia" w:ascii="仿宋" w:hAnsi="仿宋" w:eastAsia="仿宋" w:cs="仿宋"/>
                <w:sz w:val="21"/>
                <w:szCs w:val="21"/>
              </w:rPr>
            </w:pPr>
            <w:r>
              <w:rPr>
                <w:rFonts w:hint="eastAsia" w:ascii="仿宋" w:hAnsi="仿宋" w:eastAsia="仿宋" w:cs="仿宋"/>
                <w:sz w:val="21"/>
                <w:szCs w:val="21"/>
                <w:lang w:bidi="ar"/>
              </w:rPr>
              <w:t>成果构成</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成果提交时间</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成果验收方式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中期成果</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left"/>
              <w:rPr>
                <w:rFonts w:hint="eastAsia" w:ascii="仿宋" w:hAnsi="仿宋" w:eastAsia="仿宋" w:cs="仿宋"/>
                <w:sz w:val="21"/>
                <w:szCs w:val="21"/>
              </w:rPr>
            </w:pPr>
            <w:r>
              <w:rPr>
                <w:rFonts w:hint="eastAsia" w:ascii="仿宋" w:hAnsi="仿宋" w:eastAsia="仿宋" w:cs="仿宋"/>
                <w:sz w:val="21"/>
                <w:szCs w:val="21"/>
                <w:lang w:bidi="ar"/>
              </w:rPr>
              <w:t>提交中期报告</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合同签订后6个月内</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中期报告通过前海管理局审查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二</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最终成果</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left"/>
              <w:rPr>
                <w:rFonts w:hint="eastAsia" w:ascii="仿宋" w:hAnsi="仿宋" w:eastAsia="仿宋" w:cs="仿宋"/>
                <w:sz w:val="21"/>
                <w:szCs w:val="21"/>
              </w:rPr>
            </w:pPr>
            <w:r>
              <w:rPr>
                <w:rFonts w:hint="eastAsia" w:ascii="仿宋" w:hAnsi="仿宋" w:eastAsia="仿宋" w:cs="仿宋"/>
                <w:sz w:val="21"/>
                <w:szCs w:val="21"/>
                <w:lang w:bidi="ar"/>
              </w:rPr>
              <w:t>提交总结报告</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Autospacing="1" w:afterAutospacing="1" w:line="276" w:lineRule="auto"/>
              <w:jc w:val="center"/>
              <w:rPr>
                <w:rFonts w:hint="eastAsia" w:ascii="仿宋" w:hAnsi="仿宋" w:eastAsia="仿宋" w:cs="仿宋"/>
                <w:sz w:val="21"/>
                <w:szCs w:val="21"/>
              </w:rPr>
            </w:pPr>
            <w:r>
              <w:rPr>
                <w:rFonts w:hint="eastAsia" w:ascii="仿宋" w:hAnsi="仿宋" w:eastAsia="仿宋" w:cs="仿宋"/>
                <w:sz w:val="21"/>
                <w:szCs w:val="21"/>
                <w:lang w:bidi="ar"/>
              </w:rPr>
              <w:t>合同服务期限届满日之前</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bidi="ar"/>
              </w:rPr>
              <w:t>总结报告通过前海管理局审查</w:t>
            </w:r>
          </w:p>
        </w:tc>
      </w:tr>
    </w:tbl>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（三）项目人员组成</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乙方需根据项目内容组建专业团队负责本项目工作，包含内容策划团队、数据采集团队、翻译团队、技术保障团队。</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二、项目服务期限</w:t>
      </w:r>
    </w:p>
    <w:p>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lang w:bidi="ar"/>
        </w:rPr>
        <w:t>本合同项下服务期限为</w:t>
      </w:r>
      <w:r>
        <w:rPr>
          <w:rFonts w:hint="eastAsia" w:ascii="仿宋" w:hAnsi="仿宋" w:eastAsia="仿宋" w:cs="仿宋"/>
          <w:bCs/>
          <w:szCs w:val="21"/>
          <w:lang w:val="en-US" w:eastAsia="zh-CN" w:bidi="ar"/>
        </w:rPr>
        <w:t>一年</w:t>
      </w:r>
      <w:r>
        <w:rPr>
          <w:rFonts w:hint="eastAsia" w:ascii="仿宋" w:hAnsi="仿宋" w:eastAsia="仿宋" w:cs="仿宋"/>
          <w:bCs/>
          <w:szCs w:val="21"/>
          <w:lang w:bidi="ar"/>
        </w:rPr>
        <w:t>，自本合同签订之日起至202</w:t>
      </w:r>
      <w:r>
        <w:rPr>
          <w:rFonts w:hint="eastAsia" w:ascii="仿宋" w:hAnsi="仿宋" w:eastAsia="仿宋" w:cs="仿宋"/>
          <w:bCs/>
          <w:szCs w:val="21"/>
          <w:lang w:eastAsia="zh-CN" w:bidi="ar"/>
        </w:rPr>
        <w:t>3</w:t>
      </w:r>
      <w:r>
        <w:rPr>
          <w:rFonts w:hint="eastAsia" w:ascii="仿宋" w:hAnsi="仿宋" w:eastAsia="仿宋" w:cs="仿宋"/>
          <w:bCs/>
          <w:szCs w:val="21"/>
          <w:lang w:bidi="ar"/>
        </w:rPr>
        <w:t>年  月  日前完成。</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三、项目最终成果及验收</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《2022年度“一带一路”法治地图</w:t>
      </w:r>
      <w:r>
        <w:rPr>
          <w:rFonts w:hint="eastAsia" w:ascii="仿宋" w:hAnsi="仿宋" w:eastAsia="仿宋" w:cs="仿宋"/>
          <w:kern w:val="0"/>
          <w:szCs w:val="21"/>
          <w:lang w:eastAsia="zh-CN" w:bidi="ar"/>
        </w:rPr>
        <w:t>运营维护更新</w:t>
      </w:r>
      <w:r>
        <w:rPr>
          <w:rFonts w:hint="eastAsia" w:ascii="仿宋" w:hAnsi="仿宋" w:eastAsia="仿宋" w:cs="仿宋"/>
          <w:kern w:val="0"/>
          <w:szCs w:val="21"/>
          <w:lang w:bidi="ar"/>
        </w:rPr>
        <w:t>项目完工报告》。</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甲方应在乙方提交项目总结报告后</w:t>
      </w:r>
      <w:r>
        <w:rPr>
          <w:rFonts w:hint="eastAsia" w:ascii="仿宋" w:hAnsi="仿宋" w:eastAsia="仿宋" w:cs="仿宋"/>
          <w:kern w:val="0"/>
          <w:szCs w:val="21"/>
          <w:lang w:eastAsia="zh-CN" w:bidi="ar"/>
        </w:rPr>
        <w:t>15个工作日</w:t>
      </w:r>
      <w:r>
        <w:rPr>
          <w:rFonts w:hint="eastAsia" w:ascii="仿宋" w:hAnsi="仿宋" w:eastAsia="仿宋" w:cs="仿宋"/>
          <w:kern w:val="0"/>
          <w:szCs w:val="21"/>
          <w:lang w:bidi="ar"/>
        </w:rPr>
        <w:t>内组织召开专家评审会对总结报告进行评审。</w:t>
      </w:r>
    </w:p>
    <w:p>
      <w:pPr>
        <w:spacing w:line="360" w:lineRule="auto"/>
        <w:ind w:firstLine="411" w:firstLineChars="196"/>
        <w:rPr>
          <w:rFonts w:hint="eastAsia" w:ascii="仿宋" w:hAnsi="仿宋" w:eastAsia="仿宋" w:cs="仿宋"/>
          <w:szCs w:val="21"/>
        </w:rPr>
      </w:pPr>
      <w:r>
        <w:rPr>
          <w:rFonts w:hint="eastAsia" w:ascii="仿宋" w:hAnsi="仿宋" w:eastAsia="仿宋" w:cs="仿宋"/>
          <w:szCs w:val="21"/>
          <w:lang w:bidi="ar"/>
        </w:rPr>
        <w:t>最终成果验收合格的标志为甲方审查通过。</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四、双方的权利义务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（一）甲方的权利义务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1.甲方有权向乙方询问项目工作进展及相关情况，并要求乙方在指定时间内做出答复。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2.甲方有权对乙方制作的阶段性成果、最终成果等相关文件进行审核并提出修改意见。</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3.如甲方确认乙方工作人员未按照本合同要求履行职责，甲方有权要求乙方限期更换人员，直至终止合同并要求乙方承担相应赔偿责任。</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4.甲方对乙方在委托权限范围内完成委托事项有指导、监督权利。</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5.如乙方制作的最终成果不符合本合同的要求，甲方有权要求乙方重新执行相应的工作服务，由此产生的全部费用由乙方自行承担，同时，甲方的付款时间相应顺延。</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6.甲方有权要求乙方全面履行合同。甲方不接受部分履行，如本合同项下部分成果文件未能按时交付则视为整体延误。</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7.甲方要求乙方比本合同约定时间提前交付成果时，须征得乙方同意。因此而增加工作量，经协商确认，甲方应向乙方支付必要的费用。</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8. 甲方应将项目所需相关档案资料、信息数据等移交给乙方，并要求乙方签收甲方提供的材料清单。</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9.甲方应按照本合同的约定向乙方支付服务费用。</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10.甲方指定项目联系人：</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姓名：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联系方式：</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（二）乙方的权利义务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 为保证项目成果的质量，乙方在合同履行期间，应按照本项目工作内容要求组织专业的团队</w:t>
      </w:r>
      <w:r>
        <w:rPr>
          <w:rFonts w:hint="eastAsia" w:ascii="仿宋" w:hAnsi="仿宋" w:eastAsia="仿宋" w:cs="仿宋"/>
          <w:szCs w:val="21"/>
          <w:lang w:eastAsia="zh-Hans" w:bidi="ar"/>
        </w:rPr>
        <w:t>（</w:t>
      </w:r>
      <w:r>
        <w:rPr>
          <w:rFonts w:hint="eastAsia" w:ascii="仿宋" w:hAnsi="仿宋" w:eastAsia="仿宋" w:cs="仿宋"/>
          <w:szCs w:val="21"/>
          <w:lang w:val="en-US" w:eastAsia="zh-Hans" w:bidi="ar"/>
        </w:rPr>
        <w:t>团队名单详见附件）</w:t>
      </w:r>
      <w:r>
        <w:rPr>
          <w:rFonts w:hint="eastAsia" w:ascii="仿宋" w:hAnsi="仿宋" w:eastAsia="仿宋" w:cs="仿宋"/>
          <w:szCs w:val="21"/>
          <w:lang w:bidi="ar"/>
        </w:rPr>
        <w:t>。团队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w:t>
      </w:r>
      <w:r>
        <w:rPr>
          <w:rFonts w:hint="eastAsia" w:ascii="仿宋" w:hAnsi="仿宋" w:eastAsia="仿宋" w:cs="仿宋"/>
          <w:szCs w:val="21"/>
          <w:lang w:val="en-US" w:eastAsia="zh-CN" w:bidi="ar"/>
        </w:rPr>
        <w:t xml:space="preserve"> </w:t>
      </w:r>
      <w:r>
        <w:rPr>
          <w:rFonts w:hint="eastAsia" w:ascii="仿宋" w:hAnsi="仿宋" w:eastAsia="仿宋" w:cs="仿宋"/>
          <w:szCs w:val="21"/>
          <w:lang w:bidi="ar"/>
        </w:rPr>
        <w:t>乙方在合同履行期间，应确保完成本合同期间所需的设备齐全、质量不存在任何缺陷。</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乙方应接受甲方对工作进展的询问、监督和指导，严格按本合同约定的内容、标准和期限完成项目工作，并向甲方提交项目成果。项目工作完成后，乙方应按照甲方要求将完成本项目的工作总结和相关台帐资料交给甲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4. 乙方应采取必要措施配合甲方验收人员的工作,对于验收过程中发现的问题，乙方应在发现问题之日起3</w:t>
      </w:r>
      <w:r>
        <w:rPr>
          <w:rFonts w:hint="eastAsia" w:ascii="仿宋" w:hAnsi="仿宋" w:eastAsia="仿宋" w:cs="仿宋"/>
          <w:szCs w:val="21"/>
          <w:lang w:val="en-US" w:eastAsia="zh-CN" w:bidi="ar"/>
        </w:rPr>
        <w:t>日</w:t>
      </w:r>
      <w:r>
        <w:rPr>
          <w:rFonts w:hint="eastAsia" w:ascii="仿宋" w:hAnsi="仿宋" w:eastAsia="仿宋" w:cs="仿宋"/>
          <w:szCs w:val="21"/>
          <w:lang w:bidi="ar"/>
        </w:rPr>
        <w:t>内进行改正，以符合甲方的需要。</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5.乙方有维护甲方声誉的义务，乙方不能以甲方名义从事与本项目无关的任何事务，否则甲方有权追究其相关责任。</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6.乙方应独立完成本项目。未经甲方书面在先同意，乙方不得向任何第三方全部或部分转让本项目。</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7.本合同期满或提前解除、终止后，乙方应将甲方的档案资料、信息数据等交还甲方，并应销毁或删除所有备份。</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8.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9.乙方在完成本项目过程中，不得损害其他任何第三方的知识产权等合法权益，否则由此造成的相关责任应当由乙方自行承担，与甲方无关。</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10.针对甲方就乙方提交的成果、工作报告等相关文件提出的修改意见，乙方应当在甲方指定的修改时间内完成修改。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11.乙方指定项目联系人：</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姓名：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联系方式：</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五、项目服务费用及付款方式</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（一）本合同项下服务费总金额共计人民币</w:t>
      </w:r>
      <w:r>
        <w:rPr>
          <w:rFonts w:hint="eastAsia" w:ascii="仿宋" w:hAnsi="仿宋" w:eastAsia="仿宋" w:cs="仿宋"/>
          <w:szCs w:val="21"/>
          <w:u w:val="single"/>
          <w:lang w:bidi="ar"/>
        </w:rPr>
        <w:t xml:space="preserve"> 【】 </w:t>
      </w:r>
      <w:r>
        <w:rPr>
          <w:rFonts w:hint="eastAsia" w:ascii="仿宋" w:hAnsi="仿宋" w:eastAsia="仿宋" w:cs="仿宋"/>
          <w:szCs w:val="21"/>
          <w:lang w:bidi="ar"/>
        </w:rPr>
        <w:t>万元整(￥【】.00)。服务费包括</w:t>
      </w:r>
      <w:r>
        <w:rPr>
          <w:rFonts w:hint="eastAsia" w:ascii="仿宋" w:hAnsi="仿宋" w:eastAsia="仿宋" w:cs="仿宋"/>
          <w:szCs w:val="21"/>
          <w:lang w:val="zh-CN" w:bidi="ar"/>
        </w:rPr>
        <w:t>项目执行过程中乙方及乙方团队成员为项目所发生的所有费用（包括并不限于专家费、差旅费、住宿费、餐费、交通费、资料费、调研费、通信费、</w:t>
      </w:r>
      <w:r>
        <w:rPr>
          <w:rFonts w:hint="eastAsia" w:ascii="仿宋" w:hAnsi="仿宋" w:eastAsia="仿宋" w:cs="仿宋"/>
          <w:szCs w:val="21"/>
          <w:lang w:bidi="ar"/>
        </w:rPr>
        <w:t>税费</w:t>
      </w:r>
      <w:r>
        <w:rPr>
          <w:rFonts w:hint="eastAsia" w:ascii="仿宋" w:hAnsi="仿宋" w:eastAsia="仿宋" w:cs="仿宋"/>
          <w:szCs w:val="21"/>
          <w:lang w:val="zh-CN" w:bidi="ar"/>
        </w:rPr>
        <w:t>等相关费用）及后期费用</w:t>
      </w:r>
      <w:r>
        <w:rPr>
          <w:rFonts w:hint="eastAsia" w:ascii="仿宋" w:hAnsi="仿宋" w:eastAsia="仿宋" w:cs="仿宋"/>
          <w:szCs w:val="21"/>
          <w:lang w:bidi="ar"/>
        </w:rPr>
        <w:t>。</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（二）付款方式： </w:t>
      </w:r>
    </w:p>
    <w:p>
      <w:pPr>
        <w:autoSpaceDE w:val="0"/>
        <w:autoSpaceDN w:val="0"/>
        <w:adjustRightInd w:val="0"/>
        <w:snapToGrid w:val="0"/>
        <w:spacing w:line="360" w:lineRule="auto"/>
        <w:ind w:firstLine="480"/>
        <w:rPr>
          <w:rFonts w:hint="eastAsia" w:ascii="仿宋" w:hAnsi="仿宋" w:eastAsia="仿宋" w:cs="仿宋"/>
          <w:szCs w:val="21"/>
        </w:rPr>
      </w:pPr>
      <w:r>
        <w:rPr>
          <w:rFonts w:hint="eastAsia" w:ascii="仿宋" w:hAnsi="仿宋" w:eastAsia="仿宋" w:cs="仿宋"/>
          <w:szCs w:val="21"/>
          <w:lang w:bidi="ar"/>
        </w:rPr>
        <w:t>共分两期支付：</w:t>
      </w:r>
    </w:p>
    <w:p>
      <w:pPr>
        <w:spacing w:line="360" w:lineRule="auto"/>
        <w:ind w:firstLine="411" w:firstLineChars="196"/>
        <w:jc w:val="left"/>
        <w:rPr>
          <w:rFonts w:hint="eastAsia" w:ascii="仿宋" w:hAnsi="仿宋" w:eastAsia="仿宋" w:cs="仿宋"/>
          <w:szCs w:val="21"/>
        </w:rPr>
      </w:pPr>
      <w:r>
        <w:rPr>
          <w:rFonts w:hint="eastAsia" w:ascii="仿宋" w:hAnsi="仿宋" w:eastAsia="仿宋" w:cs="仿宋"/>
          <w:szCs w:val="21"/>
          <w:lang w:bidi="ar"/>
        </w:rPr>
        <w:t>第1期，自本合同签订之日起15个工作日内，根据乙方提出的付款申请，甲方向乙方支付合同总价款的50%。</w:t>
      </w:r>
    </w:p>
    <w:p>
      <w:pPr>
        <w:spacing w:line="360" w:lineRule="auto"/>
        <w:ind w:firstLine="411" w:firstLineChars="196"/>
        <w:jc w:val="left"/>
        <w:rPr>
          <w:rFonts w:hint="eastAsia" w:ascii="仿宋" w:hAnsi="仿宋" w:eastAsia="仿宋" w:cs="仿宋"/>
          <w:szCs w:val="21"/>
        </w:rPr>
      </w:pPr>
      <w:r>
        <w:rPr>
          <w:rFonts w:hint="eastAsia" w:ascii="仿宋" w:hAnsi="仿宋" w:eastAsia="仿宋" w:cs="仿宋"/>
          <w:szCs w:val="21"/>
          <w:lang w:bidi="ar"/>
        </w:rPr>
        <w:t>第2期：乙方提交最终成果，经甲方审查通过后15个工作日内，根据乙方提出的付款申请，甲方向乙方支付合同总价款的50%。</w:t>
      </w:r>
    </w:p>
    <w:p>
      <w:pPr>
        <w:widowControl/>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lang w:bidi="ar"/>
        </w:rPr>
        <w:t>上述每期款项均在满足付款条件，且甲方收到乙方开具的付款申请及载明相应金额的合格发票后</w:t>
      </w:r>
      <w:r>
        <w:rPr>
          <w:rFonts w:hint="eastAsia" w:ascii="仿宋" w:hAnsi="仿宋" w:eastAsia="仿宋" w:cs="仿宋"/>
          <w:szCs w:val="21"/>
          <w:lang w:bidi="ar"/>
        </w:rPr>
        <w:t>15</w:t>
      </w:r>
      <w:r>
        <w:rPr>
          <w:rFonts w:hint="eastAsia" w:ascii="仿宋" w:hAnsi="仿宋" w:eastAsia="仿宋" w:cs="仿宋"/>
          <w:kern w:val="0"/>
          <w:szCs w:val="21"/>
          <w:lang w:bidi="ar"/>
        </w:rPr>
        <w:t>个工作日内付至乙方指定银行账户。如未及时收到发票，则甲方相应付款时间顺延。若因甲方付款审批影响支付进度，请乙方予以谅解，并同意不就此向甲方索赔。</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（三）乙方银行账户信息：</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开户银行：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户名：       </w:t>
      </w:r>
    </w:p>
    <w:p>
      <w:pPr>
        <w:spacing w:line="360" w:lineRule="auto"/>
        <w:ind w:firstLine="420" w:firstLineChars="200"/>
        <w:rPr>
          <w:rFonts w:hint="eastAsia" w:ascii="仿宋" w:hAnsi="仿宋" w:eastAsia="仿宋" w:cs="仿宋"/>
          <w:szCs w:val="21"/>
          <w:lang w:bidi="ar"/>
        </w:rPr>
      </w:pPr>
      <w:r>
        <w:rPr>
          <w:rFonts w:hint="eastAsia" w:ascii="仿宋" w:hAnsi="仿宋" w:eastAsia="仿宋" w:cs="仿宋"/>
          <w:szCs w:val="21"/>
          <w:lang w:bidi="ar"/>
        </w:rPr>
        <w:t xml:space="preserve">账号：   </w:t>
      </w:r>
    </w:p>
    <w:p>
      <w:pPr>
        <w:widowControl/>
        <w:spacing w:line="360" w:lineRule="auto"/>
        <w:ind w:firstLine="420" w:firstLineChars="200"/>
        <w:rPr>
          <w:rFonts w:hint="eastAsia" w:ascii="仿宋" w:hAnsi="仿宋" w:eastAsia="仿宋" w:cs="仿宋"/>
          <w:szCs w:val="21"/>
        </w:rPr>
      </w:pPr>
      <w:r>
        <w:rPr>
          <w:rFonts w:hint="eastAsia" w:ascii="仿宋" w:hAnsi="仿宋" w:eastAsia="仿宋" w:cs="仿宋"/>
          <w:kern w:val="0"/>
          <w:szCs w:val="21"/>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六、项目变更</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（一）本合同履行过程中的需求变更和进度调整，以甲乙双方达成一致的书面文件为准。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（三）因非乙方责任造成项目进度推迟或延误，无法按照本合同约定的日期完成相应工作，双方经过协商可以进一步约定完成的日期，乙方的责任期也随之顺延。</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（四）在本项目进展过程中，经双方同意的维护更新内容体量等方面的增减，如所涉增加费用的金额不超过本合同项下服务费总金额的10%，由双方商定变更内容及具体价格后签订书面补充协议予以确认。           </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七、成果权属与知识产权</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（一）本项目的全部阶段性成果和最终成果（包括为后续服务范围所编制的文件）的所有权、知识产权以及与之相关的所有权利归甲方所有；本合同签署前双方已经拥有的知识产权权利，仍归各自所有。</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（二）双方确定，甲方有权对乙方按照本合同约定提供的成果进行后续改进。由此产生的具有实质性或创造性技术进步特征的新的技术成果及其权利全部由甲方享有。</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乙方所提交的全部阶段性成果和最终成果文件及任何数据、资料等不得侵犯任何第三方的知识产权或其他权利，由于该等照片、视频、文件、数据、资料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（五）乙方完成本项目的人员享有在有关技术成果文件上署名的权利和与甲方共同获得有关荣誉证书、奖励的权利。</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八、保密条款</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乙方应以保密方式处理在拍摄制作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（三）乙方实施项目的程序应符合国家安全、保密的有关规定和标准。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（四）上述保密义务不适用以下情况：</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1.获取的信息已被合法公开；</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2.获得信息拥有方书面许可并在该许可范围内披露；</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3.国家法律、法规规定的情形。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（六）无论本合同或本合同其他条款是否有效，本保密条款始终约束双方。国家秘密的保密期限由国家有关部门确定，工作秘密的保密期限由甲方确定。</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九、合同提前终止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（一）双方协商同意提前终止本合同的，按双方协商约定的方式进行清算执行。</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（二）有下列情形之一的，本合同自甲方向乙方发出书面通知之日起终止：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1.甲方的职能发生转变，不再具有委托职能。</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2.本合同签订时适用的法律法规或政策发生变化，且对本合同的继续履行造成重大影响。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发生以上情形，甲方已向乙方支付的款项不退还，尚未支付的款项不再支付，同时乙方应向甲方提交在合同终止日前完成的所有项目文件和相关资料。</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（三）如发生不可抗力或其他超出合同双方控制的事件，致使一方无法履行合同，本合同解除。</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 发生不可抗力，甲乙双方承担各自的损失。由于其中一方迟延履行合同义务后发生不可抗力的，其违约责任不能免除。</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十、违约责任</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（一）如乙方未按照本合同约定的时间完成本项目各阶段工作，每迟延一日，甲方有权自尚未支付的合同款项中扣除本合同服务费总金额的1‰的逾期违约金。</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（二）本合同项下的工作内容不可分割，任一文件的迟延交付均视为整个项目的迟延交付。</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（三）本合同履行期间，发生下述情形时，甲方有权解除本合同，乙方除应退还甲方已支付的全部款项外, 还应在合同解除通知发出之日起10</w:t>
      </w:r>
      <w:r>
        <w:rPr>
          <w:rFonts w:hint="eastAsia" w:ascii="仿宋" w:hAnsi="仿宋" w:eastAsia="仿宋" w:cs="仿宋"/>
          <w:szCs w:val="21"/>
          <w:lang w:val="en-US" w:eastAsia="zh-CN" w:bidi="ar"/>
        </w:rPr>
        <w:t>个工作</w:t>
      </w:r>
      <w:r>
        <w:rPr>
          <w:rFonts w:hint="eastAsia" w:ascii="仿宋" w:hAnsi="仿宋" w:eastAsia="仿宋" w:cs="仿宋"/>
          <w:szCs w:val="21"/>
          <w:lang w:bidi="ar"/>
        </w:rPr>
        <w:t>日内向甲方支付合同总价款</w:t>
      </w:r>
      <w:r>
        <w:rPr>
          <w:rFonts w:hint="eastAsia" w:ascii="仿宋" w:hAnsi="仿宋" w:eastAsia="仿宋" w:cs="仿宋"/>
          <w:szCs w:val="21"/>
          <w:lang w:val="en-US" w:eastAsia="zh-CN" w:bidi="ar"/>
        </w:rPr>
        <w:t>2</w:t>
      </w:r>
      <w:r>
        <w:rPr>
          <w:rFonts w:hint="eastAsia" w:ascii="仿宋" w:hAnsi="仿宋" w:eastAsia="仿宋" w:cs="仿宋"/>
          <w:szCs w:val="21"/>
          <w:lang w:bidi="ar"/>
        </w:rPr>
        <w:t>0%的违约金。乙方应同时将已完成的项目成果移交给甲方，并将全部有关资料退还甲方：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1.乙方未能按合同约定的日期(含协商延缓的日期)完成阶段性及最终成果，延误时间超过1</w:t>
      </w:r>
      <w:r>
        <w:rPr>
          <w:rFonts w:hint="eastAsia" w:ascii="仿宋" w:hAnsi="仿宋" w:eastAsia="仿宋" w:cs="仿宋"/>
          <w:szCs w:val="21"/>
          <w:lang w:val="en-US" w:eastAsia="zh-CN" w:bidi="ar"/>
        </w:rPr>
        <w:t>5</w:t>
      </w:r>
      <w:r>
        <w:rPr>
          <w:rFonts w:hint="eastAsia" w:ascii="仿宋" w:hAnsi="仿宋" w:eastAsia="仿宋" w:cs="仿宋"/>
          <w:szCs w:val="21"/>
          <w:lang w:bidi="ar"/>
        </w:rPr>
        <w:t>个工作日；</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2.因乙方工作的错误或遗漏造成成果质量不符合本合同要求，且乙方未按甲方要求采取及时有效的补救措施的，或者无法采取补救措施补救的；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 乙方虽如期提交阶段性成果和最终成果，但最终成果连续二次未能通过甲方验收的；</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lang w:bidi="ar"/>
        </w:rPr>
        <w:t>4.未经甲方书面在先同意，乙方擅自将本合同项目与任何第三方合作，或将本合同标的的全部</w:t>
      </w:r>
      <w:r>
        <w:rPr>
          <w:rFonts w:hint="eastAsia" w:ascii="仿宋" w:hAnsi="仿宋" w:eastAsia="仿宋" w:cs="仿宋"/>
          <w:szCs w:val="21"/>
          <w:highlight w:val="none"/>
          <w:lang w:bidi="ar"/>
        </w:rPr>
        <w:t>或部分擅自转包或分包给任何第三方，且未按甲方的要求终止与第三方的协议的；</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bidi="ar"/>
        </w:rPr>
        <w:t>5.项目负责人未承担本合同项目实质性工作，或未经甲方书面在先同意，乙方擅自更换项目负责人的；</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bidi="ar"/>
        </w:rPr>
        <w:t>6.发现乙方或乙方工作人员出现全部或部分丧失履行委托服务能力的情况，甲方有权通知乙方限期整改或更换工作人员，期限届满乙方并未进行改善的；</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lang w:bidi="ar"/>
        </w:rPr>
        <w:t>7. 因乙方项目团队人员不稳定等原因导致本项目进度延误或质量低劣的；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8. 乙方明确表示或者以自己的行为表明不履行本合同的；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9. 因乙方原因，导致有关素材（包括但不限于数据、相片等）丢失、毁灭或无法恢复的。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（五）上述违约责任各自独立且可累加。如本合同所约定的违约金无法弥补因违约行为所造成的损失，违约方应补偿上述不足部分的损失。</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十一、争议解决</w:t>
      </w:r>
    </w:p>
    <w:p>
      <w:pPr>
        <w:widowControl/>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因本合同的履行或与本合同有关的争议或纠纷，双方应协商解决。协商不成，双方可依法向深圳前海合作区人民法院起诉。</w:t>
      </w:r>
    </w:p>
    <w:p>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lang w:bidi="ar"/>
        </w:rPr>
        <w:t>十二、其他约定</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1.合同书及补充协议；</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2.中标通知书；</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3.招标文件（编号：    ）及其澄清、补正公告；</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4.投标书。</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（二）本合同替代此前双方所有关于本合同事项的口头或书面的纪要、备忘录、合同、协议。</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（三）本合同附件（如有）为合同不可分割的组成部分，与本合同一并加盖骑缝章后具有同等法律效力。若附件与合同正文有任何冲突，以合同正文为准。</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（四）本合同各条标题仅为提示之用，应以条文内容确定各方的权利义务。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（五）本合同未尽事宜，由双方协商签订补充协议进行约定。补充协议应以书面形式作成，经双方法定代表人或其授权代表签字、盖章后与本合同具有同等法律效力。</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（八）如果本合同的任何条款在任何时候变成不合法、无效或不可强制执行而不从根本上影响本合同的效力时，本合同的其他条款不受影响。</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（十）本合同的任何内容不应被视为或解释为双方之间具有合资、合伙、代理关系。</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（十一）任何一方未经另一方同意不得向任何第三方透露本合同的签订及其内容。甲方向其关联公司透露前述内容的，不受此限。</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w:t>
      </w:r>
      <w:r>
        <w:rPr>
          <w:rFonts w:hint="eastAsia" w:ascii="仿宋" w:hAnsi="仿宋" w:eastAsia="仿宋" w:cs="仿宋"/>
          <w:szCs w:val="21"/>
          <w:lang w:val="en-US" w:eastAsia="zh-CN" w:bidi="ar"/>
        </w:rPr>
        <w:t>叁</w:t>
      </w:r>
      <w:r>
        <w:rPr>
          <w:rFonts w:hint="eastAsia" w:ascii="仿宋" w:hAnsi="仿宋" w:eastAsia="仿宋" w:cs="仿宋"/>
          <w:szCs w:val="21"/>
          <w:lang w:bidi="ar"/>
        </w:rPr>
        <w:t>】日后即视为已经送达对方。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（十三）本合同自双方法定代表人或其授权代表签字、盖章之日起生效，有效期至后续服务期满之日止。</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（十四）本合同一式四份正本，甲方与乙方各执两份，均具同等法律效力。（以下无正文，为签章栏）</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甲方（盖章）：深圳市前海深港现代服务业合作区管理局</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法定代表人或授权代表（签字）：</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日期：     年    月   日            </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 xml:space="preserve">乙方（盖章）： </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法定代表人或授权代表（签字）：</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日期：     年    月   日</w:t>
      </w:r>
    </w:p>
    <w:p>
      <w:pPr>
        <w:spacing w:line="560" w:lineRule="exact"/>
        <w:ind w:firstLine="420" w:firstLineChars="200"/>
        <w:rPr>
          <w:rFonts w:hint="eastAsia" w:ascii="仿宋" w:hAnsi="仿宋" w:eastAsia="仿宋" w:cs="仿宋"/>
          <w:szCs w:val="21"/>
        </w:rPr>
      </w:pPr>
    </w:p>
    <w:p>
      <w:pPr>
        <w:widowControl/>
        <w:spacing w:line="240" w:lineRule="auto"/>
        <w:ind w:firstLine="0" w:firstLineChars="0"/>
        <w:jc w:val="left"/>
        <w:rPr>
          <w:rFonts w:hint="eastAsia" w:ascii="仿宋" w:hAnsi="仿宋" w:eastAsia="仿宋" w:cs="仿宋"/>
          <w:szCs w:val="21"/>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r>
        <w:rPr>
          <w:rFonts w:hint="eastAsia" w:ascii="仿宋" w:hAnsi="仿宋" w:eastAsia="仿宋" w:cs="仿宋"/>
          <w:szCs w:val="21"/>
          <w:lang w:bidi="ar"/>
        </w:rPr>
        <w:t>注：本合同样本仅供参考，具体条款内容由采购单位和中标单位在不违反招标文件实质性条款的前提下协商确定。</w:t>
      </w:r>
    </w:p>
    <w:p>
      <w:pPr>
        <w:pStyle w:val="3"/>
        <w:rPr>
          <w:color w:val="auto"/>
          <w:highlight w:val="none"/>
        </w:rPr>
      </w:pPr>
      <w:bookmarkStart w:id="2" w:name="_Hlk34126936"/>
      <w:r>
        <w:rPr>
          <w:rFonts w:hint="eastAsia"/>
          <w:color w:val="auto"/>
          <w:highlight w:val="none"/>
        </w:rPr>
        <w:t>第五章 货物或服务要求和商务条件</w:t>
      </w:r>
    </w:p>
    <w:p>
      <w:pPr>
        <w:pStyle w:val="15"/>
        <w:spacing w:before="0" w:beforeAutospacing="0" w:after="0" w:afterAutospacing="0" w:line="360" w:lineRule="auto"/>
        <w:ind w:firstLine="422" w:firstLineChars="200"/>
        <w:outlineLvl w:val="1"/>
        <w:rPr>
          <w:rFonts w:ascii="仿宋" w:hAnsi="仿宋" w:eastAsia="仿宋"/>
          <w:b/>
          <w:color w:val="auto"/>
          <w:sz w:val="21"/>
          <w:szCs w:val="21"/>
          <w:highlight w:val="none"/>
        </w:rPr>
      </w:pPr>
      <w:r>
        <w:rPr>
          <w:rFonts w:hint="eastAsia" w:ascii="仿宋" w:hAnsi="仿宋" w:eastAsia="仿宋"/>
          <w:b/>
          <w:color w:val="auto"/>
          <w:sz w:val="21"/>
          <w:szCs w:val="21"/>
          <w:highlight w:val="none"/>
        </w:rPr>
        <w:t>一、项目概况</w:t>
      </w:r>
    </w:p>
    <w:p>
      <w:pPr>
        <w:pStyle w:val="15"/>
        <w:spacing w:before="0" w:beforeAutospacing="0" w:after="0" w:afterAutospacing="0" w:line="360" w:lineRule="auto"/>
        <w:ind w:firstLine="420" w:firstLineChars="200"/>
        <w:outlineLvl w:val="2"/>
        <w:rPr>
          <w:rFonts w:ascii="仿宋" w:hAnsi="仿宋" w:eastAsia="仿宋"/>
          <w:color w:val="auto"/>
          <w:sz w:val="21"/>
          <w:szCs w:val="21"/>
          <w:highlight w:val="none"/>
        </w:rPr>
      </w:pPr>
      <w:r>
        <w:rPr>
          <w:rFonts w:hint="eastAsia" w:ascii="仿宋" w:hAnsi="仿宋" w:eastAsia="仿宋"/>
          <w:color w:val="auto"/>
          <w:sz w:val="21"/>
          <w:szCs w:val="21"/>
          <w:highlight w:val="none"/>
        </w:rPr>
        <w:t>（一）项目背景</w:t>
      </w:r>
    </w:p>
    <w:p>
      <w:pPr>
        <w:pStyle w:val="15"/>
        <w:spacing w:beforeAutospacing="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带一路”是以习近平同志为核心的党中央在统筹国内国际两个大局基础上做出的重大倡议和构想。六年多来，“一带一路”已成为当下中国改革开放实践的新篇章和进行时。习近平总书记多次强调“凡属重大改革都要于法有据”、“开放也是改革，要寓改革于开放之中”。中国企业参与“一带一路”建设，离不开“于法有据”。</w:t>
      </w:r>
    </w:p>
    <w:p>
      <w:pPr>
        <w:pStyle w:val="15"/>
        <w:spacing w:beforeAutospacing="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带一路”沿线国家和地区的政治和法制环境复杂多元，相关政策与法律还经常因外部经济、政治环境的变化而不断调整，中国企业和投资人“走出去”面临比较复杂的法律环境；此外，各国在地缘政治、民族宗教以及社情环境上也复杂多样，存在巨大差异。以上因素导致中国企业在对外贸易和投资时，难以精准把握和有效利用各种有利规则、难以及时发现和防控各种风险点。</w:t>
      </w:r>
    </w:p>
    <w:p>
      <w:pPr>
        <w:pStyle w:val="15"/>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深圳前海是国家唯一一个确定为“社会主义法治示范区”的自贸区，致力于运用深圳先行先试的优势，在运用数据信息提升法律服务方面探索可复制、可推广的新路径和新经验。“一带一路”法治地图，既有宏观地图的宏大命题，也有重点国家/地区这类集大成者，更有具体而微的微观地图。2015年9月，域外法律查明的“一中心两基地”落户前海，希望通过本项目的实施，建立建成一整套有标杆作用的（对国际规则和外国法）法律查明/查询机制，同时推进建设“一带一路”国家和地区法律资源库，从而帮助“一带一路”</w:t>
      </w:r>
      <w:r>
        <w:rPr>
          <w:rFonts w:hint="eastAsia" w:ascii="仿宋" w:hAnsi="仿宋" w:eastAsia="仿宋" w:cs="仿宋"/>
          <w:sz w:val="21"/>
          <w:szCs w:val="21"/>
          <w:lang w:eastAsia="zh-CN"/>
        </w:rPr>
        <w:t>倡议</w:t>
      </w:r>
      <w:r>
        <w:rPr>
          <w:rFonts w:hint="eastAsia" w:ascii="仿宋" w:hAnsi="仿宋" w:eastAsia="仿宋" w:cs="仿宋"/>
          <w:sz w:val="21"/>
          <w:szCs w:val="21"/>
        </w:rPr>
        <w:t>背景下中国企业等主体更好地做到“于法有据”，为“一带一路”的参与主体提供保障。</w:t>
      </w:r>
    </w:p>
    <w:p>
      <w:pPr>
        <w:pStyle w:val="15"/>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2016年底，深圳市前海深港现代服务业合作区管理局部署了全国首个服务于“一带一路”建设的大型中文法律公共数据库——“一带一路”法治地图项目。2019年9月底，法治地图项目初步建设完成。</w:t>
      </w:r>
    </w:p>
    <w:p>
      <w:pPr>
        <w:pStyle w:val="15"/>
        <w:spacing w:beforeAutospacing="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法治地图的建设引起了各方的关注，也得到了上级机关的认可，被写入多个政府文件：</w:t>
      </w:r>
    </w:p>
    <w:p>
      <w:pPr>
        <w:pStyle w:val="15"/>
        <w:spacing w:beforeAutospacing="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2018年5月24日，国务院印发的《进一步深化中国（广东）自由贸易试验区改革开放方案》提到，推动成立服务“一带一路”建设的法律类社会组织，加快推进“一带一路”法治地图建设。</w:t>
      </w:r>
    </w:p>
    <w:p>
      <w:pPr>
        <w:pStyle w:val="15"/>
        <w:spacing w:beforeAutospacing="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2018年7月29日，广东省人民政府印发的《进一步深化中国（广东）自由贸易试验区改革开放分工方案》第十八点明确要求，携手港澳参与“一带一路”建设，推动成立服务“一带一路”建设的法律类社会组织，加快推进“一带一路”法治地图建设。</w:t>
      </w:r>
    </w:p>
    <w:p>
      <w:pPr>
        <w:pStyle w:val="15"/>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2019年7月5日，广东省推进粤港澳大湾区建设领导小组印发《广东省推进粤港澳大湾区建设三年行动计划（2018-2020年）》第七十四点要求，推动成立服务“一带一路”建设的法律类社会组织，加快推进“一带一路”法治地图建设。</w:t>
      </w:r>
    </w:p>
    <w:p>
      <w:pPr>
        <w:pStyle w:val="15"/>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（二）重要性及必要性</w:t>
      </w:r>
    </w:p>
    <w:p>
      <w:pPr>
        <w:pStyle w:val="15"/>
        <w:spacing w:before="0" w:beforeAutospacing="0" w:after="0" w:afterAutospacing="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构建“一带一路”法治地图平台的主要方式为“一带一路”沿线国家的法律/判例查明、检索和翻译。为了保持平台内容的时效性、准确性、完整性，持续增加用户数量与用户粘度，需要对平台所承载的数据内容进行维护。</w:t>
      </w:r>
    </w:p>
    <w:p>
      <w:pPr>
        <w:pStyle w:val="15"/>
        <w:numPr>
          <w:ilvl w:val="0"/>
          <w:numId w:val="2"/>
        </w:numPr>
        <w:spacing w:before="0" w:beforeAutospacing="0" w:after="0" w:afterAutospacing="0" w:line="360" w:lineRule="auto"/>
        <w:ind w:firstLine="422"/>
        <w:outlineLvl w:val="1"/>
        <w:rPr>
          <w:rFonts w:ascii="仿宋" w:hAnsi="仿宋" w:eastAsia="仿宋"/>
          <w:b/>
          <w:color w:val="auto"/>
          <w:sz w:val="21"/>
          <w:szCs w:val="21"/>
          <w:highlight w:val="none"/>
        </w:rPr>
      </w:pPr>
      <w:r>
        <w:rPr>
          <w:rFonts w:hint="eastAsia" w:ascii="仿宋" w:hAnsi="仿宋" w:eastAsia="仿宋"/>
          <w:b/>
          <w:color w:val="auto"/>
          <w:sz w:val="21"/>
          <w:szCs w:val="21"/>
          <w:highlight w:val="none"/>
        </w:rPr>
        <w:t>技术要求</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（一）工作内容及标准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1.工作内容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对“一带一路”法治地图微观平台已查明、检索、翻译的沿线64个国家和地区的法律/判例、法规和政策及相关法律知识进行维护更新，为政府、企业、学术机构和个人提供有关“一带一路”贸易和投资领域的专业、及时的法律知识服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2.工作标准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（1）总量</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“一带一路”法治地图平台已搭载法律/判例、法规和政策内容体量约890万字，按照年修订更新率4%-5%测算，全年修订、更新的内容体量应当不少于40万字（以外文计）。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沿线国家和地区法律/判例、法规和政策按照其适用范围的大小和法律位阶的高低进行详略区分：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按法律渊源的正式性和非正式性进行分类，优先修订、更新具有正式法律渊源的，其他只具有引导性的政策和学术研究按其影响程度予以考虑是否修订、更新；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优先修订、更新国家立法机关制定的法律和具有普遍法律约束力的判例，其他地方立法机关和不具有普遍约束力的判例按其影响程度和重要性予以考虑是否修订、更新。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eastAsia="zh-CN" w:bidi="ar"/>
        </w:rPr>
        <w:t>（</w:t>
      </w:r>
      <w:r>
        <w:rPr>
          <w:rFonts w:hint="eastAsia" w:ascii="仿宋" w:hAnsi="仿宋" w:eastAsia="仿宋" w:cs="仿宋"/>
          <w:kern w:val="0"/>
          <w:szCs w:val="21"/>
          <w:lang w:val="en-US" w:eastAsia="zh-CN" w:bidi="ar"/>
        </w:rPr>
        <w:t>3</w:t>
      </w:r>
      <w:r>
        <w:rPr>
          <w:rFonts w:hint="eastAsia" w:ascii="仿宋" w:hAnsi="仿宋" w:eastAsia="仿宋" w:cs="仿宋"/>
          <w:kern w:val="0"/>
          <w:szCs w:val="21"/>
          <w:lang w:eastAsia="zh-CN" w:bidi="ar"/>
        </w:rPr>
        <w:t>）</w:t>
      </w:r>
      <w:r>
        <w:rPr>
          <w:rFonts w:hint="eastAsia" w:ascii="仿宋" w:hAnsi="仿宋" w:eastAsia="仿宋" w:cs="仿宋"/>
          <w:kern w:val="0"/>
          <w:szCs w:val="21"/>
          <w:lang w:bidi="ar"/>
        </w:rPr>
        <w:t>建设原则</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第一，专业性：微观法治地图所修订、更新的沿线国家和地区法律/判例、法规和政策应当以商事经贸类为主，并按照法律法规调整的具体领域分类修订、更新：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该国与投资、贸易、金融和税收相关的法律法规及政策，并按其在司法活动中使用的频次和涉及范围的广度和对经贸活动影响的深度进行详略修订、更新；优先修订、更新与中国签订的并已生效的涉及国际经贸投资的双边、多边协定和条约；对和经贸联系密切的劳工保护、知识产权保护、人权保护等法律或规定也有所涉及。</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第二，完整性：已确认修订、更新的国家和地区法律/判例、法规和政策应当内容完整。</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第三，实用性：微观法治地图平台所涉法律/判例、法规、政策致力于规避法律风险和解决社会纠纷。</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（二）工作进度及阶段性成果要求</w:t>
      </w:r>
    </w:p>
    <w:tbl>
      <w:tblPr>
        <w:tblStyle w:val="18"/>
        <w:tblW w:w="8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4"/>
        <w:gridCol w:w="2125"/>
        <w:gridCol w:w="2408"/>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序号</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工作阶段</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成果构成</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成果提交时间</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一</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中期成果</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lang w:bidi="ar"/>
              </w:rPr>
              <w:t>提交中期完工报告</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合同签订后6个月内</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完工报告通过前海管理局审查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二</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最终成果</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lang w:bidi="ar"/>
              </w:rPr>
              <w:t>提交终期完工报告</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合同服务期限届满日之前</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完工报告通过前海管理局审查</w:t>
            </w:r>
          </w:p>
        </w:tc>
      </w:tr>
    </w:tbl>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（三）项目成果要求</w:t>
      </w:r>
    </w:p>
    <w:p>
      <w:pPr>
        <w:pStyle w:val="15"/>
        <w:spacing w:before="0" w:beforeAutospacing="0" w:after="0" w:afterAutospacing="0" w:line="360" w:lineRule="auto"/>
        <w:ind w:firstLine="420" w:firstLineChars="200"/>
        <w:rPr>
          <w:rFonts w:hint="eastAsia" w:ascii="仿宋" w:hAnsi="仿宋" w:eastAsia="仿宋" w:cs="仿宋"/>
          <w:kern w:val="2"/>
          <w:sz w:val="21"/>
          <w:szCs w:val="21"/>
        </w:rPr>
      </w:pPr>
      <w:r>
        <w:rPr>
          <w:rFonts w:hint="eastAsia" w:ascii="仿宋" w:hAnsi="仿宋" w:eastAsia="仿宋" w:cs="仿宋"/>
          <w:kern w:val="2"/>
          <w:sz w:val="21"/>
          <w:szCs w:val="21"/>
        </w:rPr>
        <w:t>最终成果验收合格的标志为采购人审查通过。</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（四）项目人员组成</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中标人需根据项目内容组建专业团队负责本项目工作，包含内容策划团队、数据采集团队、翻译团队、技术保障团队。</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（五）其他服务方面</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1.项目中标通知书发放之日即为工作启动时间。</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2.若由于中标人原因造成工作进度延迟，工作成果质量低劣，不能满足采购人工作需要和项目评审要求时，采购人有权终止合同，并根据中标人已完成的实际工作量，按相应工作阶段支付相关费用。同时，中标人应将已完成的阶段性成果移交给采购人。</w:t>
      </w:r>
    </w:p>
    <w:p>
      <w:pPr>
        <w:pStyle w:val="15"/>
        <w:spacing w:before="0" w:beforeAutospacing="0" w:after="0" w:afterAutospacing="0" w:line="360" w:lineRule="auto"/>
        <w:ind w:firstLine="422" w:firstLineChars="200"/>
        <w:outlineLvl w:val="1"/>
        <w:rPr>
          <w:rFonts w:ascii="仿宋" w:hAnsi="仿宋" w:eastAsia="仿宋"/>
          <w:b/>
          <w:color w:val="auto"/>
          <w:sz w:val="21"/>
          <w:szCs w:val="21"/>
          <w:highlight w:val="none"/>
        </w:rPr>
      </w:pPr>
      <w:r>
        <w:rPr>
          <w:rFonts w:hint="eastAsia" w:ascii="仿宋" w:hAnsi="仿宋" w:eastAsia="仿宋"/>
          <w:b/>
          <w:color w:val="auto"/>
          <w:sz w:val="21"/>
          <w:szCs w:val="21"/>
          <w:highlight w:val="none"/>
        </w:rPr>
        <w:t>三、商务要求</w:t>
      </w:r>
    </w:p>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（一）项目预算（限额）</w:t>
      </w:r>
    </w:p>
    <w:p>
      <w:pPr>
        <w:pStyle w:val="15"/>
        <w:spacing w:before="0" w:beforeAutospacing="0" w:after="0" w:afterAutospacing="0" w:line="360" w:lineRule="auto"/>
        <w:ind w:firstLine="420" w:firstLineChars="200"/>
        <w:rPr>
          <w:rFonts w:hint="eastAsia" w:ascii="仿宋" w:hAnsi="仿宋" w:eastAsia="仿宋"/>
          <w:bCs/>
          <w:color w:val="auto"/>
          <w:sz w:val="21"/>
          <w:szCs w:val="21"/>
          <w:highlight w:val="none"/>
          <w:lang w:eastAsia="zh-CN"/>
        </w:rPr>
      </w:pPr>
      <w:r>
        <w:rPr>
          <w:rFonts w:hint="eastAsia" w:ascii="仿宋" w:hAnsi="仿宋" w:eastAsia="仿宋"/>
          <w:bCs/>
          <w:color w:val="auto"/>
          <w:sz w:val="21"/>
          <w:szCs w:val="21"/>
          <w:highlight w:val="none"/>
        </w:rPr>
        <w:t>人民币</w:t>
      </w:r>
      <w:r>
        <w:rPr>
          <w:rFonts w:hint="eastAsia" w:ascii="仿宋" w:hAnsi="仿宋" w:eastAsia="仿宋"/>
          <w:bCs/>
          <w:color w:val="auto"/>
          <w:sz w:val="21"/>
          <w:szCs w:val="21"/>
          <w:highlight w:val="none"/>
          <w:lang w:eastAsia="zh-CN"/>
        </w:rPr>
        <w:t>捌拾万元整</w:t>
      </w:r>
      <w:r>
        <w:rPr>
          <w:rFonts w:hint="eastAsia" w:ascii="仿宋" w:hAnsi="仿宋" w:eastAsia="仿宋"/>
          <w:bCs/>
          <w:color w:val="auto"/>
          <w:sz w:val="21"/>
          <w:szCs w:val="21"/>
          <w:highlight w:val="none"/>
        </w:rPr>
        <w:t>（￥</w:t>
      </w:r>
      <w:r>
        <w:rPr>
          <w:rFonts w:hint="eastAsia" w:ascii="仿宋" w:hAnsi="仿宋" w:eastAsia="仿宋"/>
          <w:bCs/>
          <w:color w:val="auto"/>
          <w:sz w:val="21"/>
          <w:szCs w:val="21"/>
          <w:highlight w:val="none"/>
          <w:lang w:val="en-US" w:eastAsia="zh-CN"/>
        </w:rPr>
        <w:t>8</w:t>
      </w:r>
      <w:r>
        <w:rPr>
          <w:rFonts w:hint="eastAsia" w:ascii="仿宋" w:hAnsi="仿宋" w:eastAsia="仿宋"/>
          <w:bCs/>
          <w:color w:val="auto"/>
          <w:sz w:val="21"/>
          <w:szCs w:val="21"/>
          <w:highlight w:val="none"/>
        </w:rPr>
        <w:t>00,000.00元）</w:t>
      </w:r>
      <w:r>
        <w:rPr>
          <w:rFonts w:hint="eastAsia" w:ascii="仿宋" w:hAnsi="仿宋" w:eastAsia="仿宋"/>
          <w:bCs/>
          <w:color w:val="auto"/>
          <w:sz w:val="21"/>
          <w:szCs w:val="21"/>
          <w:highlight w:val="none"/>
          <w:lang w:eastAsia="zh-CN"/>
        </w:rPr>
        <w:t>，投标报价为人民币报价，本次投标为总价包干，投标报价包括了投标人完成本招标项目而发生的全部费用。</w:t>
      </w:r>
    </w:p>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（二）最终成果及验收方式</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《2022年度“一带一路”法治地图</w:t>
      </w:r>
      <w:r>
        <w:rPr>
          <w:rFonts w:hint="eastAsia" w:ascii="仿宋" w:hAnsi="仿宋" w:eastAsia="仿宋"/>
          <w:b w:val="0"/>
          <w:bCs/>
          <w:color w:val="auto"/>
          <w:sz w:val="21"/>
          <w:szCs w:val="21"/>
          <w:highlight w:val="none"/>
          <w:lang w:eastAsia="zh-CN"/>
        </w:rPr>
        <w:t>运营维护更新</w:t>
      </w:r>
      <w:r>
        <w:rPr>
          <w:rFonts w:hint="eastAsia" w:ascii="仿宋" w:hAnsi="仿宋" w:eastAsia="仿宋"/>
          <w:b w:val="0"/>
          <w:bCs/>
          <w:color w:val="auto"/>
          <w:sz w:val="21"/>
          <w:szCs w:val="21"/>
          <w:highlight w:val="none"/>
        </w:rPr>
        <w:t>项目完工报告》。</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甲方应在乙方提交项目总结报告后</w:t>
      </w:r>
      <w:r>
        <w:rPr>
          <w:rFonts w:hint="eastAsia" w:ascii="仿宋" w:hAnsi="仿宋" w:eastAsia="仿宋"/>
          <w:b w:val="0"/>
          <w:bCs/>
          <w:color w:val="auto"/>
          <w:sz w:val="21"/>
          <w:szCs w:val="21"/>
          <w:highlight w:val="none"/>
          <w:lang w:eastAsia="zh-CN"/>
        </w:rPr>
        <w:t>15个工作日</w:t>
      </w:r>
      <w:r>
        <w:rPr>
          <w:rFonts w:hint="eastAsia" w:ascii="仿宋" w:hAnsi="仿宋" w:eastAsia="仿宋"/>
          <w:b w:val="0"/>
          <w:bCs/>
          <w:color w:val="auto"/>
          <w:sz w:val="21"/>
          <w:szCs w:val="21"/>
          <w:highlight w:val="none"/>
        </w:rPr>
        <w:t>内组织召开专家评审会对总结报告进行评审。</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最终成果验收合格的标志为</w:t>
      </w:r>
      <w:r>
        <w:rPr>
          <w:rFonts w:hint="eastAsia" w:ascii="仿宋" w:hAnsi="仿宋" w:eastAsia="仿宋"/>
          <w:b w:val="0"/>
          <w:bCs/>
          <w:color w:val="auto"/>
          <w:sz w:val="21"/>
          <w:szCs w:val="21"/>
          <w:highlight w:val="none"/>
          <w:lang w:eastAsia="zh-CN"/>
        </w:rPr>
        <w:t>采购人</w:t>
      </w:r>
      <w:r>
        <w:rPr>
          <w:rFonts w:hint="eastAsia" w:ascii="仿宋" w:hAnsi="仿宋" w:eastAsia="仿宋"/>
          <w:b w:val="0"/>
          <w:bCs/>
          <w:color w:val="auto"/>
          <w:sz w:val="21"/>
          <w:szCs w:val="21"/>
          <w:highlight w:val="none"/>
        </w:rPr>
        <w:t>审查通过。</w:t>
      </w:r>
    </w:p>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（三）报价组成及支付方式</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1.报价</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中标人合同费用应包括项目研究、成果报告编制及后续服务等过程中的全部费用。在合同实施期间，除另签补充合同外，不接受中标人以任何理由、任何名目提出增加费用的要求。</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本项目报价包含但不限于：</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项目产生的快递费用；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项目调查及资料印制费用；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办公费用；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通讯费用；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市内交通费用； 项目成果文本印刷费用；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评审会费用。</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2.支付方式</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合同价款由采购人分</w:t>
      </w:r>
      <w:r>
        <w:rPr>
          <w:rFonts w:hint="eastAsia" w:ascii="仿宋" w:hAnsi="仿宋" w:eastAsia="仿宋"/>
          <w:bCs/>
          <w:color w:val="auto"/>
          <w:sz w:val="21"/>
          <w:szCs w:val="21"/>
          <w:highlight w:val="none"/>
          <w:lang w:val="en-US" w:eastAsia="zh-CN"/>
        </w:rPr>
        <w:t>2</w:t>
      </w:r>
      <w:r>
        <w:rPr>
          <w:rFonts w:hint="eastAsia" w:ascii="仿宋" w:hAnsi="仿宋" w:eastAsia="仿宋"/>
          <w:bCs/>
          <w:color w:val="auto"/>
          <w:sz w:val="21"/>
          <w:szCs w:val="21"/>
          <w:highlight w:val="none"/>
        </w:rPr>
        <w:t>期支付至中标人指定银行账户：</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首期：本合同签订后15个工作日内，中标人向采购人提出付款申请，采购人向中标人支付总价款的</w:t>
      </w:r>
      <w:r>
        <w:rPr>
          <w:rFonts w:hint="eastAsia" w:ascii="仿宋" w:hAnsi="仿宋" w:eastAsia="仿宋"/>
          <w:bCs/>
          <w:color w:val="auto"/>
          <w:sz w:val="21"/>
          <w:szCs w:val="21"/>
          <w:highlight w:val="none"/>
          <w:lang w:val="en-US" w:eastAsia="zh-CN"/>
        </w:rPr>
        <w:t>5</w:t>
      </w:r>
      <w:r>
        <w:rPr>
          <w:rFonts w:hint="default" w:ascii="仿宋" w:hAnsi="仿宋" w:eastAsia="仿宋"/>
          <w:bCs/>
          <w:color w:val="auto"/>
          <w:sz w:val="21"/>
          <w:szCs w:val="21"/>
          <w:highlight w:val="none"/>
        </w:rPr>
        <w:t>0</w:t>
      </w:r>
      <w:r>
        <w:rPr>
          <w:rFonts w:hint="eastAsia" w:ascii="仿宋" w:hAnsi="仿宋" w:eastAsia="仿宋"/>
          <w:bCs/>
          <w:color w:val="auto"/>
          <w:sz w:val="21"/>
          <w:szCs w:val="21"/>
          <w:highlight w:val="none"/>
        </w:rPr>
        <w:t>%；</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第2期：中标人提交</w:t>
      </w:r>
      <w:r>
        <w:rPr>
          <w:rFonts w:hint="eastAsia" w:ascii="仿宋" w:hAnsi="仿宋" w:eastAsia="仿宋"/>
          <w:bCs/>
          <w:color w:val="auto"/>
          <w:sz w:val="21"/>
          <w:szCs w:val="21"/>
          <w:highlight w:val="none"/>
          <w:lang w:eastAsia="zh-CN"/>
        </w:rPr>
        <w:t>终</w:t>
      </w:r>
      <w:r>
        <w:rPr>
          <w:rFonts w:hint="eastAsia" w:ascii="仿宋" w:hAnsi="仿宋" w:eastAsia="仿宋"/>
          <w:bCs/>
          <w:color w:val="auto"/>
          <w:sz w:val="21"/>
          <w:szCs w:val="21"/>
          <w:highlight w:val="none"/>
        </w:rPr>
        <w:t>期成果，通过成果验收后15个工作日内向采购人提出付款申请，采购人向中标人支付总价款的</w:t>
      </w:r>
      <w:r>
        <w:rPr>
          <w:rFonts w:hint="eastAsia" w:ascii="仿宋" w:hAnsi="仿宋" w:eastAsia="仿宋"/>
          <w:bCs/>
          <w:color w:val="auto"/>
          <w:sz w:val="21"/>
          <w:szCs w:val="21"/>
          <w:highlight w:val="none"/>
          <w:lang w:val="en-US" w:eastAsia="zh-CN"/>
        </w:rPr>
        <w:t>5</w:t>
      </w:r>
      <w:r>
        <w:rPr>
          <w:rFonts w:hint="eastAsia" w:ascii="仿宋" w:hAnsi="仿宋" w:eastAsia="仿宋"/>
          <w:bCs/>
          <w:color w:val="auto"/>
          <w:sz w:val="21"/>
          <w:szCs w:val="21"/>
          <w:highlight w:val="none"/>
        </w:rPr>
        <w:t>0%；</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上述每期款项均在满足付款条件，且采购人收到中标人开具的载明相应金额的合格发票后15个工作日内付至中标人指定银行账户。如未及时收到发票，则采购人相应付款时间顺延。</w:t>
      </w:r>
    </w:p>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（四）服务期限</w:t>
      </w:r>
    </w:p>
    <w:p>
      <w:pPr>
        <w:pStyle w:val="15"/>
        <w:spacing w:before="0" w:beforeAutospacing="0" w:after="0" w:afterAutospacing="0" w:line="360" w:lineRule="auto"/>
        <w:ind w:firstLine="420" w:firstLineChars="200"/>
        <w:rPr>
          <w:rFonts w:hint="eastAsia" w:ascii="仿宋" w:hAnsi="仿宋" w:eastAsia="仿宋"/>
          <w:color w:val="auto"/>
          <w:kern w:val="2"/>
          <w:sz w:val="21"/>
          <w:szCs w:val="21"/>
          <w:highlight w:val="none"/>
        </w:rPr>
      </w:pPr>
      <w:r>
        <w:rPr>
          <w:rFonts w:hint="eastAsia" w:ascii="仿宋" w:hAnsi="仿宋" w:eastAsia="仿宋"/>
          <w:color w:val="auto"/>
          <w:kern w:val="2"/>
          <w:sz w:val="21"/>
          <w:szCs w:val="21"/>
          <w:highlight w:val="none"/>
        </w:rPr>
        <w:t>自合同签订之日起一年内完成。</w:t>
      </w:r>
    </w:p>
    <w:p>
      <w:pPr>
        <w:pStyle w:val="15"/>
        <w:spacing w:before="0" w:beforeAutospacing="0" w:after="0" w:afterAutospacing="0" w:line="360" w:lineRule="auto"/>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本项目应在</w:t>
      </w:r>
      <w:r>
        <w:rPr>
          <w:rFonts w:hint="eastAsia" w:ascii="仿宋" w:hAnsi="仿宋" w:eastAsia="仿宋"/>
          <w:color w:val="auto"/>
          <w:kern w:val="2"/>
          <w:sz w:val="21"/>
          <w:szCs w:val="21"/>
          <w:highlight w:val="none"/>
          <w:lang w:eastAsia="zh-CN"/>
        </w:rPr>
        <w:t>一年</w:t>
      </w:r>
      <w:r>
        <w:rPr>
          <w:rFonts w:hint="eastAsia" w:ascii="仿宋" w:hAnsi="仿宋" w:eastAsia="仿宋"/>
          <w:color w:val="auto"/>
          <w:kern w:val="2"/>
          <w:sz w:val="21"/>
          <w:szCs w:val="21"/>
          <w:highlight w:val="none"/>
        </w:rPr>
        <w:t>内完成全部项目工作内容并提交最终成果。在合同履行过程中，在必要情况下，经各方协商一致，可对上述服务期限时间进行调整，并将最终成果提交日期按照工作进度顺延。</w:t>
      </w:r>
    </w:p>
    <w:p>
      <w:pPr>
        <w:pStyle w:val="15"/>
        <w:spacing w:before="0" w:beforeAutospacing="0" w:after="0" w:afterAutospacing="0" w:line="360" w:lineRule="auto"/>
        <w:ind w:firstLine="422" w:firstLineChars="200"/>
        <w:outlineLvl w:val="1"/>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四、其他要求</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（一）投标人应确保投标文件中提供的所有资料、信息真实、有效；</w:t>
      </w:r>
    </w:p>
    <w:p>
      <w:pPr>
        <w:tabs>
          <w:tab w:val="left" w:pos="1080"/>
        </w:tabs>
        <w:adjustRightInd w:val="0"/>
        <w:snapToGrid w:val="0"/>
        <w:spacing w:line="360" w:lineRule="auto"/>
        <w:ind w:firstLine="420" w:firstLineChars="200"/>
        <w:jc w:val="left"/>
        <w:rPr>
          <w:rFonts w:ascii="仿宋" w:hAnsi="仿宋" w:eastAsia="仿宋"/>
          <w:b/>
          <w:bCs/>
          <w:color w:val="auto"/>
          <w:szCs w:val="21"/>
          <w:highlight w:val="none"/>
        </w:rPr>
      </w:pPr>
      <w:r>
        <w:rPr>
          <w:rFonts w:hint="eastAsia" w:ascii="仿宋" w:hAnsi="仿宋" w:eastAsia="仿宋"/>
          <w:color w:val="auto"/>
          <w:szCs w:val="21"/>
          <w:highlight w:val="none"/>
        </w:rPr>
        <w:t>（二）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pPr>
        <w:pStyle w:val="6"/>
        <w:tabs>
          <w:tab w:val="left" w:pos="4680"/>
        </w:tabs>
        <w:spacing w:line="360" w:lineRule="auto"/>
        <w:rPr>
          <w:rFonts w:ascii="仿宋" w:hAnsi="仿宋" w:eastAsia="仿宋"/>
          <w:color w:val="auto"/>
          <w:sz w:val="21"/>
          <w:szCs w:val="21"/>
          <w:highlight w:val="none"/>
        </w:rPr>
      </w:pPr>
      <w:r>
        <w:rPr>
          <w:rFonts w:hint="eastAsia" w:ascii="仿宋" w:hAnsi="仿宋" w:eastAsia="仿宋"/>
          <w:color w:val="auto"/>
          <w:sz w:val="21"/>
          <w:szCs w:val="21"/>
          <w:highlight w:val="none"/>
        </w:rPr>
        <w:t>（三）中标人不得将项目非法分包或转包给任何单位和个人，否则采购人有权解除合同，中标人除应退还采购人已支付的全部款项外, 还应在合同解除通知发出之日起10日内向采购人支付合同总价款20%的违约金。中标人应同时将已完成的项目成果移交给采购人，并将全部有关资料退还采购人</w:t>
      </w:r>
      <w:r>
        <w:rPr>
          <w:color w:val="auto"/>
          <w:highlight w:val="none"/>
        </w:rPr>
        <w:t>。</w:t>
      </w:r>
    </w:p>
    <w:bookmarkEnd w:id="2"/>
    <w:p>
      <w:pPr>
        <w:widowControl/>
        <w:spacing w:line="360" w:lineRule="auto"/>
        <w:ind w:firstLine="422" w:firstLineChars="200"/>
        <w:outlineLvl w:val="1"/>
        <w:rPr>
          <w:rFonts w:ascii="楷体" w:hAnsi="楷体" w:eastAsia="楷体" w:cs="楷体"/>
          <w:b/>
          <w:color w:val="auto"/>
          <w:szCs w:val="21"/>
          <w:highlight w:val="none"/>
        </w:rPr>
      </w:pPr>
      <w:r>
        <w:rPr>
          <w:rFonts w:hint="eastAsia" w:ascii="仿宋" w:hAnsi="仿宋" w:eastAsia="仿宋" w:cs="宋体"/>
          <w:b/>
          <w:color w:val="auto"/>
          <w:kern w:val="2"/>
          <w:sz w:val="21"/>
          <w:szCs w:val="21"/>
          <w:highlight w:val="none"/>
        </w:rPr>
        <w:t>★</w:t>
      </w:r>
      <w:r>
        <w:rPr>
          <w:rFonts w:hint="eastAsia" w:ascii="仿宋" w:hAnsi="仿宋" w:eastAsia="仿宋" w:cs="宋体"/>
          <w:b/>
          <w:bCs/>
          <w:color w:val="auto"/>
          <w:kern w:val="0"/>
          <w:szCs w:val="21"/>
          <w:highlight w:val="none"/>
        </w:rPr>
        <w:t>五、成果归属</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（一）本项目全部阶段性成果和最终成果的所有权、知识产权以及与之相关的所有权利归采购方所有；本项目合同签署前各方已经拥有的知识产权权利，仍归各自所有。</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（二）各方确定，采购人有权对中标人按照招标文件约定提供的成果进行后续改进。由此产生的具有实质性或创造性技术进步特征的新的技术成果及其权利全部由采购人享有。</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四）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20%的违约金。同时，采购人保留中标人赔偿全部损失的权利。</w:t>
      </w:r>
    </w:p>
    <w:p>
      <w:pPr>
        <w:widowControl/>
        <w:spacing w:line="360" w:lineRule="auto"/>
        <w:ind w:firstLine="422" w:firstLineChars="200"/>
        <w:outlineLvl w:val="1"/>
        <w:rPr>
          <w:rFonts w:ascii="仿宋" w:hAnsi="仿宋" w:eastAsia="仿宋" w:cs="宋体"/>
          <w:b/>
          <w:bCs/>
          <w:color w:val="auto"/>
          <w:kern w:val="0"/>
          <w:szCs w:val="21"/>
          <w:highlight w:val="none"/>
        </w:rPr>
      </w:pPr>
      <w:r>
        <w:rPr>
          <w:rFonts w:hint="eastAsia" w:ascii="仿宋" w:hAnsi="仿宋" w:eastAsia="仿宋" w:cs="宋体"/>
          <w:b/>
          <w:color w:val="auto"/>
          <w:kern w:val="2"/>
          <w:sz w:val="21"/>
          <w:szCs w:val="21"/>
          <w:highlight w:val="none"/>
        </w:rPr>
        <w:t>★</w:t>
      </w:r>
      <w:r>
        <w:rPr>
          <w:rFonts w:hint="eastAsia" w:ascii="仿宋" w:hAnsi="仿宋" w:eastAsia="仿宋" w:cs="宋体"/>
          <w:b/>
          <w:bCs/>
          <w:color w:val="auto"/>
          <w:kern w:val="0"/>
          <w:szCs w:val="21"/>
          <w:highlight w:val="none"/>
        </w:rPr>
        <w:t>六、保密条款</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一）各方应保守的秘密是指不为公众所知悉、能为权利人带来经济利益、具有实用性并经权利人采取保密措施的技术信息和经营信息，或由各方在履行本项目合同过程中明确指明为秘密的、法律所认可的任何信息，以及中标人在履行本项目合同过程中所获得或接触到的任何采购人内部数据资料。</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二）各方应遵守国家的有关保密规定。妥善保管对方提供的资料，保守对方的各项秘密，并保护对方的知识产权。获取对方秘密的一方应当采取有效的保护方式防止秘密未经对方书面授权而被使用、传播或公开，仅可以将该秘密用于履行其在本合同项下的义务，且只能由相关的技术人员使用。</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三）中标人应以保密方式处理在编制本项目成果文件过程中自采购人、采购人工作人员或采购人关联机构获得的相关信息、资料、图纸、数据等，或由采购人在履行本项目合同过程中明确指明为秘密的任何信息，以及中标人因本项目工作内容所直接或间接取得、处理或接触的任何其他资料。未经采购人书面在先同意，中标人不得向任何其他方透露与本项目有关的内容，或公开本项目的阶段性成果或最终成果内容。即使向与履行本项目合同有关的人员提供前述保密信息，也应限于履行合同的必需范围，且这些人员应接受至少与本条款同等严格的保密条款的约束。</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（四）中标人实施项目的程序应符合国家安全、保密的有关规定和标准。</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（五）上述保密义务不适用以下情况：</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1.获取的信息已被合法公开或不属于商业秘密；</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2.获得信息拥有方书面许可并在该许可范围内披露；</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3.国家法律、法规规定的情形。</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六）如中标人违反上述保密条款，采购人有权解除项目合同，中标人应在合同解除通知发出之日起10日内向采购人支付项目合同服务费总金额20%的违约金，如果违约金无法弥补采购人损失，采购人保留要求中标人赔偿全部损失的权利。</w:t>
      </w:r>
    </w:p>
    <w:p>
      <w:pPr>
        <w:pStyle w:val="12"/>
        <w:adjustRightInd w:val="0"/>
        <w:snapToGrid w:val="0"/>
        <w:spacing w:line="360" w:lineRule="auto"/>
        <w:ind w:firstLine="400" w:firstLineChars="200"/>
        <w:rPr>
          <w:rFonts w:ascii="仿宋" w:hAnsi="仿宋" w:eastAsia="仿宋"/>
          <w:b/>
          <w:color w:val="auto"/>
          <w:sz w:val="21"/>
          <w:szCs w:val="21"/>
          <w:highlight w:val="none"/>
        </w:rPr>
      </w:pPr>
      <w:r>
        <w:rPr>
          <w:rFonts w:hint="eastAsia" w:ascii="仿宋" w:hAnsi="仿宋" w:eastAsia="仿宋"/>
          <w:color w:val="auto"/>
          <w:szCs w:val="21"/>
          <w:highlight w:val="none"/>
        </w:rPr>
        <w:t>（七）无论项目合同或项目合同其他条款是否有效，本保密条款始终约束采购人和中标人。国家秘密的保密期限由国家有关部门确定，工作秘密的保密期限由采购人确定。</w:t>
      </w:r>
    </w:p>
    <w:p>
      <w:pPr>
        <w:widowControl/>
        <w:spacing w:line="360" w:lineRule="auto"/>
        <w:ind w:firstLine="422" w:firstLineChars="200"/>
        <w:outlineLvl w:val="1"/>
        <w:rPr>
          <w:rFonts w:ascii="楷体" w:hAnsi="楷体" w:eastAsia="楷体" w:cs="楷体"/>
          <w:b/>
          <w:color w:val="auto"/>
          <w:szCs w:val="21"/>
          <w:highlight w:val="none"/>
        </w:rPr>
      </w:pPr>
      <w:r>
        <w:rPr>
          <w:rFonts w:hint="eastAsia" w:ascii="仿宋" w:hAnsi="仿宋" w:eastAsia="仿宋" w:cs="宋体"/>
          <w:b/>
          <w:color w:val="auto"/>
          <w:kern w:val="2"/>
          <w:sz w:val="21"/>
          <w:szCs w:val="21"/>
          <w:highlight w:val="none"/>
        </w:rPr>
        <w:t>★</w:t>
      </w:r>
      <w:r>
        <w:rPr>
          <w:rFonts w:hint="eastAsia" w:ascii="楷体" w:hAnsi="楷体" w:eastAsia="楷体" w:cs="楷体"/>
          <w:b/>
          <w:color w:val="auto"/>
          <w:kern w:val="0"/>
          <w:szCs w:val="21"/>
          <w:highlight w:val="none"/>
        </w:rPr>
        <w:t>七、</w:t>
      </w:r>
      <w:r>
        <w:rPr>
          <w:rFonts w:hint="eastAsia" w:ascii="楷体" w:hAnsi="楷体" w:eastAsia="楷体" w:cs="楷体"/>
          <w:b/>
          <w:color w:val="auto"/>
          <w:szCs w:val="21"/>
          <w:highlight w:val="none"/>
        </w:rPr>
        <w:t>违约责任</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（一）如中标人未按照约定的时间完成相关工作要求，每迟延一日，采购人有权扣除本项目服务费总金额的3‰的逾期违约金。</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（二）本协议项下的工作内容不可分割，任一文件的迟延交付均视为整个项目的迟延交付。</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三）本协议履行期间，发生下述情形时，采购方有权解除本合同，中标人除应退还采购人已支付的全部款项外,还应在合同解除通知发出之日起10日内向采购人支付项目总价款20%的违约金。中标人应同时将已完成的项目成果移交给采购人，并将全部有关资料退还采购人：</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1.中标人未能按协议约定的日期(含协商延缓的日期)完成工作或提交成果，延误时间超过15个工作日；</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2.因中标人工作的错误或遗漏造成成果质量不符合本合同要求，且中标人未按采购人要求采取及时有效的补救措施的；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3.中标人虽如期完成工作或提交工作成果，但工作成果连续两次未能通过采购人验收的；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4.未经采购人书面在先同意，中标人擅自将本项目与任何第三方合作，或将本项目标的的全部或部分擅自转包或分包给任何第三方，且未按采购人的要求终止与第三方的协议的；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5.</w:t>
      </w:r>
      <w:r>
        <w:rPr>
          <w:rFonts w:hint="eastAsia" w:ascii="仿宋" w:hAnsi="仿宋" w:eastAsia="仿宋" w:cs="仿宋"/>
          <w:szCs w:val="21"/>
          <w:highlight w:val="none"/>
          <w:lang w:bidi="ar"/>
        </w:rPr>
        <w:t>项目负责人未承担本合同项目实质性工作，或未经</w:t>
      </w:r>
      <w:r>
        <w:rPr>
          <w:rFonts w:hint="eastAsia" w:ascii="仿宋" w:hAnsi="仿宋" w:eastAsia="仿宋" w:cs="仿宋"/>
          <w:szCs w:val="21"/>
          <w:highlight w:val="none"/>
          <w:lang w:val="en-US" w:eastAsia="zh-CN" w:bidi="ar"/>
        </w:rPr>
        <w:t>采购人</w:t>
      </w:r>
      <w:r>
        <w:rPr>
          <w:rFonts w:hint="eastAsia" w:ascii="仿宋" w:hAnsi="仿宋" w:eastAsia="仿宋" w:cs="仿宋"/>
          <w:szCs w:val="21"/>
          <w:highlight w:val="none"/>
          <w:lang w:bidi="ar"/>
        </w:rPr>
        <w:t>书面在先同意，</w:t>
      </w:r>
      <w:r>
        <w:rPr>
          <w:rFonts w:hint="eastAsia" w:ascii="仿宋" w:hAnsi="仿宋" w:eastAsia="仿宋" w:cs="仿宋"/>
          <w:szCs w:val="21"/>
          <w:highlight w:val="none"/>
          <w:lang w:val="en-US" w:eastAsia="zh-CN" w:bidi="ar"/>
        </w:rPr>
        <w:t>中标人</w:t>
      </w:r>
      <w:r>
        <w:rPr>
          <w:rFonts w:hint="eastAsia" w:ascii="仿宋" w:hAnsi="仿宋" w:eastAsia="仿宋" w:cs="仿宋"/>
          <w:szCs w:val="21"/>
          <w:highlight w:val="none"/>
          <w:lang w:bidi="ar"/>
        </w:rPr>
        <w:t>擅自更换项目负责人的；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发现中标人或中标人工作人员出现全部或部分丧失履行委托服务能力的情况，采购人有权通知中标人限期整改或更换工作人员，期限届满中标人并未进行改善的；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7</w:t>
      </w:r>
      <w:r>
        <w:rPr>
          <w:rFonts w:hint="eastAsia" w:ascii="仿宋" w:hAnsi="仿宋" w:eastAsia="仿宋"/>
          <w:color w:val="auto"/>
          <w:sz w:val="21"/>
          <w:szCs w:val="21"/>
          <w:highlight w:val="none"/>
        </w:rPr>
        <w:t>.</w:t>
      </w:r>
      <w:r>
        <w:rPr>
          <w:rFonts w:hint="eastAsia" w:ascii="仿宋" w:hAnsi="仿宋" w:eastAsia="仿宋" w:cs="仿宋"/>
          <w:szCs w:val="21"/>
          <w:highlight w:val="none"/>
          <w:lang w:bidi="ar"/>
        </w:rPr>
        <w:t>因</w:t>
      </w:r>
      <w:r>
        <w:rPr>
          <w:rFonts w:hint="eastAsia" w:ascii="仿宋" w:hAnsi="仿宋" w:eastAsia="仿宋" w:cs="仿宋"/>
          <w:szCs w:val="21"/>
          <w:highlight w:val="none"/>
          <w:lang w:val="en-US" w:eastAsia="zh-CN" w:bidi="ar"/>
        </w:rPr>
        <w:t>中标人</w:t>
      </w:r>
      <w:r>
        <w:rPr>
          <w:rFonts w:hint="eastAsia" w:ascii="仿宋" w:hAnsi="仿宋" w:eastAsia="仿宋" w:cs="仿宋"/>
          <w:szCs w:val="21"/>
          <w:highlight w:val="none"/>
          <w:lang w:bidi="ar"/>
        </w:rPr>
        <w:t>项目团队人员不稳定等原因导致本项目进度延误或质量低劣的；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8.</w:t>
      </w:r>
      <w:r>
        <w:rPr>
          <w:rFonts w:hint="eastAsia" w:ascii="仿宋" w:hAnsi="仿宋" w:eastAsia="仿宋"/>
          <w:color w:val="auto"/>
          <w:sz w:val="21"/>
          <w:szCs w:val="21"/>
          <w:highlight w:val="none"/>
        </w:rPr>
        <w:t>中标人明确表示或者以自己的行为表明不履行本协议的。</w:t>
      </w:r>
    </w:p>
    <w:p>
      <w:pPr>
        <w:pStyle w:val="12"/>
        <w:adjustRightInd w:val="0"/>
        <w:snapToGrid w:val="0"/>
        <w:spacing w:line="360" w:lineRule="auto"/>
        <w:ind w:firstLine="420" w:firstLineChars="200"/>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9.</w:t>
      </w:r>
      <w:r>
        <w:rPr>
          <w:rFonts w:hint="eastAsia" w:ascii="仿宋" w:hAnsi="仿宋" w:eastAsia="仿宋" w:cs="仿宋"/>
          <w:szCs w:val="21"/>
          <w:lang w:bidi="ar"/>
        </w:rPr>
        <w:t>因</w:t>
      </w:r>
      <w:r>
        <w:rPr>
          <w:rFonts w:hint="eastAsia" w:ascii="仿宋" w:hAnsi="仿宋" w:eastAsia="仿宋"/>
          <w:color w:val="auto"/>
          <w:sz w:val="21"/>
          <w:szCs w:val="21"/>
          <w:highlight w:val="none"/>
        </w:rPr>
        <w:t>中标人</w:t>
      </w:r>
      <w:r>
        <w:rPr>
          <w:rFonts w:hint="eastAsia" w:ascii="仿宋" w:hAnsi="仿宋" w:eastAsia="仿宋" w:cs="仿宋"/>
          <w:szCs w:val="21"/>
          <w:lang w:bidi="ar"/>
        </w:rPr>
        <w:t>原因，导致有关素材（包括但不限于数据、相片等）丢失、毁灭或无法恢复的。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（四）如</w:t>
      </w:r>
      <w:r>
        <w:rPr>
          <w:rFonts w:hint="eastAsia" w:ascii="仿宋" w:hAnsi="仿宋" w:eastAsia="仿宋"/>
          <w:color w:val="auto"/>
          <w:sz w:val="21"/>
          <w:szCs w:val="21"/>
          <w:highlight w:val="none"/>
        </w:rPr>
        <w:t>采购人</w:t>
      </w:r>
      <w:r>
        <w:rPr>
          <w:rFonts w:hint="eastAsia" w:ascii="仿宋" w:hAnsi="仿宋" w:eastAsia="仿宋" w:cs="仿宋"/>
          <w:szCs w:val="21"/>
          <w:lang w:bidi="ar"/>
        </w:rPr>
        <w:t>未按照本合同约定的时间支付服务费，</w:t>
      </w:r>
      <w:r>
        <w:rPr>
          <w:rFonts w:hint="eastAsia" w:ascii="仿宋" w:hAnsi="仿宋" w:eastAsia="仿宋"/>
          <w:color w:val="auto"/>
          <w:sz w:val="21"/>
          <w:szCs w:val="21"/>
          <w:highlight w:val="none"/>
        </w:rPr>
        <w:t>中标人</w:t>
      </w:r>
      <w:r>
        <w:rPr>
          <w:rFonts w:hint="eastAsia" w:ascii="仿宋" w:hAnsi="仿宋" w:eastAsia="仿宋" w:cs="仿宋"/>
          <w:szCs w:val="21"/>
          <w:lang w:bidi="ar"/>
        </w:rPr>
        <w:t>书面催告</w:t>
      </w:r>
      <w:r>
        <w:rPr>
          <w:rFonts w:hint="eastAsia" w:ascii="仿宋" w:hAnsi="仿宋" w:eastAsia="仿宋"/>
          <w:color w:val="auto"/>
          <w:sz w:val="21"/>
          <w:szCs w:val="21"/>
          <w:highlight w:val="none"/>
        </w:rPr>
        <w:t>采购人</w:t>
      </w:r>
      <w:r>
        <w:rPr>
          <w:rFonts w:hint="eastAsia" w:ascii="仿宋" w:hAnsi="仿宋" w:eastAsia="仿宋" w:cs="仿宋"/>
          <w:szCs w:val="21"/>
          <w:lang w:bidi="ar"/>
        </w:rPr>
        <w:t>并给予不少于30个工作日的履行期限后</w:t>
      </w:r>
      <w:r>
        <w:rPr>
          <w:rFonts w:hint="eastAsia" w:ascii="仿宋" w:hAnsi="仿宋" w:eastAsia="仿宋"/>
          <w:color w:val="auto"/>
          <w:sz w:val="21"/>
          <w:szCs w:val="21"/>
          <w:highlight w:val="none"/>
        </w:rPr>
        <w:t>采购人</w:t>
      </w:r>
      <w:r>
        <w:rPr>
          <w:rFonts w:hint="eastAsia" w:ascii="仿宋" w:hAnsi="仿宋" w:eastAsia="仿宋" w:cs="仿宋"/>
          <w:szCs w:val="21"/>
          <w:lang w:bidi="ar"/>
        </w:rPr>
        <w:t>仍未支付的，</w:t>
      </w:r>
      <w:r>
        <w:rPr>
          <w:rFonts w:hint="eastAsia" w:ascii="仿宋" w:hAnsi="仿宋" w:eastAsia="仿宋"/>
          <w:color w:val="auto"/>
          <w:sz w:val="21"/>
          <w:szCs w:val="21"/>
          <w:highlight w:val="none"/>
        </w:rPr>
        <w:t>中标人</w:t>
      </w:r>
      <w:r>
        <w:rPr>
          <w:rFonts w:hint="eastAsia" w:ascii="仿宋" w:hAnsi="仿宋" w:eastAsia="仿宋" w:cs="仿宋"/>
          <w:szCs w:val="21"/>
          <w:lang w:bidi="ar"/>
        </w:rPr>
        <w:t>有权自该期限届满之日起要求</w:t>
      </w:r>
      <w:r>
        <w:rPr>
          <w:rFonts w:hint="eastAsia" w:ascii="仿宋" w:hAnsi="仿宋" w:eastAsia="仿宋"/>
          <w:color w:val="auto"/>
          <w:sz w:val="21"/>
          <w:szCs w:val="21"/>
          <w:highlight w:val="none"/>
        </w:rPr>
        <w:t>采购人</w:t>
      </w:r>
      <w:r>
        <w:rPr>
          <w:rFonts w:hint="eastAsia" w:ascii="仿宋" w:hAnsi="仿宋" w:eastAsia="仿宋" w:cs="仿宋"/>
          <w:szCs w:val="21"/>
          <w:lang w:bidi="ar"/>
        </w:rPr>
        <w:t>支付该阶段应付而未付合同价款每日1‰的逾期违约金。如</w:t>
      </w:r>
      <w:r>
        <w:rPr>
          <w:rFonts w:hint="eastAsia" w:ascii="仿宋" w:hAnsi="仿宋" w:eastAsia="仿宋"/>
          <w:color w:val="auto"/>
          <w:sz w:val="21"/>
          <w:szCs w:val="21"/>
          <w:highlight w:val="none"/>
        </w:rPr>
        <w:t>采购人</w:t>
      </w:r>
      <w:r>
        <w:rPr>
          <w:rFonts w:hint="eastAsia" w:ascii="仿宋" w:hAnsi="仿宋" w:eastAsia="仿宋" w:cs="仿宋"/>
          <w:szCs w:val="21"/>
          <w:lang w:bidi="ar"/>
        </w:rPr>
        <w:t>无正当理由拒绝接受服务，到期明确表示拒付服务款项，</w:t>
      </w:r>
      <w:r>
        <w:rPr>
          <w:rFonts w:hint="eastAsia" w:ascii="仿宋" w:hAnsi="仿宋" w:eastAsia="仿宋"/>
          <w:color w:val="auto"/>
          <w:sz w:val="21"/>
          <w:szCs w:val="21"/>
          <w:highlight w:val="none"/>
        </w:rPr>
        <w:t>中标人</w:t>
      </w:r>
      <w:r>
        <w:rPr>
          <w:rFonts w:hint="eastAsia" w:ascii="仿宋" w:hAnsi="仿宋" w:eastAsia="仿宋" w:cs="仿宋"/>
          <w:szCs w:val="21"/>
          <w:lang w:bidi="ar"/>
        </w:rPr>
        <w:t>有权要求</w:t>
      </w:r>
      <w:r>
        <w:rPr>
          <w:rFonts w:hint="eastAsia" w:ascii="仿宋" w:hAnsi="仿宋" w:eastAsia="仿宋"/>
          <w:color w:val="auto"/>
          <w:sz w:val="21"/>
          <w:szCs w:val="21"/>
          <w:highlight w:val="none"/>
        </w:rPr>
        <w:t>采购人</w:t>
      </w:r>
      <w:r>
        <w:rPr>
          <w:rFonts w:hint="eastAsia" w:ascii="仿宋" w:hAnsi="仿宋" w:eastAsia="仿宋" w:cs="仿宋"/>
          <w:szCs w:val="21"/>
          <w:lang w:bidi="ar"/>
        </w:rPr>
        <w:t>支付本合同项下服务费总金额20%的违约金。</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（五）上述违约责任各自独立且可累加。如本合同所约定的违约金无法弥补因违约行为所造成的损失，违约方应补偿上述不足部分的损失。</w:t>
      </w:r>
    </w:p>
    <w:p>
      <w:pPr>
        <w:pStyle w:val="3"/>
        <w:rPr>
          <w:color w:val="auto"/>
          <w:highlight w:val="none"/>
        </w:rPr>
      </w:pPr>
      <w:r>
        <w:rPr>
          <w:color w:val="auto"/>
          <w:highlight w:val="none"/>
        </w:rPr>
        <w:br w:type="page"/>
      </w:r>
      <w:r>
        <w:rPr>
          <w:rFonts w:hint="eastAsia"/>
          <w:color w:val="auto"/>
          <w:highlight w:val="none"/>
        </w:rPr>
        <w:t>第六章 评分方法</w:t>
      </w:r>
    </w:p>
    <w:p>
      <w:pPr>
        <w:pStyle w:val="15"/>
        <w:spacing w:before="156" w:beforeLines="50"/>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本次评标采用“综合评分法”，按照招标文件中规定的各项因素进行量化打分，以评标总得分最高的投标人为中标人。</w:t>
      </w:r>
    </w:p>
    <w:p>
      <w:pPr>
        <w:pStyle w:val="15"/>
        <w:spacing w:before="156" w:beforeLines="50"/>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确定中标供应商按评审后得分由高到低顺序排列。评审后得分由高到低顺序排列，得分相同的，技术因素得分高者排名优先。若技术因素得分也相同，则由评标委员以少数服从多数的原则投票推选出招标项目的第一名。</w:t>
      </w:r>
    </w:p>
    <w:p>
      <w:pPr>
        <w:pStyle w:val="15"/>
        <w:spacing w:before="156" w:beforeLines="50"/>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评审委员会对每个通过资格性检查和符合性检查且报价不超过预算控制金额的投标供应商进行评审、打分，然后汇总每个投标供应商每项评分因素的评分。</w:t>
      </w:r>
    </w:p>
    <w:p>
      <w:pPr>
        <w:pStyle w:val="15"/>
        <w:spacing w:before="156" w:beforeLines="50" w:beforeAutospacing="0" w:after="0" w:afterAutospacing="0"/>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评委会在评标时，按照以下量化的评审因素，对进入该阶段评审的各投标文件进行分析和比较：</w:t>
      </w:r>
    </w:p>
    <w:p>
      <w:pPr>
        <w:autoSpaceDE w:val="0"/>
        <w:autoSpaceDN w:val="0"/>
        <w:adjustRightInd w:val="0"/>
        <w:jc w:val="center"/>
        <w:rPr>
          <w:rFonts w:ascii="仿宋" w:hAnsi="仿宋" w:eastAsia="仿宋"/>
          <w:color w:val="auto"/>
          <w:szCs w:val="21"/>
          <w:highlight w:val="none"/>
        </w:rPr>
      </w:pPr>
      <w:r>
        <w:rPr>
          <w:rFonts w:hint="eastAsia" w:ascii="仿宋" w:hAnsi="仿宋" w:eastAsia="仿宋" w:cs="宋体"/>
          <w:b/>
          <w:color w:val="auto"/>
          <w:sz w:val="28"/>
          <w:szCs w:val="28"/>
          <w:highlight w:val="none"/>
        </w:rPr>
        <w:t>评审细则表</w:t>
      </w:r>
    </w:p>
    <w:tbl>
      <w:tblPr>
        <w:tblStyle w:val="18"/>
        <w:tblW w:w="8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46"/>
        <w:gridCol w:w="623"/>
        <w:gridCol w:w="5385"/>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lang w:val="zh-CN"/>
              </w:rPr>
            </w:pPr>
            <w:r>
              <w:rPr>
                <w:rFonts w:hint="eastAsia" w:ascii="仿宋" w:hAnsi="仿宋" w:eastAsia="仿宋" w:cs="仿宋"/>
                <w:b/>
                <w:color w:val="000000"/>
                <w:szCs w:val="21"/>
                <w:lang w:val="zh-CN" w:bidi="ar"/>
              </w:rPr>
              <w:t>评分项及评分规则</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lang w:val="zh-CN"/>
              </w:rPr>
            </w:pPr>
            <w:r>
              <w:rPr>
                <w:rFonts w:hint="eastAsia" w:ascii="仿宋" w:hAnsi="仿宋" w:eastAsia="仿宋" w:cs="仿宋"/>
                <w:b/>
                <w:color w:val="000000"/>
                <w:szCs w:val="21"/>
                <w:lang w:val="zh-CN" w:bidi="ar"/>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lang w:val="zh-CN"/>
              </w:rPr>
            </w:pPr>
            <w:r>
              <w:rPr>
                <w:rFonts w:hint="eastAsia" w:ascii="仿宋" w:hAnsi="仿宋" w:eastAsia="仿宋" w:cs="仿宋"/>
                <w:b/>
                <w:color w:val="000000"/>
                <w:szCs w:val="21"/>
                <w:lang w:val="zh-CN" w:bidi="ar"/>
              </w:rPr>
              <w:t>一、投标报价</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47"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426"/>
                <w:tab w:val="left" w:pos="4159"/>
              </w:tabs>
              <w:autoSpaceDE w:val="0"/>
              <w:autoSpaceDN w:val="0"/>
              <w:jc w:val="left"/>
              <w:rPr>
                <w:rFonts w:hint="eastAsia" w:ascii="仿宋" w:hAnsi="仿宋" w:eastAsia="仿宋" w:cs="仿宋"/>
                <w:szCs w:val="21"/>
                <w:lang w:bidi="ar"/>
              </w:rPr>
            </w:pPr>
            <w:r>
              <w:rPr>
                <w:rFonts w:hint="eastAsia" w:ascii="仿宋" w:hAnsi="仿宋" w:eastAsia="仿宋" w:cs="仿宋"/>
                <w:szCs w:val="21"/>
                <w:lang w:bidi="ar"/>
              </w:rPr>
              <w:t>根据《政府采购货物和服务招标投标管理办法》（财政部令第87号）采用低价优先法，即满足招标文件要求且投标价格最低的投标报价为评标基准价，其价格分为满分。其他投标人的价格分按照下列公式计算：</w:t>
            </w:r>
          </w:p>
          <w:p>
            <w:pPr>
              <w:tabs>
                <w:tab w:val="left" w:pos="426"/>
                <w:tab w:val="left" w:pos="4159"/>
              </w:tabs>
              <w:autoSpaceDE w:val="0"/>
              <w:autoSpaceDN w:val="0"/>
              <w:jc w:val="left"/>
              <w:rPr>
                <w:rFonts w:hint="eastAsia" w:ascii="仿宋" w:hAnsi="仿宋" w:eastAsia="仿宋" w:cs="仿宋"/>
                <w:szCs w:val="21"/>
                <w:lang w:bidi="ar"/>
              </w:rPr>
            </w:pPr>
            <w:r>
              <w:rPr>
                <w:rFonts w:hint="eastAsia" w:ascii="仿宋" w:hAnsi="仿宋" w:eastAsia="仿宋" w:cs="仿宋"/>
                <w:szCs w:val="21"/>
                <w:lang w:bidi="ar"/>
              </w:rPr>
              <w:t>投标报价得分=(评标基准价／投标报价)×价格分</w:t>
            </w:r>
          </w:p>
          <w:p>
            <w:pPr>
              <w:tabs>
                <w:tab w:val="left" w:pos="426"/>
                <w:tab w:val="left" w:pos="4159"/>
              </w:tabs>
              <w:autoSpaceDE w:val="0"/>
              <w:autoSpaceDN w:val="0"/>
              <w:jc w:val="left"/>
              <w:rPr>
                <w:rFonts w:hint="eastAsia" w:ascii="仿宋" w:hAnsi="仿宋" w:eastAsia="仿宋" w:cs="仿宋"/>
                <w:szCs w:val="21"/>
                <w:lang w:bidi="ar"/>
              </w:rPr>
            </w:pPr>
            <w:r>
              <w:rPr>
                <w:rFonts w:hint="eastAsia" w:ascii="仿宋" w:hAnsi="仿宋" w:eastAsia="仿宋" w:cs="仿宋"/>
                <w:szCs w:val="21"/>
                <w:lang w:bidi="ar"/>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tabs>
                <w:tab w:val="left" w:pos="426"/>
                <w:tab w:val="left" w:pos="4159"/>
              </w:tabs>
              <w:autoSpaceDE w:val="0"/>
              <w:autoSpaceDN w:val="0"/>
              <w:jc w:val="left"/>
              <w:rPr>
                <w:rFonts w:hint="eastAsia" w:ascii="仿宋" w:hAnsi="仿宋" w:eastAsia="仿宋" w:cs="仿宋"/>
                <w:b/>
                <w:color w:val="000000"/>
                <w:szCs w:val="21"/>
              </w:rPr>
            </w:pPr>
            <w:r>
              <w:rPr>
                <w:rFonts w:hint="eastAsia" w:ascii="仿宋" w:hAnsi="仿宋" w:eastAsia="仿宋" w:cs="仿宋"/>
                <w:szCs w:val="21"/>
                <w:lang w:bidi="ar"/>
              </w:rPr>
              <w:t>监狱企业应当提供由省级以上监狱管理局、戒毒管理局（含新疆生产建设兵团）出具的属于监狱企业的证明文件，中小企业提供中小企业声明函，残疾人福利性企业提供残疾人福利性企业声明函。投标人的报价明显低于其他通过符合性审查投标人的报价，有可能影响产品质量或者不能诚信履约的，评委会有权要求投标供应商在规定时间内提供书面说明以及必要的证明材料，并根据投标人的说明作相应处理。若评标委员会成员对是否须由投标人作出报价合理性说明，以及书面说明是否采纳等判断不一致的，按照“少数服从多数”的原则确定评标委员会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lang w:val="zh-CN"/>
              </w:rPr>
            </w:pPr>
            <w:r>
              <w:rPr>
                <w:rFonts w:hint="eastAsia" w:ascii="仿宋" w:hAnsi="仿宋" w:eastAsia="仿宋" w:cs="仿宋"/>
                <w:b/>
                <w:color w:val="000000"/>
                <w:szCs w:val="21"/>
                <w:lang w:val="zh-CN" w:bidi="ar"/>
              </w:rPr>
              <w:t>二、商务部分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default" w:ascii="仿宋" w:hAnsi="仿宋" w:eastAsia="仿宋" w:cs="仿宋"/>
                <w:b/>
                <w:color w:val="000000"/>
                <w:szCs w:val="21"/>
              </w:rPr>
            </w:pPr>
            <w:r>
              <w:rPr>
                <w:rFonts w:hint="default" w:ascii="仿宋" w:hAnsi="仿宋" w:eastAsia="仿宋" w:cs="仿宋"/>
                <w:b/>
                <w:color w:val="000000"/>
                <w:szCs w:val="21"/>
                <w:highlight w:val="yellow"/>
                <w:lang w:bidi="ar"/>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3"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序号</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内容</w:t>
            </w:r>
          </w:p>
        </w:tc>
        <w:tc>
          <w:tcPr>
            <w:tcW w:w="623"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权重</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评分规则</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b/>
                <w:color w:val="000000"/>
                <w:szCs w:val="21"/>
                <w:lang w:bidi="ar"/>
              </w:rPr>
              <w:t>1</w:t>
            </w:r>
          </w:p>
        </w:tc>
        <w:tc>
          <w:tcPr>
            <w:tcW w:w="1346"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jc w:val="center"/>
              <w:rPr>
                <w:rFonts w:hint="eastAsia" w:ascii="仿宋" w:hAnsi="仿宋" w:eastAsia="仿宋" w:cs="仿宋"/>
                <w:color w:val="000000"/>
                <w:szCs w:val="21"/>
              </w:rPr>
            </w:pPr>
            <w:r>
              <w:rPr>
                <w:rFonts w:hint="eastAsia" w:ascii="仿宋" w:hAnsi="仿宋" w:eastAsia="仿宋" w:cs="仿宋"/>
                <w:color w:val="000000"/>
                <w:szCs w:val="21"/>
                <w:lang w:bidi="ar"/>
              </w:rPr>
              <w:t>项目负责人</w:t>
            </w:r>
          </w:p>
        </w:tc>
        <w:tc>
          <w:tcPr>
            <w:tcW w:w="623"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5</w:t>
            </w:r>
          </w:p>
        </w:tc>
        <w:tc>
          <w:tcPr>
            <w:tcW w:w="5385" w:type="dxa"/>
            <w:tcBorders>
              <w:top w:val="single" w:color="auto" w:sz="6" w:space="0"/>
              <w:left w:val="single" w:color="auto" w:sz="6" w:space="0"/>
              <w:bottom w:val="single" w:color="auto" w:sz="4" w:space="0"/>
              <w:right w:val="single" w:color="auto" w:sz="6" w:space="0"/>
            </w:tcBorders>
            <w:noWrap w:val="0"/>
            <w:vAlign w:val="center"/>
          </w:tcPr>
          <w:p>
            <w:pPr>
              <w:pStyle w:val="47"/>
              <w:widowControl/>
              <w:numPr>
                <w:ilvl w:val="0"/>
                <w:numId w:val="3"/>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评分内容：拟安排本项目的项目负责人具有法律实务经验及国际化（含港澳台）教育背景的得5分，否则本项不得分。</w:t>
            </w:r>
          </w:p>
          <w:p>
            <w:pPr>
              <w:pStyle w:val="47"/>
              <w:widowControl/>
              <w:numPr>
                <w:ilvl w:val="0"/>
                <w:numId w:val="3"/>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法律实务经验：提供从事法律实务（包括但不限于律师、仲裁员）1年以上的资格证书</w:t>
            </w:r>
            <w:r>
              <w:rPr>
                <w:rFonts w:hint="eastAsia" w:ascii="仿宋" w:hAnsi="仿宋" w:eastAsia="仿宋" w:cs="仿宋"/>
                <w:color w:val="000000"/>
                <w:szCs w:val="21"/>
                <w:lang w:eastAsia="zh-CN"/>
              </w:rPr>
              <w:t>（律师执业资格证书，获仲裁机构认可的仲裁员执业资格证书或任命证书亦可）</w:t>
            </w:r>
            <w:r>
              <w:rPr>
                <w:rFonts w:hint="eastAsia" w:ascii="仿宋" w:hAnsi="仿宋" w:eastAsia="仿宋" w:cs="仿宋"/>
                <w:color w:val="000000"/>
                <w:szCs w:val="21"/>
                <w:lang w:val="en-US" w:eastAsia="zh-CN"/>
              </w:rPr>
              <w:t>以</w:t>
            </w:r>
            <w:r>
              <w:rPr>
                <w:rFonts w:hint="eastAsia" w:ascii="仿宋" w:hAnsi="仿宋" w:eastAsia="仿宋" w:cs="仿宋"/>
                <w:color w:val="000000"/>
                <w:szCs w:val="21"/>
              </w:rPr>
              <w:t>及</w:t>
            </w:r>
            <w:r>
              <w:rPr>
                <w:rFonts w:hint="eastAsia" w:ascii="仿宋" w:hAnsi="仿宋" w:eastAsia="仿宋" w:cs="仿宋"/>
                <w:color w:val="000000"/>
                <w:szCs w:val="21"/>
                <w:lang w:val="en-US" w:eastAsia="zh-CN"/>
              </w:rPr>
              <w:t>投标人</w:t>
            </w:r>
            <w:r>
              <w:rPr>
                <w:rFonts w:hint="eastAsia" w:ascii="仿宋" w:hAnsi="仿宋" w:eastAsia="仿宋" w:cs="仿宋"/>
                <w:color w:val="000000"/>
                <w:szCs w:val="21"/>
              </w:rPr>
              <w:t>单位证明文件（劳动合同</w:t>
            </w:r>
            <w:r>
              <w:rPr>
                <w:rFonts w:hint="eastAsia" w:ascii="仿宋" w:hAnsi="仿宋" w:eastAsia="仿宋" w:cs="仿宋"/>
                <w:color w:val="000000"/>
                <w:szCs w:val="21"/>
                <w:lang w:val="en-US" w:eastAsia="zh-CN"/>
              </w:rPr>
              <w:t>关键页</w:t>
            </w:r>
            <w:r>
              <w:rPr>
                <w:rFonts w:hint="eastAsia" w:ascii="仿宋" w:hAnsi="仿宋" w:eastAsia="仿宋" w:cs="仿宋"/>
                <w:color w:val="000000"/>
                <w:szCs w:val="21"/>
              </w:rPr>
              <w:t>及社保缴纳记录）。</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国际化（含港澳台）教育背景：以经国家教育主管部门认证的学历学位为准。学历以最高学历为准，需提供毕业证书</w:t>
            </w:r>
            <w:r>
              <w:rPr>
                <w:rFonts w:hint="eastAsia" w:ascii="仿宋" w:hAnsi="仿宋" w:eastAsia="仿宋" w:cs="仿宋"/>
                <w:color w:val="000000"/>
                <w:szCs w:val="21"/>
                <w:lang w:val="en-US" w:eastAsia="zh-CN"/>
              </w:rPr>
              <w:t>以及</w:t>
            </w:r>
            <w:r>
              <w:rPr>
                <w:rFonts w:hint="eastAsia" w:ascii="仿宋" w:hAnsi="仿宋" w:eastAsia="仿宋" w:cs="仿宋"/>
                <w:color w:val="000000"/>
                <w:szCs w:val="21"/>
              </w:rPr>
              <w:t>学位证书</w:t>
            </w:r>
            <w:r>
              <w:rPr>
                <w:rFonts w:hint="eastAsia" w:ascii="仿宋" w:hAnsi="仿宋" w:eastAsia="仿宋" w:cs="仿宋"/>
                <w:color w:val="000000"/>
                <w:szCs w:val="21"/>
                <w:lang w:val="en-US" w:eastAsia="zh-CN"/>
              </w:rPr>
              <w:t>等证明材料作为可以得分的依据</w:t>
            </w:r>
            <w:r>
              <w:rPr>
                <w:rFonts w:hint="eastAsia" w:ascii="仿宋" w:hAnsi="仿宋" w:eastAsia="仿宋" w:cs="仿宋"/>
                <w:color w:val="000000"/>
                <w:szCs w:val="21"/>
              </w:rPr>
              <w:t>。</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投标人须提供上述人员近6个月（20</w:t>
            </w:r>
            <w:r>
              <w:rPr>
                <w:rFonts w:hint="eastAsia" w:ascii="仿宋" w:hAnsi="仿宋" w:eastAsia="仿宋" w:cs="仿宋"/>
                <w:color w:val="000000"/>
                <w:szCs w:val="21"/>
                <w:lang w:val="en-US" w:eastAsia="zh-CN"/>
              </w:rPr>
              <w:t>21</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月-202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 xml:space="preserve"> 2</w:t>
            </w:r>
            <w:r>
              <w:rPr>
                <w:rFonts w:hint="eastAsia" w:ascii="仿宋" w:hAnsi="仿宋" w:eastAsia="仿宋" w:cs="仿宋"/>
                <w:color w:val="000000"/>
                <w:szCs w:val="21"/>
              </w:rPr>
              <w:t>月）的社保资料（网页或窗口打印资料均可）(如开标日前一两个月的社保材料因社保部门原因暂时无法取得，则可以往前顺延一两个月)。所有资料均要求</w:t>
            </w:r>
            <w:r>
              <w:rPr>
                <w:rFonts w:hint="eastAsia" w:ascii="仿宋" w:hAnsi="仿宋" w:eastAsia="仿宋" w:cs="仿宋"/>
                <w:color w:val="FF0000"/>
                <w:szCs w:val="21"/>
              </w:rPr>
              <w:t>复印件</w:t>
            </w:r>
            <w:r>
              <w:rPr>
                <w:rFonts w:hint="eastAsia" w:ascii="仿宋" w:hAnsi="仿宋" w:eastAsia="仿宋" w:cs="仿宋"/>
                <w:color w:val="000000"/>
                <w:szCs w:val="21"/>
              </w:rPr>
              <w:t>加盖公章，原件备查。</w:t>
            </w:r>
          </w:p>
        </w:tc>
        <w:tc>
          <w:tcPr>
            <w:tcW w:w="725"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2</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jc w:val="center"/>
              <w:rPr>
                <w:rFonts w:hint="eastAsia" w:ascii="仿宋" w:hAnsi="仿宋" w:eastAsia="仿宋" w:cs="仿宋"/>
                <w:color w:val="000000"/>
                <w:szCs w:val="21"/>
              </w:rPr>
            </w:pPr>
            <w:r>
              <w:rPr>
                <w:rFonts w:hint="eastAsia" w:ascii="仿宋" w:hAnsi="仿宋" w:eastAsia="仿宋" w:cs="仿宋"/>
                <w:color w:val="000000"/>
                <w:szCs w:val="21"/>
                <w:lang w:bidi="ar"/>
              </w:rPr>
              <w:t>项目团队实力（项目负责人除外）</w:t>
            </w:r>
          </w:p>
        </w:tc>
        <w:tc>
          <w:tcPr>
            <w:tcW w:w="623"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default" w:ascii="仿宋" w:hAnsi="仿宋" w:eastAsia="仿宋" w:cs="仿宋"/>
                <w:color w:val="000000"/>
                <w:szCs w:val="21"/>
              </w:rPr>
            </w:pPr>
            <w:r>
              <w:rPr>
                <w:rFonts w:hint="default" w:ascii="仿宋" w:hAnsi="仿宋" w:eastAsia="仿宋" w:cs="仿宋"/>
                <w:color w:val="000000"/>
                <w:szCs w:val="21"/>
                <w:lang w:bidi="ar"/>
              </w:rPr>
              <w:t>8</w:t>
            </w:r>
          </w:p>
        </w:tc>
        <w:tc>
          <w:tcPr>
            <w:tcW w:w="5385" w:type="dxa"/>
            <w:tcBorders>
              <w:top w:val="single" w:color="auto" w:sz="6" w:space="0"/>
              <w:left w:val="single" w:color="auto" w:sz="6" w:space="0"/>
              <w:bottom w:val="single" w:color="auto" w:sz="4" w:space="0"/>
              <w:right w:val="single" w:color="auto" w:sz="6" w:space="0"/>
            </w:tcBorders>
            <w:noWrap w:val="0"/>
            <w:vAlign w:val="center"/>
          </w:tcPr>
          <w:p>
            <w:pPr>
              <w:pStyle w:val="47"/>
              <w:widowControl/>
              <w:numPr>
                <w:ilvl w:val="0"/>
                <w:numId w:val="4"/>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拟安排本项目的团队成员人数在5人或以上的得</w:t>
            </w:r>
            <w:r>
              <w:rPr>
                <w:rFonts w:hint="default" w:ascii="仿宋" w:hAnsi="仿宋" w:eastAsia="仿宋" w:cs="仿宋"/>
                <w:color w:val="000000"/>
                <w:szCs w:val="21"/>
              </w:rPr>
              <w:t>3</w:t>
            </w:r>
            <w:r>
              <w:rPr>
                <w:rFonts w:hint="eastAsia" w:ascii="仿宋" w:hAnsi="仿宋" w:eastAsia="仿宋" w:cs="仿宋"/>
                <w:color w:val="000000"/>
                <w:szCs w:val="21"/>
              </w:rPr>
              <w:t>分，否则本项不得分</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投标人提供承诺函作为证明材料，格式自拟</w:t>
            </w:r>
            <w:r>
              <w:rPr>
                <w:rFonts w:hint="eastAsia" w:ascii="仿宋" w:hAnsi="仿宋" w:eastAsia="仿宋" w:cs="仿宋"/>
                <w:color w:val="000000"/>
                <w:szCs w:val="21"/>
                <w:lang w:eastAsia="zh-CN"/>
              </w:rPr>
              <w:t>）</w:t>
            </w:r>
            <w:r>
              <w:rPr>
                <w:rFonts w:hint="eastAsia" w:ascii="仿宋" w:hAnsi="仿宋" w:eastAsia="仿宋" w:cs="仿宋"/>
                <w:color w:val="000000"/>
                <w:szCs w:val="21"/>
              </w:rPr>
              <w:t>；</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2.拟安排本项目的团队成员每有1名法律专业全日制硕士研究生或以上学历的得1分，每有1名法律专业全日制本科生得0.5分，本项最高得</w:t>
            </w:r>
            <w:r>
              <w:rPr>
                <w:rFonts w:hint="default" w:ascii="仿宋" w:hAnsi="仿宋" w:eastAsia="仿宋" w:cs="仿宋"/>
                <w:color w:val="000000"/>
                <w:szCs w:val="21"/>
              </w:rPr>
              <w:t>4</w:t>
            </w:r>
            <w:r>
              <w:rPr>
                <w:rFonts w:hint="eastAsia" w:ascii="仿宋" w:hAnsi="仿宋" w:eastAsia="仿宋" w:cs="仿宋"/>
                <w:color w:val="000000"/>
                <w:szCs w:val="21"/>
              </w:rPr>
              <w:t>分；</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3.拟安排本项目的团队成员有1人或以上有境外（含港澳台）法律专业留学经历（以毕业证书或相关证明文件记载为准）得1分，否则不得分。</w:t>
            </w:r>
          </w:p>
          <w:p>
            <w:pPr>
              <w:pStyle w:val="47"/>
              <w:widowControl/>
              <w:numPr>
                <w:ilvl w:val="0"/>
                <w:numId w:val="4"/>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1.投标人须提供上述人员近6个月（20</w:t>
            </w:r>
            <w:r>
              <w:rPr>
                <w:rFonts w:hint="eastAsia" w:ascii="仿宋" w:hAnsi="仿宋" w:eastAsia="仿宋" w:cs="仿宋"/>
                <w:color w:val="000000"/>
                <w:szCs w:val="21"/>
                <w:lang w:val="en-US" w:eastAsia="zh-CN"/>
              </w:rPr>
              <w:t>21</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月-202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w:t>
            </w:r>
            <w:r>
              <w:rPr>
                <w:rFonts w:hint="eastAsia" w:ascii="仿宋" w:hAnsi="仿宋" w:eastAsia="仿宋" w:cs="仿宋"/>
                <w:color w:val="000000"/>
                <w:szCs w:val="21"/>
                <w:lang w:val="en-US" w:eastAsia="zh-CN"/>
              </w:rPr>
              <w:t xml:space="preserve"> 2</w:t>
            </w:r>
            <w:r>
              <w:rPr>
                <w:rFonts w:hint="eastAsia" w:ascii="仿宋" w:hAnsi="仿宋" w:eastAsia="仿宋" w:cs="仿宋"/>
                <w:color w:val="000000"/>
                <w:szCs w:val="21"/>
              </w:rPr>
              <w:t>月）的社保资料（网页或窗口打印资料均可）(如开标日前一个月的社保材料因社保部门原因暂时无法取得，则可以往前顺延一个月)</w:t>
            </w:r>
            <w:r>
              <w:rPr>
                <w:rFonts w:hint="eastAsia" w:ascii="仿宋" w:hAnsi="仿宋" w:eastAsia="仿宋" w:cs="仿宋"/>
                <w:color w:val="000000"/>
                <w:szCs w:val="21"/>
                <w:lang w:eastAsia="zh-CN"/>
              </w:rPr>
              <w:t>；</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2.提供</w:t>
            </w:r>
            <w:r>
              <w:rPr>
                <w:rFonts w:hint="eastAsia" w:ascii="仿宋" w:hAnsi="仿宋" w:eastAsia="仿宋" w:cs="仿宋"/>
                <w:color w:val="000000"/>
                <w:szCs w:val="21"/>
              </w:rPr>
              <w:t>学历</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毕业证书</w:t>
            </w:r>
            <w:r>
              <w:rPr>
                <w:rFonts w:hint="eastAsia" w:ascii="仿宋" w:hAnsi="仿宋" w:eastAsia="仿宋" w:cs="仿宋"/>
                <w:color w:val="000000"/>
                <w:szCs w:val="21"/>
                <w:lang w:eastAsia="zh-CN"/>
              </w:rPr>
              <w:t>）</w:t>
            </w:r>
            <w:r>
              <w:rPr>
                <w:rFonts w:hint="eastAsia" w:ascii="仿宋" w:hAnsi="仿宋" w:eastAsia="仿宋" w:cs="仿宋"/>
                <w:color w:val="000000"/>
                <w:szCs w:val="21"/>
              </w:rPr>
              <w:t>或学位证明文件等作为得分依据，所有资料均要求</w:t>
            </w:r>
            <w:r>
              <w:rPr>
                <w:rFonts w:hint="eastAsia" w:ascii="仿宋" w:hAnsi="仿宋" w:eastAsia="仿宋" w:cs="仿宋"/>
                <w:color w:val="FF0000"/>
                <w:szCs w:val="21"/>
              </w:rPr>
              <w:t>复印件</w:t>
            </w:r>
            <w:r>
              <w:rPr>
                <w:rFonts w:hint="eastAsia" w:ascii="仿宋" w:hAnsi="仿宋" w:eastAsia="仿宋" w:cs="仿宋"/>
                <w:color w:val="000000"/>
                <w:szCs w:val="21"/>
              </w:rPr>
              <w:t>加盖公章，原件备查；</w:t>
            </w:r>
          </w:p>
          <w:p>
            <w:pPr>
              <w:pStyle w:val="47"/>
              <w:widowControl/>
              <w:numPr>
                <w:ilvl w:val="-1"/>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.评分中出现无证明资料或专家无法凭所提供资料判断是否得分的情况，一律作不得分处理。</w:t>
            </w:r>
          </w:p>
        </w:tc>
        <w:tc>
          <w:tcPr>
            <w:tcW w:w="725"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ind w:firstLine="211" w:firstLineChars="100"/>
              <w:rPr>
                <w:rFonts w:hint="eastAsia" w:ascii="仿宋" w:hAnsi="仿宋" w:eastAsia="仿宋" w:cs="仿宋"/>
                <w:b/>
                <w:color w:val="000000"/>
                <w:szCs w:val="21"/>
              </w:rPr>
            </w:pPr>
            <w:r>
              <w:rPr>
                <w:rFonts w:hint="eastAsia" w:ascii="仿宋" w:hAnsi="仿宋" w:eastAsia="仿宋" w:cs="仿宋"/>
                <w:b/>
                <w:color w:val="000000"/>
                <w:szCs w:val="21"/>
                <w:lang w:bidi="ar"/>
              </w:rPr>
              <w:t>3</w:t>
            </w:r>
          </w:p>
        </w:tc>
        <w:tc>
          <w:tcPr>
            <w:tcW w:w="1346"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jc w:val="center"/>
              <w:rPr>
                <w:rFonts w:hint="eastAsia" w:ascii="仿宋" w:hAnsi="仿宋" w:eastAsia="仿宋" w:cs="仿宋"/>
                <w:color w:val="000000"/>
                <w:szCs w:val="21"/>
              </w:rPr>
            </w:pPr>
            <w:r>
              <w:rPr>
                <w:rFonts w:hint="eastAsia" w:ascii="仿宋" w:hAnsi="仿宋" w:eastAsia="仿宋" w:cs="仿宋"/>
                <w:color w:val="000000"/>
                <w:szCs w:val="21"/>
                <w:lang w:bidi="ar"/>
              </w:rPr>
              <w:t>合作机构</w:t>
            </w:r>
          </w:p>
        </w:tc>
        <w:tc>
          <w:tcPr>
            <w:tcW w:w="623"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6</w:t>
            </w:r>
          </w:p>
        </w:tc>
        <w:tc>
          <w:tcPr>
            <w:tcW w:w="5385" w:type="dxa"/>
            <w:tcBorders>
              <w:top w:val="single" w:color="auto" w:sz="6" w:space="0"/>
              <w:left w:val="single" w:color="auto" w:sz="6" w:space="0"/>
              <w:bottom w:val="single" w:color="auto" w:sz="4" w:space="0"/>
              <w:right w:val="single" w:color="auto" w:sz="6" w:space="0"/>
            </w:tcBorders>
            <w:noWrap w:val="0"/>
            <w:vAlign w:val="center"/>
          </w:tcPr>
          <w:p>
            <w:pPr>
              <w:pStyle w:val="47"/>
              <w:widowControl/>
              <w:numPr>
                <w:ilvl w:val="0"/>
                <w:numId w:val="0"/>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评分内容：投标人与境内知名法学院校、法学研究机构合作情况。知名法学院校、法学研究机构是指被教育部认定为“涉外法律人才教育培养基地”的高校的法学院（《</w:t>
            </w:r>
            <w:r>
              <w:rPr>
                <w:rFonts w:hint="eastAsia" w:ascii="仿宋" w:hAnsi="仿宋" w:eastAsia="仿宋" w:cs="仿宋"/>
                <w:color w:val="000000"/>
                <w:szCs w:val="21"/>
                <w:lang w:eastAsia="zh-CN"/>
              </w:rPr>
              <w:t>教育部办公厅 中央政法委员会办公室关于公布首批卓越法律人才教育培养基地名单的通知》教高厅函〔2012〕47号</w:t>
            </w:r>
            <w:r>
              <w:rPr>
                <w:rFonts w:hint="eastAsia" w:ascii="仿宋" w:hAnsi="仿宋" w:eastAsia="仿宋" w:cs="仿宋"/>
              </w:rPr>
              <w:t>http://www.gov.cn/zwgk/2012-12/19/content_2293555.htm</w:t>
            </w:r>
            <w:r>
              <w:rPr>
                <w:rFonts w:hint="eastAsia" w:ascii="仿宋" w:hAnsi="仿宋" w:eastAsia="仿宋" w:cs="仿宋"/>
                <w:color w:val="000000"/>
                <w:szCs w:val="21"/>
              </w:rPr>
              <w:t>）。合作机构超过6家的，得6分；合作机构有4-5家的，得4分；合作机构为1-3家的，得2分；没有与符合以上知名机构标准合作的，本项不得分。</w:t>
            </w:r>
          </w:p>
          <w:p>
            <w:pPr>
              <w:pStyle w:val="47"/>
              <w:widowControl/>
              <w:numPr>
                <w:ilvl w:val="0"/>
                <w:numId w:val="5"/>
              </w:numPr>
              <w:tabs>
                <w:tab w:val="left" w:pos="426"/>
              </w:tabs>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评分依据：1.须提供合作协议或相关证明材料的清晰原件</w:t>
            </w:r>
            <w:r>
              <w:rPr>
                <w:rFonts w:hint="eastAsia" w:ascii="仿宋" w:hAnsi="仿宋" w:eastAsia="仿宋" w:cs="仿宋"/>
                <w:color w:val="FF0000"/>
                <w:szCs w:val="21"/>
              </w:rPr>
              <w:t>复印</w:t>
            </w:r>
            <w:r>
              <w:rPr>
                <w:rFonts w:hint="eastAsia" w:ascii="仿宋" w:hAnsi="仿宋" w:eastAsia="仿宋" w:cs="仿宋"/>
                <w:color w:val="000000"/>
                <w:szCs w:val="21"/>
              </w:rPr>
              <w:t>件并加盖投标人公章（原件备查）作为得分依据；2.评分中出现无证明资料或专家无法凭所提供资料判断是否得分的情况，一律做不得分处理。</w:t>
            </w:r>
          </w:p>
        </w:tc>
        <w:tc>
          <w:tcPr>
            <w:tcW w:w="725" w:type="dxa"/>
            <w:tcBorders>
              <w:top w:val="single" w:color="auto" w:sz="6" w:space="0"/>
              <w:left w:val="single" w:color="auto" w:sz="6" w:space="0"/>
              <w:bottom w:val="single" w:color="auto" w:sz="4"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4</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同类业绩情况</w:t>
            </w:r>
          </w:p>
        </w:tc>
        <w:tc>
          <w:tcPr>
            <w:tcW w:w="62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10</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47"/>
              <w:widowControl/>
              <w:numPr>
                <w:ilvl w:val="0"/>
                <w:numId w:val="6"/>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评分内容：投标人近五年</w:t>
            </w:r>
            <w:r>
              <w:rPr>
                <w:rFonts w:hint="eastAsia" w:ascii="仿宋" w:hAnsi="仿宋" w:eastAsia="仿宋" w:cs="仿宋"/>
                <w:color w:val="FF0000"/>
                <w:szCs w:val="21"/>
              </w:rPr>
              <w:t>（201</w:t>
            </w:r>
            <w:r>
              <w:rPr>
                <w:rFonts w:hint="eastAsia" w:ascii="仿宋" w:hAnsi="仿宋" w:eastAsia="仿宋" w:cs="仿宋"/>
                <w:color w:val="FF0000"/>
                <w:szCs w:val="21"/>
                <w:lang w:eastAsia="zh-CN"/>
              </w:rPr>
              <w:t>7</w:t>
            </w:r>
            <w:r>
              <w:rPr>
                <w:rFonts w:hint="eastAsia" w:ascii="仿宋" w:hAnsi="仿宋" w:eastAsia="仿宋" w:cs="仿宋"/>
                <w:color w:val="FF0000"/>
                <w:szCs w:val="21"/>
              </w:rPr>
              <w:t>年</w:t>
            </w:r>
            <w:r>
              <w:rPr>
                <w:rFonts w:hint="eastAsia" w:ascii="仿宋" w:hAnsi="仿宋" w:eastAsia="仿宋" w:cs="仿宋"/>
                <w:color w:val="FF0000"/>
                <w:szCs w:val="21"/>
                <w:lang w:val="en-US" w:eastAsia="zh-CN"/>
              </w:rPr>
              <w:t>3</w:t>
            </w:r>
            <w:r>
              <w:rPr>
                <w:rFonts w:hint="eastAsia" w:ascii="仿宋" w:hAnsi="仿宋" w:eastAsia="仿宋" w:cs="仿宋"/>
                <w:color w:val="FF0000"/>
                <w:szCs w:val="21"/>
              </w:rPr>
              <w:t>月1日至今）</w:t>
            </w:r>
            <w:r>
              <w:rPr>
                <w:rFonts w:hint="eastAsia" w:ascii="仿宋" w:hAnsi="仿宋" w:eastAsia="仿宋" w:cs="仿宋"/>
                <w:color w:val="000000"/>
                <w:szCs w:val="21"/>
              </w:rPr>
              <w:t>有接受政府部门委托，进行涉外</w:t>
            </w:r>
            <w:r>
              <w:rPr>
                <w:rFonts w:hint="eastAsia" w:ascii="仿宋" w:hAnsi="仿宋" w:eastAsia="仿宋" w:cs="仿宋"/>
                <w:color w:val="000000"/>
                <w:szCs w:val="21"/>
                <w:lang w:eastAsia="zh-CN"/>
              </w:rPr>
              <w:t>（</w:t>
            </w:r>
            <w:r>
              <w:rPr>
                <w:rFonts w:hint="eastAsia" w:ascii="仿宋" w:hAnsi="仿宋" w:eastAsia="仿宋" w:cs="仿宋"/>
              </w:rPr>
              <w:t>含港澳地区</w:t>
            </w:r>
            <w:r>
              <w:rPr>
                <w:rFonts w:hint="eastAsia" w:ascii="仿宋" w:hAnsi="仿宋" w:eastAsia="仿宋" w:cs="仿宋"/>
                <w:color w:val="000000"/>
                <w:szCs w:val="21"/>
                <w:lang w:eastAsia="zh-CN"/>
              </w:rPr>
              <w:t>）</w:t>
            </w:r>
            <w:r>
              <w:rPr>
                <w:rFonts w:hint="eastAsia" w:ascii="仿宋" w:hAnsi="仿宋" w:eastAsia="仿宋" w:cs="仿宋"/>
                <w:color w:val="000000"/>
                <w:szCs w:val="21"/>
              </w:rPr>
              <w:t>法律类网站、涉外法律类数据库内容建设、运营服务业绩案例，2个及以上的，得10分。有1个的，得4分。</w:t>
            </w:r>
            <w:r>
              <w:rPr>
                <w:rFonts w:hint="eastAsia" w:ascii="仿宋" w:hAnsi="仿宋" w:eastAsia="仿宋" w:cs="仿宋"/>
                <w:color w:val="000000"/>
                <w:szCs w:val="21"/>
                <w:lang w:val="en-US" w:eastAsia="zh-CN"/>
              </w:rPr>
              <w:t>无则</w:t>
            </w:r>
            <w:r>
              <w:rPr>
                <w:rFonts w:hint="eastAsia" w:ascii="仿宋" w:hAnsi="仿宋" w:eastAsia="仿宋" w:cs="仿宋"/>
                <w:color w:val="000000"/>
                <w:szCs w:val="21"/>
              </w:rPr>
              <w:t>不得分。</w:t>
            </w:r>
          </w:p>
          <w:p>
            <w:pPr>
              <w:pStyle w:val="47"/>
              <w:widowControl/>
              <w:numPr>
                <w:ilvl w:val="0"/>
                <w:numId w:val="6"/>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评分依据：须提供证明材料（如合同关键信息等复印件）加盖公章，原件备查。未提供或提供不齐全或无法分辨的不得分。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5</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域外法律查明实务经验</w:t>
            </w:r>
          </w:p>
        </w:tc>
        <w:tc>
          <w:tcPr>
            <w:tcW w:w="62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10</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47"/>
              <w:widowControl/>
              <w:numPr>
                <w:ilvl w:val="0"/>
                <w:numId w:val="7"/>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评分内容：投标人近五年</w:t>
            </w:r>
            <w:r>
              <w:rPr>
                <w:rFonts w:hint="eastAsia" w:ascii="仿宋" w:hAnsi="仿宋" w:eastAsia="仿宋" w:cs="仿宋"/>
                <w:color w:val="FF0000"/>
                <w:szCs w:val="21"/>
              </w:rPr>
              <w:t>（201</w:t>
            </w:r>
            <w:r>
              <w:rPr>
                <w:rFonts w:hint="eastAsia" w:ascii="仿宋" w:hAnsi="仿宋" w:eastAsia="仿宋" w:cs="仿宋"/>
                <w:color w:val="FF0000"/>
                <w:szCs w:val="21"/>
                <w:lang w:eastAsia="zh-CN"/>
              </w:rPr>
              <w:t>7</w:t>
            </w:r>
            <w:r>
              <w:rPr>
                <w:rFonts w:hint="eastAsia" w:ascii="仿宋" w:hAnsi="仿宋" w:eastAsia="仿宋" w:cs="仿宋"/>
                <w:color w:val="FF0000"/>
                <w:szCs w:val="21"/>
              </w:rPr>
              <w:t>年</w:t>
            </w:r>
            <w:r>
              <w:rPr>
                <w:rFonts w:hint="eastAsia" w:ascii="仿宋" w:hAnsi="仿宋" w:eastAsia="仿宋" w:cs="仿宋"/>
                <w:color w:val="FF0000"/>
                <w:szCs w:val="21"/>
                <w:lang w:val="en-US" w:eastAsia="zh-CN"/>
              </w:rPr>
              <w:t>3</w:t>
            </w:r>
            <w:r>
              <w:rPr>
                <w:rFonts w:hint="eastAsia" w:ascii="仿宋" w:hAnsi="仿宋" w:eastAsia="仿宋" w:cs="仿宋"/>
                <w:color w:val="FF0000"/>
                <w:szCs w:val="21"/>
              </w:rPr>
              <w:t>月1日至今）</w:t>
            </w:r>
            <w:r>
              <w:rPr>
                <w:rFonts w:hint="eastAsia" w:ascii="仿宋" w:hAnsi="仿宋" w:eastAsia="仿宋" w:cs="仿宋"/>
                <w:color w:val="000000"/>
                <w:szCs w:val="21"/>
              </w:rPr>
              <w:t>有涉及港澳或外国法律的服务业绩案例。有20个（或以上）服务业绩案例的，得10分。有10个或以上</w:t>
            </w:r>
            <w:r>
              <w:rPr>
                <w:rFonts w:hint="eastAsia" w:ascii="仿宋" w:hAnsi="仿宋" w:eastAsia="仿宋" w:cs="仿宋"/>
                <w:color w:val="000000"/>
                <w:szCs w:val="21"/>
                <w:lang w:eastAsia="zh-Hans"/>
              </w:rPr>
              <w:t>，20</w:t>
            </w:r>
            <w:r>
              <w:rPr>
                <w:rFonts w:hint="eastAsia" w:ascii="仿宋" w:hAnsi="仿宋" w:eastAsia="仿宋" w:cs="仿宋"/>
                <w:color w:val="000000"/>
                <w:szCs w:val="21"/>
                <w:lang w:val="en-US" w:eastAsia="zh-Hans"/>
              </w:rPr>
              <w:t>个以下</w:t>
            </w:r>
            <w:r>
              <w:rPr>
                <w:rFonts w:hint="eastAsia" w:ascii="仿宋" w:hAnsi="仿宋" w:eastAsia="仿宋" w:cs="仿宋"/>
                <w:color w:val="000000"/>
                <w:szCs w:val="21"/>
              </w:rPr>
              <w:t>服务业绩案例的，得5分，其他情形本项不得分。</w:t>
            </w:r>
          </w:p>
          <w:p>
            <w:pPr>
              <w:pStyle w:val="47"/>
              <w:widowControl/>
              <w:numPr>
                <w:ilvl w:val="0"/>
                <w:numId w:val="7"/>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评分依据：须提供证明材料（如合同关键信息、委托函等复印件）加盖公章，原件备查。未提供或提供不齐全或无法分辨的不得分。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6</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机构社会声誉</w:t>
            </w:r>
          </w:p>
        </w:tc>
        <w:tc>
          <w:tcPr>
            <w:tcW w:w="623" w:type="dxa"/>
            <w:tcBorders>
              <w:top w:val="single" w:color="auto" w:sz="4"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Cs w:val="21"/>
              </w:rPr>
            </w:pPr>
            <w:r>
              <w:rPr>
                <w:rFonts w:hint="default" w:ascii="仿宋" w:hAnsi="仿宋" w:eastAsia="仿宋" w:cs="仿宋"/>
                <w:color w:val="000000"/>
                <w:szCs w:val="21"/>
                <w:lang w:bidi="ar"/>
              </w:rPr>
              <w:t>6</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47"/>
              <w:widowControl/>
              <w:numPr>
                <w:ilvl w:val="0"/>
                <w:numId w:val="8"/>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评分内容：投标人近五年</w:t>
            </w:r>
            <w:r>
              <w:rPr>
                <w:rFonts w:hint="eastAsia" w:ascii="仿宋" w:hAnsi="仿宋" w:eastAsia="仿宋" w:cs="仿宋"/>
                <w:color w:val="FF0000"/>
                <w:szCs w:val="21"/>
              </w:rPr>
              <w:t>（201</w:t>
            </w:r>
            <w:r>
              <w:rPr>
                <w:rFonts w:hint="eastAsia" w:ascii="仿宋" w:hAnsi="仿宋" w:eastAsia="仿宋" w:cs="仿宋"/>
                <w:color w:val="FF0000"/>
                <w:szCs w:val="21"/>
                <w:lang w:val="en-US" w:eastAsia="zh-CN"/>
              </w:rPr>
              <w:t>7</w:t>
            </w:r>
            <w:r>
              <w:rPr>
                <w:rFonts w:hint="eastAsia" w:ascii="仿宋" w:hAnsi="仿宋" w:eastAsia="仿宋" w:cs="仿宋"/>
                <w:color w:val="FF0000"/>
                <w:szCs w:val="21"/>
              </w:rPr>
              <w:t>年</w:t>
            </w:r>
            <w:r>
              <w:rPr>
                <w:rFonts w:hint="eastAsia" w:ascii="仿宋" w:hAnsi="仿宋" w:eastAsia="仿宋" w:cs="仿宋"/>
                <w:color w:val="FF0000"/>
                <w:szCs w:val="21"/>
                <w:lang w:val="en-US" w:eastAsia="zh-CN"/>
              </w:rPr>
              <w:t>3</w:t>
            </w:r>
            <w:r>
              <w:rPr>
                <w:rFonts w:hint="eastAsia" w:ascii="仿宋" w:hAnsi="仿宋" w:eastAsia="仿宋" w:cs="仿宋"/>
                <w:color w:val="FF0000"/>
                <w:szCs w:val="21"/>
              </w:rPr>
              <w:t>月1日至今至今）</w:t>
            </w:r>
            <w:r>
              <w:rPr>
                <w:rFonts w:hint="eastAsia" w:ascii="仿宋" w:hAnsi="仿宋" w:eastAsia="仿宋" w:cs="仿宋"/>
                <w:color w:val="000000"/>
                <w:szCs w:val="21"/>
              </w:rPr>
              <w:t>所获市级或市级以上法律相关的荣誉情况。每个奖项得2分，满分</w:t>
            </w:r>
            <w:r>
              <w:rPr>
                <w:rFonts w:hint="default" w:ascii="仿宋" w:hAnsi="仿宋" w:eastAsia="仿宋" w:cs="仿宋"/>
                <w:color w:val="000000"/>
                <w:szCs w:val="21"/>
              </w:rPr>
              <w:t>6</w:t>
            </w:r>
            <w:r>
              <w:rPr>
                <w:rFonts w:hint="eastAsia" w:ascii="仿宋" w:hAnsi="仿宋" w:eastAsia="仿宋" w:cs="仿宋"/>
                <w:color w:val="000000"/>
                <w:szCs w:val="21"/>
              </w:rPr>
              <w:t>分。</w:t>
            </w:r>
          </w:p>
          <w:p>
            <w:pPr>
              <w:pStyle w:val="47"/>
              <w:widowControl/>
              <w:numPr>
                <w:ilvl w:val="0"/>
                <w:numId w:val="8"/>
              </w:numPr>
              <w:ind w:left="0" w:firstLine="0" w:firstLineChars="0"/>
              <w:rPr>
                <w:rFonts w:hint="eastAsia" w:ascii="仿宋" w:hAnsi="仿宋" w:eastAsia="仿宋" w:cs="仿宋"/>
                <w:color w:val="000000"/>
                <w:szCs w:val="21"/>
              </w:rPr>
            </w:pPr>
            <w:r>
              <w:rPr>
                <w:rFonts w:hint="eastAsia" w:ascii="仿宋" w:hAnsi="仿宋" w:eastAsia="仿宋" w:cs="仿宋"/>
                <w:color w:val="000000"/>
                <w:szCs w:val="21"/>
              </w:rPr>
              <w:t>评分依据：1.提供荣誉证明文件清晰的原件复印件并加盖投标人公章。2</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评分中出现无证明材料或专家无法凭所提供资料判断是否得分的情况，一律做不得分处理。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b/>
                <w:color w:val="000000"/>
                <w:szCs w:val="21"/>
              </w:rPr>
            </w:pPr>
            <w:r>
              <w:rPr>
                <w:rFonts w:hint="eastAsia" w:ascii="仿宋" w:hAnsi="仿宋" w:eastAsia="仿宋" w:cs="仿宋"/>
                <w:b/>
                <w:color w:val="000000"/>
                <w:szCs w:val="21"/>
                <w:lang w:bidi="ar"/>
              </w:rPr>
              <w:t>7</w:t>
            </w:r>
          </w:p>
        </w:tc>
        <w:tc>
          <w:tcPr>
            <w:tcW w:w="134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投标人诚信评价</w:t>
            </w:r>
          </w:p>
        </w:tc>
        <w:tc>
          <w:tcPr>
            <w:tcW w:w="62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bidi="ar"/>
              </w:rPr>
              <w:t>5</w:t>
            </w:r>
          </w:p>
        </w:tc>
        <w:tc>
          <w:tcPr>
            <w:tcW w:w="5385" w:type="dxa"/>
            <w:tcBorders>
              <w:top w:val="single" w:color="auto" w:sz="4" w:space="0"/>
              <w:left w:val="single" w:color="auto" w:sz="6" w:space="0"/>
              <w:bottom w:val="single" w:color="auto" w:sz="6" w:space="0"/>
              <w:right w:val="single" w:color="auto" w:sz="6" w:space="0"/>
            </w:tcBorders>
            <w:noWrap w:val="0"/>
            <w:vAlign w:val="top"/>
          </w:tcPr>
          <w:p>
            <w:pPr>
              <w:pStyle w:val="47"/>
              <w:widowControl/>
              <w:numPr>
                <w:ilvl w:val="-1"/>
                <w:numId w:val="0"/>
              </w:numPr>
              <w:ind w:left="0" w:firstLine="0" w:firstLineChars="0"/>
              <w:rPr>
                <w:rFonts w:hint="eastAsia" w:ascii="仿宋" w:hAnsi="仿宋" w:eastAsia="仿宋" w:cs="仿宋"/>
                <w:color w:val="000000"/>
                <w:szCs w:val="21"/>
              </w:rPr>
            </w:pPr>
            <w:r>
              <w:rPr>
                <w:rFonts w:hint="eastAsia" w:ascii="仿宋" w:hAnsi="仿宋" w:eastAsia="仿宋" w:cs="仿宋"/>
                <w:szCs w:val="18"/>
              </w:rPr>
              <w:t>投标人在参与政府采购活动中存在诚信相关问题且在主管部门相关处理措施实施期限内的，本项不得分，否则得满分。</w:t>
            </w:r>
            <w:r>
              <w:rPr>
                <w:rFonts w:hint="eastAsia" w:ascii="仿宋" w:hAnsi="仿宋" w:eastAsia="仿宋" w:cs="仿宋"/>
                <w:color w:val="FF0000"/>
                <w:szCs w:val="28"/>
              </w:rPr>
              <w:t>投标人按照招标文件附件格式内容提供诚信承诺函的得满分，否则不得分。</w:t>
            </w:r>
          </w:p>
        </w:tc>
        <w:tc>
          <w:tcPr>
            <w:tcW w:w="72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6"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b/>
                <w:color w:val="000000"/>
                <w:szCs w:val="21"/>
                <w:lang w:val="zh-CN"/>
              </w:rPr>
            </w:pPr>
            <w:r>
              <w:rPr>
                <w:rFonts w:hint="eastAsia" w:ascii="仿宋" w:hAnsi="仿宋" w:eastAsia="仿宋" w:cs="仿宋"/>
                <w:b/>
                <w:color w:val="000000"/>
                <w:szCs w:val="21"/>
                <w:lang w:val="zh-CN" w:bidi="ar"/>
              </w:rPr>
              <w:t>三、技术部分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default" w:ascii="仿宋" w:hAnsi="仿宋" w:eastAsia="仿宋" w:cs="仿宋"/>
                <w:b/>
                <w:color w:val="000000"/>
                <w:szCs w:val="21"/>
                <w:lang w:val="en-US" w:eastAsia="zh-CN"/>
              </w:rPr>
            </w:pPr>
            <w:r>
              <w:rPr>
                <w:rFonts w:hint="eastAsia" w:ascii="仿宋" w:hAnsi="仿宋" w:eastAsia="仿宋" w:cs="仿宋"/>
                <w:b/>
                <w:color w:val="000000"/>
                <w:szCs w:val="21"/>
                <w:highlight w:val="yellow"/>
                <w:lang w:val="en-US" w:eastAsia="zh-CN" w:bidi="ar"/>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序号</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内容</w:t>
            </w:r>
          </w:p>
        </w:tc>
        <w:tc>
          <w:tcPr>
            <w:tcW w:w="623"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val="zh-CN" w:bidi="ar"/>
              </w:rPr>
              <w:t>权重</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评分规则</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1</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pStyle w:val="15"/>
              <w:widowControl w:val="0"/>
              <w:spacing w:before="0" w:beforeAutospacing="0" w:after="0" w:afterAutospacing="0"/>
              <w:jc w:val="center"/>
              <w:rPr>
                <w:rFonts w:hint="eastAsia" w:ascii="仿宋" w:hAnsi="仿宋" w:eastAsia="仿宋" w:cs="仿宋"/>
                <w:color w:val="000000"/>
                <w:szCs w:val="21"/>
                <w:lang w:val="zh-CN"/>
              </w:rPr>
            </w:pPr>
            <w:r>
              <w:rPr>
                <w:rFonts w:hint="eastAsia" w:ascii="仿宋" w:hAnsi="仿宋" w:eastAsia="仿宋" w:cs="仿宋"/>
                <w:color w:val="000000"/>
                <w:kern w:val="2"/>
                <w:sz w:val="21"/>
                <w:szCs w:val="21"/>
                <w:lang w:val="zh-CN" w:bidi="ar"/>
              </w:rPr>
              <w:t>对项目需求的理解和响应</w:t>
            </w:r>
          </w:p>
        </w:tc>
        <w:tc>
          <w:tcPr>
            <w:tcW w:w="623"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10</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根据招标文件的需求和投标文件响应情况，编制</w:t>
            </w:r>
            <w:r>
              <w:rPr>
                <w:rFonts w:hint="eastAsia" w:ascii="仿宋" w:hAnsi="仿宋" w:eastAsia="仿宋" w:cs="仿宋"/>
                <w:color w:val="000000"/>
                <w:szCs w:val="21"/>
                <w:lang w:val="zh-CN"/>
              </w:rPr>
              <w:t>对项目需求的理解和响应</w:t>
            </w:r>
            <w:r>
              <w:rPr>
                <w:rFonts w:hint="eastAsia" w:ascii="仿宋" w:hAnsi="仿宋" w:eastAsia="仿宋" w:cs="仿宋"/>
                <w:color w:val="000000"/>
                <w:szCs w:val="21"/>
              </w:rPr>
              <w:t>。包含但不限于以下内容：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val="en-US" w:eastAsia="zh-CN"/>
              </w:rPr>
              <w:t>工作内容的</w:t>
            </w:r>
            <w:r>
              <w:rPr>
                <w:rFonts w:hint="eastAsia" w:ascii="仿宋" w:hAnsi="仿宋" w:eastAsia="仿宋" w:cs="仿宋"/>
                <w:color w:val="000000"/>
                <w:szCs w:val="21"/>
              </w:rPr>
              <w:t>理解；</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提出</w:t>
            </w:r>
            <w:r>
              <w:rPr>
                <w:rFonts w:hint="eastAsia" w:ascii="仿宋" w:hAnsi="仿宋" w:eastAsia="仿宋" w:cs="仿宋"/>
                <w:color w:val="000000"/>
                <w:szCs w:val="21"/>
                <w:lang w:eastAsia="zh-CN"/>
              </w:rPr>
              <w:t>针对性工作思路</w:t>
            </w:r>
            <w:r>
              <w:rPr>
                <w:rFonts w:hint="eastAsia" w:ascii="仿宋" w:hAnsi="仿宋" w:eastAsia="仿宋" w:cs="仿宋"/>
                <w:color w:val="000000"/>
                <w:szCs w:val="21"/>
              </w:rPr>
              <w:t>；</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3.相关配套措施；</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 xml:space="preserve">评分标准：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1.满足三点得</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分，满足任意两点得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分，满足任意一点得</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 xml:space="preserve">分，未满足不得分。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 xml:space="preserve">2.在此基础上，专家根据各供应商的具体响应内容按照量化的评审因素指标进一步评审；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优：根据宏观、微观法治地图分别提出具有可操作性的工作思路，能从专业性、完整性及实用性角度提出具体工作步骤；</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良：根据宏观、微观法治地图分别提出具有可操作性的工作思路，能从专业性、完整性及实用性角度选其二提出具体工作步骤；</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中：根据宏观或微观法治地图择其一提出具有可操作性的工作思路；</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差：整体思路不完善，对本项目的理解把握程度较差。</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评审为优的加</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评审为良的加</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评审为中的加</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评审为差的加0分；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pStyle w:val="15"/>
              <w:widowControl w:val="0"/>
              <w:spacing w:before="0" w:beforeAutospacing="0" w:after="0" w:afterAutospacing="0"/>
              <w:jc w:val="both"/>
              <w:rPr>
                <w:rFonts w:hint="eastAsia" w:ascii="仿宋" w:hAnsi="仿宋" w:eastAsia="仿宋" w:cs="仿宋"/>
                <w:color w:val="000000"/>
                <w:szCs w:val="21"/>
                <w:lang w:val="zh-CN"/>
              </w:rPr>
            </w:pPr>
            <w:r>
              <w:rPr>
                <w:rFonts w:hint="eastAsia" w:ascii="仿宋" w:hAnsi="仿宋" w:eastAsia="仿宋" w:cs="仿宋"/>
                <w:color w:val="000000"/>
                <w:kern w:val="2"/>
                <w:sz w:val="21"/>
                <w:szCs w:val="21"/>
                <w:lang w:val="zh-CN" w:bidi="ar"/>
              </w:rPr>
              <w:t>工作安排科学性</w:t>
            </w:r>
          </w:p>
        </w:tc>
        <w:tc>
          <w:tcPr>
            <w:tcW w:w="623"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10</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具有完整详细的年度工作实施计划，工作计划合理和具有可操作性，符合项目整体需求。</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包含但不限于以下内容：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eastAsia="zh-CN"/>
              </w:rPr>
              <w:t>阶段性成果</w:t>
            </w:r>
            <w:r>
              <w:rPr>
                <w:rFonts w:hint="eastAsia" w:ascii="仿宋" w:hAnsi="仿宋" w:eastAsia="仿宋" w:cs="仿宋"/>
                <w:color w:val="000000"/>
                <w:szCs w:val="21"/>
              </w:rPr>
              <w:t>；</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eastAsia="zh-CN"/>
              </w:rPr>
              <w:t>计划时间安排</w:t>
            </w:r>
            <w:r>
              <w:rPr>
                <w:rFonts w:hint="eastAsia" w:ascii="仿宋" w:hAnsi="仿宋" w:eastAsia="仿宋" w:cs="仿宋"/>
                <w:color w:val="000000"/>
                <w:szCs w:val="21"/>
              </w:rPr>
              <w:t>；</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3.</w:t>
            </w:r>
            <w:r>
              <w:rPr>
                <w:rFonts w:hint="eastAsia" w:ascii="仿宋" w:hAnsi="仿宋" w:eastAsia="仿宋" w:cs="仿宋"/>
                <w:color w:val="000000"/>
                <w:szCs w:val="21"/>
                <w:lang w:eastAsia="zh-CN"/>
              </w:rPr>
              <w:t>良好保障措施</w:t>
            </w:r>
            <w:r>
              <w:rPr>
                <w:rFonts w:hint="eastAsia" w:ascii="仿宋" w:hAnsi="仿宋" w:eastAsia="仿宋" w:cs="仿宋"/>
                <w:color w:val="000000"/>
                <w:szCs w:val="21"/>
              </w:rPr>
              <w:t>；</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 xml:space="preserve">评分标准：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1.满足三点得</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分，满足任意两点得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 xml:space="preserve">分，满足任意一点得1分，未满足不得分。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 xml:space="preserve">2.在此基础上，专家根据各供应商的具体响应内容按照量化的评审因素指标进一步评审；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lang w:eastAsia="zh-CN"/>
              </w:rPr>
              <w:t>优：</w:t>
            </w:r>
            <w:r>
              <w:rPr>
                <w:rFonts w:hint="eastAsia" w:ascii="仿宋" w:hAnsi="仿宋" w:eastAsia="仿宋" w:cs="仿宋"/>
                <w:color w:val="000000"/>
                <w:szCs w:val="21"/>
              </w:rPr>
              <w:t>方案周全完整，分别以中期成果及最终成果提出具体贴合项目实施计划的时间安排和良好保障措施，可操作性强；</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lang w:eastAsia="zh-CN"/>
              </w:rPr>
              <w:t>良：</w:t>
            </w:r>
            <w:r>
              <w:rPr>
                <w:rFonts w:hint="eastAsia" w:ascii="仿宋" w:hAnsi="仿宋" w:eastAsia="仿宋" w:cs="仿宋"/>
                <w:color w:val="000000"/>
                <w:szCs w:val="21"/>
              </w:rPr>
              <w:t>方案完整，根据四季度时间节点提出具体时间安排和保障措施，可操作性较好；</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lang w:eastAsia="zh-CN"/>
              </w:rPr>
              <w:t>中：</w:t>
            </w:r>
            <w:r>
              <w:rPr>
                <w:rFonts w:hint="eastAsia" w:ascii="仿宋" w:hAnsi="仿宋" w:eastAsia="仿宋" w:cs="仿宋"/>
                <w:color w:val="000000"/>
                <w:szCs w:val="21"/>
              </w:rPr>
              <w:t>方案较基本，有时间安排和保障措施，可操作性一般；</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lang w:eastAsia="zh-CN"/>
              </w:rPr>
              <w:t>差：</w:t>
            </w:r>
            <w:r>
              <w:rPr>
                <w:rFonts w:hint="eastAsia" w:ascii="仿宋" w:hAnsi="仿宋" w:eastAsia="仿宋" w:cs="仿宋"/>
                <w:color w:val="000000"/>
                <w:szCs w:val="21"/>
              </w:rPr>
              <w:t>方案无时间安排和保障措施，不具备可操作性，评价为差，不得分。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评审为优的加</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评审为良的加</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评审为中的加</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评审为差的加0分；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bidi="ar"/>
              </w:rPr>
              <w:t>3</w:t>
            </w:r>
          </w:p>
        </w:tc>
        <w:tc>
          <w:tcPr>
            <w:tcW w:w="1346" w:type="dxa"/>
            <w:tcBorders>
              <w:top w:val="single" w:color="auto" w:sz="6" w:space="0"/>
              <w:left w:val="single" w:color="auto" w:sz="6" w:space="0"/>
              <w:bottom w:val="single" w:color="auto" w:sz="6" w:space="0"/>
              <w:right w:val="single" w:color="auto" w:sz="6" w:space="0"/>
            </w:tcBorders>
            <w:noWrap w:val="0"/>
            <w:vAlign w:val="center"/>
          </w:tcPr>
          <w:p>
            <w:pPr>
              <w:pStyle w:val="15"/>
              <w:widowControl w:val="0"/>
              <w:spacing w:before="0" w:beforeAutospacing="0" w:after="0" w:afterAutospacing="0"/>
              <w:jc w:val="both"/>
              <w:rPr>
                <w:rFonts w:hint="eastAsia" w:ascii="仿宋" w:hAnsi="仿宋" w:eastAsia="仿宋" w:cs="仿宋"/>
                <w:color w:val="000000"/>
                <w:szCs w:val="21"/>
                <w:lang w:val="zh-CN"/>
              </w:rPr>
            </w:pPr>
            <w:r>
              <w:rPr>
                <w:rFonts w:hint="eastAsia" w:ascii="仿宋" w:hAnsi="仿宋" w:eastAsia="仿宋" w:cs="仿宋"/>
                <w:color w:val="000000"/>
                <w:kern w:val="2"/>
                <w:sz w:val="21"/>
                <w:szCs w:val="21"/>
                <w:lang w:val="zh-CN" w:bidi="ar"/>
              </w:rPr>
              <w:t>合理化建议</w:t>
            </w:r>
          </w:p>
        </w:tc>
        <w:tc>
          <w:tcPr>
            <w:tcW w:w="623"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rPr>
            </w:pPr>
            <w:r>
              <w:rPr>
                <w:rFonts w:hint="eastAsia" w:ascii="仿宋" w:hAnsi="仿宋" w:eastAsia="仿宋" w:cs="仿宋"/>
                <w:color w:val="000000"/>
                <w:szCs w:val="21"/>
                <w:lang w:bidi="ar"/>
              </w:rPr>
              <w:t>10</w:t>
            </w:r>
          </w:p>
        </w:tc>
        <w:tc>
          <w:tcPr>
            <w:tcW w:w="538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根据招标文件的需求和投标文件响应情况，编制项目难点重点分析。包含但不限于以下内容：</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1.项目难点、重点分析；</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2.应对措施及相关建议；</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评分标准：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1.满足两点得</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分，满足任意一点得</w:t>
            </w:r>
            <w:r>
              <w:rPr>
                <w:rFonts w:hint="eastAsia" w:ascii="仿宋" w:hAnsi="仿宋" w:eastAsia="仿宋" w:cs="仿宋"/>
                <w:color w:val="000000"/>
                <w:szCs w:val="21"/>
                <w:lang w:val="en-US" w:eastAsia="zh-CN"/>
              </w:rPr>
              <w:t>2.5</w:t>
            </w:r>
            <w:r>
              <w:rPr>
                <w:rFonts w:hint="eastAsia" w:ascii="仿宋" w:hAnsi="仿宋" w:eastAsia="仿宋" w:cs="仿宋"/>
                <w:color w:val="000000"/>
                <w:szCs w:val="21"/>
              </w:rPr>
              <w:t>分，未满足不得分。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 xml:space="preserve">2.在此基础上，专家根据各供应商的具体响应内容按照量化的评审因素指标进一步评审； </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优：找出2个及以上项目重点难点，并提出针对性强的解决方案；</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良：找出1个项目重点难点，分析基本清楚、解决方案针对性较好的；</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中：对项目重点难点分析仅做概括性描述的；</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差：对项目重点难点分析不全面、解决方案差。</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评审为优的加</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评审为良的加</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评审为中的加1分；</w:t>
            </w:r>
          </w:p>
          <w:p>
            <w:pPr>
              <w:tabs>
                <w:tab w:val="left" w:pos="426"/>
              </w:tabs>
              <w:rPr>
                <w:rFonts w:hint="eastAsia" w:ascii="仿宋" w:hAnsi="仿宋" w:eastAsia="仿宋" w:cs="仿宋"/>
                <w:color w:val="000000"/>
                <w:szCs w:val="21"/>
              </w:rPr>
            </w:pPr>
            <w:r>
              <w:rPr>
                <w:rFonts w:hint="eastAsia" w:ascii="仿宋" w:hAnsi="仿宋" w:eastAsia="仿宋" w:cs="仿宋"/>
                <w:color w:val="000000"/>
                <w:szCs w:val="21"/>
              </w:rPr>
              <w:t>评审为差的加0分；</w:t>
            </w:r>
          </w:p>
        </w:tc>
        <w:tc>
          <w:tcPr>
            <w:tcW w:w="725"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utoSpaceDE w:val="0"/>
              <w:autoSpaceDN w:val="0"/>
              <w:jc w:val="center"/>
              <w:rPr>
                <w:rFonts w:hint="eastAsia" w:ascii="仿宋" w:hAnsi="仿宋" w:eastAsia="仿宋" w:cs="仿宋"/>
                <w:color w:val="000000"/>
                <w:szCs w:val="21"/>
                <w:lang w:val="zh-CN"/>
              </w:rPr>
            </w:pPr>
            <w:r>
              <w:rPr>
                <w:rFonts w:hint="eastAsia" w:ascii="仿宋" w:hAnsi="仿宋" w:eastAsia="仿宋" w:cs="仿宋"/>
                <w:color w:val="000000"/>
                <w:szCs w:val="21"/>
                <w:lang w:val="zh-CN" w:bidi="ar"/>
              </w:rPr>
              <w:t>专家打分</w:t>
            </w:r>
          </w:p>
        </w:tc>
      </w:tr>
    </w:tbl>
    <w:p>
      <w:pPr>
        <w:ind w:firstLine="420" w:firstLineChars="200"/>
        <w:rPr>
          <w:rFonts w:ascii="仿宋" w:hAnsi="仿宋" w:eastAsia="仿宋"/>
          <w:color w:val="auto"/>
          <w:highlight w:val="none"/>
        </w:rPr>
      </w:pPr>
    </w:p>
    <w:p>
      <w:pPr>
        <w:ind w:firstLine="420" w:firstLineChars="200"/>
        <w:rPr>
          <w:rFonts w:ascii="仿宋" w:hAnsi="仿宋" w:eastAsia="仿宋"/>
          <w:color w:val="auto"/>
          <w:highlight w:val="none"/>
        </w:rPr>
      </w:pPr>
      <w:r>
        <w:rPr>
          <w:rFonts w:hint="eastAsia" w:ascii="仿宋" w:hAnsi="仿宋" w:eastAsia="仿宋"/>
          <w:color w:val="auto"/>
          <w:highlight w:val="none"/>
        </w:rPr>
        <w:t>注：1. 有取值范围的，含下限值，不含上限值。每一项的得分均不能超过该项最高分值。</w:t>
      </w:r>
    </w:p>
    <w:p>
      <w:pPr>
        <w:ind w:firstLine="821" w:firstLineChars="391"/>
        <w:rPr>
          <w:rFonts w:ascii="仿宋" w:hAnsi="仿宋" w:eastAsia="仿宋"/>
          <w:color w:val="auto"/>
          <w:highlight w:val="none"/>
        </w:rPr>
      </w:pPr>
      <w:r>
        <w:rPr>
          <w:rFonts w:hint="eastAsia" w:ascii="仿宋" w:hAnsi="仿宋" w:eastAsia="仿宋"/>
          <w:color w:val="auto"/>
          <w:highlight w:val="none"/>
        </w:rPr>
        <w:t>2. 缺项则该项为0分或不合格为0分。</w:t>
      </w:r>
    </w:p>
    <w:p>
      <w:pPr>
        <w:spacing w:line="0" w:lineRule="atLeast"/>
        <w:ind w:firstLine="821" w:firstLineChars="391"/>
        <w:rPr>
          <w:rFonts w:ascii="仿宋" w:hAnsi="仿宋" w:eastAsia="仿宋"/>
          <w:color w:val="auto"/>
          <w:highlight w:val="none"/>
        </w:rPr>
      </w:pPr>
      <w:r>
        <w:rPr>
          <w:rFonts w:hint="eastAsia" w:ascii="仿宋" w:hAnsi="仿宋" w:eastAsia="仿宋"/>
          <w:color w:val="auto"/>
          <w:highlight w:val="none"/>
        </w:rPr>
        <w:t>3. 价格、技术、商务部分为针对项目具体情况设置项目，累加满分为100分，固定额外加分部分为固定设置项，对涉及政策导向优先采购产品进行额外加分。</w:t>
      </w:r>
    </w:p>
    <w:p>
      <w:pPr>
        <w:spacing w:line="0" w:lineRule="atLeast"/>
        <w:ind w:firstLine="821" w:firstLineChars="391"/>
        <w:rPr>
          <w:rFonts w:ascii="仿宋" w:hAnsi="仿宋" w:eastAsia="仿宋" w:cs="Arial"/>
          <w:snapToGrid w:val="0"/>
          <w:color w:val="auto"/>
          <w:kern w:val="0"/>
          <w:szCs w:val="18"/>
          <w:highlight w:val="none"/>
        </w:rPr>
      </w:pPr>
      <w:r>
        <w:rPr>
          <w:rFonts w:hint="eastAsia" w:ascii="仿宋" w:hAnsi="仿宋" w:eastAsia="仿宋"/>
          <w:color w:val="auto"/>
          <w:highlight w:val="none"/>
        </w:rPr>
        <w:t>4. 综合以上</w:t>
      </w:r>
      <w:r>
        <w:rPr>
          <w:rFonts w:hint="eastAsia" w:ascii="仿宋" w:hAnsi="仿宋" w:eastAsia="仿宋"/>
          <w:snapToGrid w:val="0"/>
          <w:color w:val="auto"/>
          <w:kern w:val="0"/>
          <w:highlight w:val="none"/>
        </w:rPr>
        <w:t>分析比较，评委会将对各投标文件进行书面的量化评定，得分</w:t>
      </w:r>
      <w:r>
        <w:rPr>
          <w:rFonts w:ascii="仿宋" w:hAnsi="仿宋" w:eastAsia="仿宋" w:cs="Arial"/>
          <w:snapToGrid w:val="0"/>
          <w:color w:val="auto"/>
          <w:kern w:val="0"/>
          <w:szCs w:val="18"/>
          <w:highlight w:val="none"/>
        </w:rPr>
        <w:t>精确到小数点后两位</w:t>
      </w:r>
      <w:r>
        <w:rPr>
          <w:rFonts w:hint="eastAsia" w:ascii="仿宋" w:hAnsi="仿宋" w:eastAsia="仿宋" w:cs="Arial"/>
          <w:snapToGrid w:val="0"/>
          <w:color w:val="auto"/>
          <w:kern w:val="0"/>
          <w:szCs w:val="18"/>
          <w:highlight w:val="none"/>
        </w:rPr>
        <w:t>。</w:t>
      </w:r>
    </w:p>
    <w:p>
      <w:pPr>
        <w:spacing w:line="360" w:lineRule="auto"/>
        <w:rPr>
          <w:rFonts w:ascii="仿宋" w:hAnsi="仿宋" w:eastAsia="仿宋"/>
          <w:b/>
          <w:bCs/>
          <w:color w:val="auto"/>
          <w:sz w:val="32"/>
          <w:highlight w:val="none"/>
        </w:rPr>
      </w:pPr>
    </w:p>
    <w:p>
      <w:pPr>
        <w:pStyle w:val="3"/>
        <w:rPr>
          <w:color w:val="auto"/>
          <w:highlight w:val="none"/>
        </w:rPr>
      </w:pPr>
      <w:r>
        <w:rPr>
          <w:rFonts w:hint="eastAsia"/>
          <w:color w:val="auto"/>
          <w:highlight w:val="none"/>
        </w:rPr>
        <w:br w:type="page"/>
      </w:r>
      <w:r>
        <w:rPr>
          <w:rFonts w:hint="eastAsia"/>
          <w:color w:val="auto"/>
          <w:highlight w:val="none"/>
        </w:rPr>
        <w:t>第七章 附件</w:t>
      </w:r>
    </w:p>
    <w:p>
      <w:pPr>
        <w:pStyle w:val="4"/>
        <w:spacing w:before="120" w:after="120"/>
        <w:jc w:val="center"/>
        <w:rPr>
          <w:rFonts w:ascii="黑体" w:eastAsia="黑体"/>
          <w:b w:val="0"/>
          <w:bCs w:val="0"/>
          <w:color w:val="auto"/>
          <w:sz w:val="28"/>
          <w:szCs w:val="28"/>
          <w:highlight w:val="none"/>
        </w:rPr>
      </w:pPr>
      <w:bookmarkStart w:id="3" w:name="_Toc1466764"/>
      <w:bookmarkStart w:id="4" w:name="_Toc30567"/>
      <w:bookmarkStart w:id="5" w:name="_Toc32279"/>
      <w:bookmarkStart w:id="6" w:name="_Toc480495924"/>
      <w:bookmarkStart w:id="7" w:name="_Toc9110"/>
      <w:r>
        <w:rPr>
          <w:rFonts w:hint="eastAsia" w:ascii="黑体" w:eastAsia="黑体"/>
          <w:b w:val="0"/>
          <w:bCs w:val="0"/>
          <w:color w:val="auto"/>
          <w:sz w:val="28"/>
          <w:szCs w:val="28"/>
          <w:highlight w:val="none"/>
        </w:rPr>
        <w:t>一、开标一览表</w:t>
      </w:r>
      <w:bookmarkEnd w:id="3"/>
      <w:bookmarkEnd w:id="4"/>
      <w:bookmarkEnd w:id="5"/>
      <w:bookmarkEnd w:id="6"/>
      <w:bookmarkEnd w:id="7"/>
    </w:p>
    <w:p>
      <w:pPr>
        <w:jc w:val="right"/>
        <w:rPr>
          <w:rFonts w:ascii="仿宋" w:hAnsi="仿宋" w:eastAsia="仿宋" w:cs="仿宋"/>
          <w:bCs/>
          <w:snapToGrid w:val="0"/>
          <w:color w:val="auto"/>
          <w:kern w:val="0"/>
          <w:highlight w:val="none"/>
        </w:rPr>
      </w:pPr>
      <w:r>
        <w:rPr>
          <w:rFonts w:hint="eastAsia" w:ascii="仿宋" w:hAnsi="仿宋" w:eastAsia="仿宋" w:cs="仿宋"/>
          <w:bCs/>
          <w:snapToGrid w:val="0"/>
          <w:color w:val="auto"/>
          <w:kern w:val="0"/>
          <w:highlight w:val="none"/>
        </w:rPr>
        <w:t>单位：人民币元</w:t>
      </w:r>
    </w:p>
    <w:tbl>
      <w:tblPr>
        <w:tblStyle w:val="1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2854"/>
        <w:gridCol w:w="2847"/>
        <w:gridCol w:w="13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886" w:type="pct"/>
            <w:tcBorders>
              <w:top w:val="double" w:color="auto" w:sz="4" w:space="0"/>
              <w:bottom w:val="single" w:color="auto" w:sz="4" w:space="0"/>
            </w:tcBorders>
            <w:noWrap/>
            <w:vAlign w:val="center"/>
          </w:tcPr>
          <w:p>
            <w:pPr>
              <w:jc w:val="center"/>
              <w:rPr>
                <w:rFonts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项目编号</w:t>
            </w:r>
          </w:p>
        </w:tc>
        <w:tc>
          <w:tcPr>
            <w:tcW w:w="1674" w:type="pct"/>
            <w:tcBorders>
              <w:top w:val="double" w:color="auto" w:sz="4" w:space="0"/>
              <w:bottom w:val="single" w:color="auto" w:sz="4" w:space="0"/>
            </w:tcBorders>
            <w:noWrap/>
            <w:vAlign w:val="center"/>
          </w:tcPr>
          <w:p>
            <w:pPr>
              <w:jc w:val="center"/>
              <w:rPr>
                <w:rFonts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项目名称</w:t>
            </w:r>
          </w:p>
        </w:tc>
        <w:tc>
          <w:tcPr>
            <w:tcW w:w="1670" w:type="pct"/>
            <w:tcBorders>
              <w:top w:val="double" w:color="auto" w:sz="4" w:space="0"/>
              <w:bottom w:val="single" w:color="auto" w:sz="4" w:space="0"/>
            </w:tcBorders>
            <w:noWrap/>
            <w:vAlign w:val="center"/>
          </w:tcPr>
          <w:p>
            <w:pPr>
              <w:jc w:val="center"/>
              <w:rPr>
                <w:rFonts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投标总价</w:t>
            </w:r>
          </w:p>
        </w:tc>
        <w:tc>
          <w:tcPr>
            <w:tcW w:w="767" w:type="pct"/>
            <w:tcBorders>
              <w:top w:val="double" w:color="auto" w:sz="4" w:space="0"/>
              <w:bottom w:val="single" w:color="auto" w:sz="4" w:space="0"/>
            </w:tcBorders>
            <w:noWrap/>
            <w:vAlign w:val="center"/>
          </w:tcPr>
          <w:p>
            <w:pPr>
              <w:jc w:val="center"/>
              <w:rPr>
                <w:rFonts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886" w:type="pct"/>
            <w:tcBorders>
              <w:top w:val="single" w:color="auto" w:sz="4" w:space="0"/>
            </w:tcBorders>
            <w:noWrap/>
            <w:vAlign w:val="center"/>
          </w:tcPr>
          <w:p>
            <w:pPr>
              <w:jc w:val="center"/>
              <w:rPr>
                <w:rFonts w:ascii="仿宋" w:hAnsi="仿宋" w:eastAsia="仿宋" w:cs="仿宋"/>
                <w:snapToGrid w:val="0"/>
                <w:color w:val="auto"/>
                <w:kern w:val="0"/>
                <w:highlight w:val="none"/>
                <w:u w:val="single"/>
              </w:rPr>
            </w:pPr>
          </w:p>
        </w:tc>
        <w:tc>
          <w:tcPr>
            <w:tcW w:w="1674" w:type="pct"/>
            <w:tcBorders>
              <w:top w:val="single" w:color="auto" w:sz="4" w:space="0"/>
            </w:tcBorders>
            <w:noWrap/>
            <w:vAlign w:val="center"/>
          </w:tcPr>
          <w:p>
            <w:pPr>
              <w:jc w:val="center"/>
              <w:rPr>
                <w:rFonts w:ascii="仿宋" w:hAnsi="仿宋" w:eastAsia="仿宋" w:cs="仿宋"/>
                <w:snapToGrid w:val="0"/>
                <w:color w:val="auto"/>
                <w:kern w:val="0"/>
                <w:highlight w:val="none"/>
                <w:u w:val="single"/>
              </w:rPr>
            </w:pPr>
          </w:p>
        </w:tc>
        <w:tc>
          <w:tcPr>
            <w:tcW w:w="1670" w:type="pct"/>
            <w:tcBorders>
              <w:top w:val="single" w:color="auto" w:sz="4" w:space="0"/>
            </w:tcBorders>
            <w:noWrap/>
            <w:vAlign w:val="center"/>
          </w:tcPr>
          <w:p>
            <w:pPr>
              <w:rPr>
                <w:rFonts w:ascii="仿宋" w:hAnsi="仿宋" w:eastAsia="仿宋" w:cs="仿宋"/>
                <w:snapToGrid w:val="0"/>
                <w:color w:val="auto"/>
                <w:kern w:val="0"/>
                <w:highlight w:val="none"/>
              </w:rPr>
            </w:pPr>
          </w:p>
        </w:tc>
        <w:tc>
          <w:tcPr>
            <w:tcW w:w="767" w:type="pct"/>
            <w:tcBorders>
              <w:top w:val="single" w:color="auto" w:sz="4" w:space="0"/>
            </w:tcBorders>
            <w:noWrap/>
            <w:vAlign w:val="center"/>
          </w:tcPr>
          <w:p>
            <w:pPr>
              <w:jc w:val="center"/>
              <w:rPr>
                <w:rFonts w:ascii="仿宋" w:hAnsi="仿宋" w:eastAsia="仿宋" w:cs="仿宋"/>
                <w:snapToGrid w:val="0"/>
                <w:color w:val="auto"/>
                <w:kern w:val="0"/>
                <w:highlight w:val="none"/>
              </w:rPr>
            </w:pPr>
          </w:p>
        </w:tc>
      </w:tr>
    </w:tbl>
    <w:p>
      <w:pPr>
        <w:rPr>
          <w:rFonts w:ascii="仿宋" w:hAnsi="仿宋" w:eastAsia="仿宋" w:cs="仿宋"/>
          <w:snapToGrid w:val="0"/>
          <w:color w:val="auto"/>
          <w:kern w:val="0"/>
          <w:highlight w:val="none"/>
        </w:rPr>
      </w:pPr>
      <w:r>
        <w:rPr>
          <w:rFonts w:hint="eastAsia" w:ascii="仿宋" w:hAnsi="仿宋" w:eastAsia="仿宋" w:cs="仿宋"/>
          <w:snapToGrid w:val="0"/>
          <w:color w:val="auto"/>
          <w:kern w:val="0"/>
          <w:highlight w:val="none"/>
        </w:rPr>
        <w:t>注：1.价格应按“招标文件”中规定的货币单位填写。</w:t>
      </w:r>
    </w:p>
    <w:p>
      <w:pPr>
        <w:ind w:firstLine="0"/>
        <w:rPr>
          <w:rFonts w:ascii="仿宋" w:hAnsi="仿宋" w:eastAsia="仿宋" w:cs="仿宋"/>
          <w:color w:val="auto"/>
          <w:highlight w:val="none"/>
        </w:rPr>
      </w:pPr>
      <w:r>
        <w:rPr>
          <w:rFonts w:hint="eastAsia" w:ascii="仿宋" w:hAnsi="仿宋" w:eastAsia="仿宋" w:cs="仿宋"/>
          <w:snapToGrid w:val="0"/>
          <w:color w:val="auto"/>
          <w:kern w:val="0"/>
          <w:highlight w:val="none"/>
        </w:rPr>
        <w:t xml:space="preserve">    2.投标人如果需要对报价或其它内容加以说明，可在备注栏填写。</w:t>
      </w:r>
    </w:p>
    <w:p>
      <w:pPr>
        <w:ind w:firstLine="420" w:firstLineChars="200"/>
        <w:rPr>
          <w:rFonts w:hint="eastAsia" w:ascii="仿宋" w:hAnsi="仿宋" w:eastAsia="仿宋" w:cs="仿宋"/>
          <w:b w:val="0"/>
          <w:snapToGrid w:val="0"/>
          <w:color w:val="auto"/>
          <w:kern w:val="0"/>
          <w:sz w:val="21"/>
          <w:szCs w:val="24"/>
          <w:highlight w:val="none"/>
        </w:rPr>
      </w:pPr>
      <w:r>
        <w:rPr>
          <w:rFonts w:hint="eastAsia" w:ascii="仿宋" w:hAnsi="仿宋" w:eastAsia="仿宋" w:cs="仿宋"/>
          <w:b w:val="0"/>
          <w:snapToGrid w:val="0"/>
          <w:color w:val="auto"/>
          <w:kern w:val="0"/>
          <w:sz w:val="21"/>
          <w:szCs w:val="24"/>
          <w:highlight w:val="none"/>
        </w:rPr>
        <w:t>3</w:t>
      </w:r>
      <w:r>
        <w:rPr>
          <w:rFonts w:hint="eastAsia" w:ascii="仿宋" w:hAnsi="仿宋" w:eastAsia="仿宋" w:cs="仿宋"/>
          <w:b w:val="0"/>
          <w:snapToGrid w:val="0"/>
          <w:color w:val="auto"/>
          <w:kern w:val="0"/>
          <w:sz w:val="21"/>
          <w:szCs w:val="24"/>
          <w:highlight w:val="none"/>
          <w:lang w:val="en-US" w:eastAsia="zh-CN"/>
        </w:rPr>
        <w:t>.</w:t>
      </w:r>
      <w:r>
        <w:rPr>
          <w:rFonts w:hint="eastAsia" w:ascii="仿宋" w:hAnsi="仿宋" w:eastAsia="仿宋" w:cs="仿宋"/>
          <w:b w:val="0"/>
          <w:snapToGrid w:val="0"/>
          <w:color w:val="auto"/>
          <w:kern w:val="0"/>
          <w:sz w:val="21"/>
          <w:szCs w:val="24"/>
          <w:highlight w:val="none"/>
        </w:rPr>
        <w:t>《开标一览表》作为开标时唱标的依据，除按格式要求放入投标文件中外，还应另行单独密封提交一份，在封口密封处加盖公章（或密封封口处粘贴封条并加盖投标单位公章），并在信封上标明“开标一览表”字样。</w:t>
      </w:r>
    </w:p>
    <w:p>
      <w:pPr>
        <w:ind w:firstLine="420" w:firstLineChars="200"/>
        <w:rPr>
          <w:rFonts w:hint="eastAsia" w:ascii="仿宋" w:hAnsi="仿宋" w:eastAsia="仿宋" w:cs="仿宋"/>
          <w:b w:val="0"/>
          <w:snapToGrid w:val="0"/>
          <w:color w:val="auto"/>
          <w:kern w:val="0"/>
          <w:sz w:val="21"/>
          <w:szCs w:val="24"/>
          <w:highlight w:val="none"/>
        </w:rPr>
      </w:pPr>
      <w:r>
        <w:rPr>
          <w:rFonts w:hint="eastAsia" w:ascii="仿宋" w:hAnsi="仿宋" w:eastAsia="仿宋" w:cs="仿宋"/>
          <w:b w:val="0"/>
          <w:snapToGrid w:val="0"/>
          <w:color w:val="auto"/>
          <w:kern w:val="0"/>
          <w:sz w:val="21"/>
          <w:szCs w:val="24"/>
          <w:highlight w:val="none"/>
        </w:rPr>
        <w:t>4</w:t>
      </w:r>
      <w:r>
        <w:rPr>
          <w:rFonts w:hint="eastAsia" w:ascii="仿宋" w:hAnsi="仿宋" w:eastAsia="仿宋" w:cs="仿宋"/>
          <w:b w:val="0"/>
          <w:snapToGrid w:val="0"/>
          <w:color w:val="auto"/>
          <w:kern w:val="0"/>
          <w:sz w:val="21"/>
          <w:szCs w:val="24"/>
          <w:highlight w:val="none"/>
          <w:lang w:val="en-US" w:eastAsia="zh-CN"/>
        </w:rPr>
        <w:t>.</w:t>
      </w:r>
      <w:r>
        <w:rPr>
          <w:rFonts w:hint="eastAsia" w:ascii="仿宋" w:hAnsi="仿宋" w:eastAsia="仿宋" w:cs="仿宋"/>
          <w:b w:val="0"/>
          <w:snapToGrid w:val="0"/>
          <w:color w:val="auto"/>
          <w:kern w:val="0"/>
          <w:sz w:val="21"/>
          <w:szCs w:val="24"/>
          <w:highlight w:val="none"/>
        </w:rPr>
        <w:t>《开标一览表》未按招标文件规定签字、盖章、密封的，将导致废标。</w:t>
      </w:r>
    </w:p>
    <w:p>
      <w:pPr>
        <w:snapToGrid w:val="0"/>
        <w:ind w:firstLine="411" w:firstLineChars="196"/>
        <w:rPr>
          <w:rFonts w:ascii="仿宋" w:hAnsi="仿宋" w:eastAsia="仿宋" w:cs="仿宋"/>
          <w:color w:val="auto"/>
          <w:szCs w:val="21"/>
          <w:highlight w:val="none"/>
        </w:rPr>
      </w:pPr>
      <w:r>
        <w:rPr>
          <w:rFonts w:hint="eastAsia" w:ascii="仿宋" w:hAnsi="仿宋" w:eastAsia="仿宋" w:cs="仿宋"/>
          <w:color w:val="auto"/>
          <w:highlight w:val="none"/>
        </w:rPr>
        <w:t>5.</w:t>
      </w:r>
      <w:r>
        <w:rPr>
          <w:rFonts w:hint="eastAsia" w:ascii="仿宋" w:hAnsi="仿宋" w:eastAsia="仿宋" w:cs="仿宋"/>
          <w:color w:val="auto"/>
          <w:szCs w:val="21"/>
          <w:highlight w:val="none"/>
        </w:rPr>
        <w:t>若开标一览表中大写金额和小写金额不一致的，以大写金额为准。</w:t>
      </w:r>
    </w:p>
    <w:p>
      <w:pPr>
        <w:ind w:firstLine="420"/>
        <w:rPr>
          <w:rFonts w:ascii="仿宋" w:hAnsi="仿宋" w:eastAsia="仿宋" w:cs="仿宋"/>
          <w:color w:val="auto"/>
          <w:highlight w:val="none"/>
        </w:rPr>
      </w:pPr>
    </w:p>
    <w:p>
      <w:pPr>
        <w:ind w:firstLine="420"/>
        <w:jc w:val="left"/>
        <w:rPr>
          <w:rFonts w:ascii="仿宋" w:hAnsi="仿宋" w:eastAsia="仿宋" w:cs="仿宋"/>
          <w:color w:val="auto"/>
          <w:highlight w:val="none"/>
        </w:rPr>
      </w:pPr>
    </w:p>
    <w:p>
      <w:pPr>
        <w:ind w:firstLine="420"/>
        <w:jc w:val="left"/>
        <w:rPr>
          <w:rFonts w:ascii="仿宋" w:hAnsi="仿宋" w:eastAsia="仿宋" w:cs="仿宋"/>
          <w:color w:val="auto"/>
          <w:highlight w:val="none"/>
        </w:rPr>
      </w:pPr>
    </w:p>
    <w:p>
      <w:pPr>
        <w:ind w:firstLine="3150" w:firstLineChars="1500"/>
        <w:jc w:val="left"/>
        <w:rPr>
          <w:rFonts w:ascii="仿宋" w:hAnsi="仿宋" w:eastAsia="仿宋" w:cs="仿宋"/>
          <w:color w:val="auto"/>
          <w:highlight w:val="none"/>
        </w:rPr>
      </w:pPr>
      <w:r>
        <w:rPr>
          <w:rFonts w:hint="eastAsia" w:ascii="仿宋" w:hAnsi="仿宋" w:eastAsia="仿宋" w:cs="仿宋"/>
          <w:color w:val="auto"/>
          <w:highlight w:val="none"/>
        </w:rPr>
        <w:t>法定代表人或其授权委托人（</w:t>
      </w:r>
      <w:r>
        <w:rPr>
          <w:rFonts w:hint="eastAsia" w:ascii="仿宋" w:hAnsi="仿宋" w:eastAsia="仿宋" w:cs="仿宋"/>
          <w:b/>
          <w:color w:val="auto"/>
          <w:highlight w:val="none"/>
        </w:rPr>
        <w:t>签名</w:t>
      </w:r>
      <w:r>
        <w:rPr>
          <w:rFonts w:hint="eastAsia" w:ascii="仿宋" w:hAnsi="仿宋" w:eastAsia="仿宋" w:cs="仿宋"/>
          <w:color w:val="auto"/>
          <w:highlight w:val="none"/>
        </w:rPr>
        <w:t>）：</w:t>
      </w:r>
    </w:p>
    <w:p>
      <w:pPr>
        <w:jc w:val="left"/>
        <w:rPr>
          <w:rFonts w:ascii="仿宋" w:hAnsi="仿宋" w:eastAsia="仿宋" w:cs="仿宋"/>
          <w:color w:val="auto"/>
          <w:highlight w:val="none"/>
        </w:rPr>
      </w:pPr>
    </w:p>
    <w:p>
      <w:pPr>
        <w:ind w:firstLine="3150" w:firstLineChars="1500"/>
        <w:jc w:val="left"/>
        <w:rPr>
          <w:rFonts w:ascii="仿宋" w:hAnsi="仿宋" w:eastAsia="仿宋" w:cs="仿宋"/>
          <w:color w:val="auto"/>
          <w:highlight w:val="none"/>
        </w:rPr>
      </w:pPr>
      <w:r>
        <w:rPr>
          <w:rFonts w:hint="eastAsia" w:ascii="仿宋" w:hAnsi="仿宋" w:eastAsia="仿宋" w:cs="仿宋"/>
          <w:color w:val="auto"/>
          <w:highlight w:val="none"/>
        </w:rPr>
        <w:t>投标单位（</w:t>
      </w:r>
      <w:r>
        <w:rPr>
          <w:rFonts w:hint="eastAsia" w:ascii="仿宋" w:hAnsi="仿宋" w:eastAsia="仿宋" w:cs="仿宋"/>
          <w:b/>
          <w:color w:val="auto"/>
          <w:highlight w:val="none"/>
        </w:rPr>
        <w:t>盖公章</w:t>
      </w:r>
      <w:r>
        <w:rPr>
          <w:rFonts w:hint="eastAsia" w:ascii="仿宋" w:hAnsi="仿宋" w:eastAsia="仿宋" w:cs="仿宋"/>
          <w:color w:val="auto"/>
          <w:highlight w:val="none"/>
        </w:rPr>
        <w:t>）：</w:t>
      </w:r>
    </w:p>
    <w:p>
      <w:pPr>
        <w:jc w:val="left"/>
        <w:rPr>
          <w:rFonts w:ascii="仿宋" w:hAnsi="仿宋" w:eastAsia="仿宋" w:cs="仿宋"/>
          <w:color w:val="auto"/>
          <w:highlight w:val="none"/>
        </w:rPr>
      </w:pPr>
    </w:p>
    <w:p>
      <w:pPr>
        <w:jc w:val="right"/>
        <w:rPr>
          <w:rFonts w:ascii="仿宋" w:hAnsi="仿宋" w:eastAsia="仿宋" w:cs="仿宋"/>
          <w:color w:val="auto"/>
          <w:highlight w:val="none"/>
        </w:rPr>
      </w:pPr>
      <w:r>
        <w:rPr>
          <w:rFonts w:hint="eastAsia" w:ascii="仿宋" w:hAnsi="仿宋" w:eastAsia="仿宋" w:cs="仿宋"/>
          <w:color w:val="auto"/>
          <w:highlight w:val="none"/>
        </w:rPr>
        <w:t>日期：    年  月  日</w:t>
      </w:r>
    </w:p>
    <w:p>
      <w:pPr>
        <w:spacing w:line="360" w:lineRule="auto"/>
        <w:ind w:firstLine="3360" w:firstLineChars="1046"/>
        <w:rPr>
          <w:rFonts w:ascii="仿宋" w:hAnsi="仿宋" w:eastAsia="仿宋"/>
          <w:b/>
          <w:bCs/>
          <w:color w:val="auto"/>
          <w:sz w:val="32"/>
          <w:highlight w:val="none"/>
        </w:rPr>
      </w:pPr>
    </w:p>
    <w:p>
      <w:pPr>
        <w:spacing w:after="312" w:afterLines="100"/>
        <w:jc w:val="center"/>
        <w:outlineLvl w:val="1"/>
        <w:rPr>
          <w:b/>
          <w:bCs/>
          <w:color w:val="auto"/>
          <w:sz w:val="30"/>
          <w:highlight w:val="none"/>
        </w:rPr>
      </w:pPr>
      <w:r>
        <w:rPr>
          <w:rFonts w:ascii="仿宋" w:hAnsi="仿宋" w:eastAsia="仿宋"/>
          <w:b/>
          <w:bCs/>
          <w:color w:val="auto"/>
          <w:sz w:val="32"/>
          <w:highlight w:val="none"/>
        </w:rPr>
        <w:br w:type="page"/>
      </w:r>
      <w:bookmarkStart w:id="8" w:name="_Toc15265"/>
      <w:bookmarkStart w:id="9" w:name="_Toc51746103"/>
      <w:r>
        <w:rPr>
          <w:rFonts w:hint="eastAsia" w:ascii="黑体" w:hAnsi="黑体" w:eastAsia="黑体" w:cs="黑体"/>
          <w:color w:val="auto"/>
          <w:sz w:val="30"/>
          <w:highlight w:val="none"/>
        </w:rPr>
        <w:t>二、投标人资格证明文件</w:t>
      </w:r>
      <w:bookmarkEnd w:id="8"/>
      <w:bookmarkEnd w:id="9"/>
    </w:p>
    <w:p>
      <w:pPr>
        <w:widowControl/>
        <w:jc w:val="left"/>
        <w:outlineLvl w:val="2"/>
        <w:rPr>
          <w:rFonts w:ascii="仿宋" w:hAnsi="仿宋" w:eastAsia="仿宋" w:cs="仿宋"/>
          <w:bCs/>
          <w:color w:val="auto"/>
          <w:sz w:val="24"/>
          <w:highlight w:val="none"/>
        </w:rPr>
      </w:pPr>
      <w:bookmarkStart w:id="10" w:name="_Toc8726"/>
      <w:r>
        <w:rPr>
          <w:rFonts w:hint="eastAsia" w:ascii="仿宋" w:hAnsi="仿宋" w:eastAsia="仿宋" w:cs="仿宋"/>
          <w:bCs/>
          <w:color w:val="auto"/>
          <w:sz w:val="24"/>
          <w:highlight w:val="none"/>
        </w:rPr>
        <w:t>1.《营业执照》或法人证书复印件（加盖投标人公章）；</w:t>
      </w:r>
      <w:bookmarkEnd w:id="10"/>
    </w:p>
    <w:p>
      <w:pPr>
        <w:widowControl/>
        <w:spacing w:line="360" w:lineRule="auto"/>
        <w:jc w:val="left"/>
        <w:rPr>
          <w:b/>
          <w:bCs/>
          <w:color w:val="auto"/>
          <w:sz w:val="24"/>
          <w:highlight w:val="none"/>
        </w:rPr>
      </w:pPr>
    </w:p>
    <w:p>
      <w:pPr>
        <w:widowControl/>
        <w:jc w:val="left"/>
        <w:outlineLvl w:val="2"/>
        <w:rPr>
          <w:rFonts w:ascii="楷体" w:hAnsi="楷体" w:eastAsia="楷体" w:cs="楷体"/>
          <w:color w:val="auto"/>
          <w:sz w:val="24"/>
          <w:highlight w:val="none"/>
        </w:rPr>
      </w:pPr>
      <w:r>
        <w:rPr>
          <w:b/>
          <w:bCs/>
          <w:color w:val="auto"/>
          <w:sz w:val="24"/>
          <w:highlight w:val="none"/>
        </w:rPr>
        <w:br w:type="page"/>
      </w:r>
      <w:bookmarkStart w:id="11" w:name="_Toc4538"/>
      <w:r>
        <w:rPr>
          <w:rFonts w:hint="eastAsia" w:ascii="仿宋" w:hAnsi="仿宋" w:eastAsia="仿宋" w:cs="仿宋"/>
          <w:bCs/>
          <w:color w:val="auto"/>
          <w:sz w:val="24"/>
          <w:highlight w:val="none"/>
        </w:rPr>
        <w:t>2.法定代表人证明书原件及身份证复印件（加盖投标人公章）；</w:t>
      </w:r>
      <w:bookmarkEnd w:id="11"/>
    </w:p>
    <w:p>
      <w:pPr>
        <w:spacing w:before="312" w:beforeLines="100" w:line="400" w:lineRule="exact"/>
        <w:jc w:val="center"/>
        <w:outlineLvl w:val="2"/>
        <w:rPr>
          <w:rFonts w:ascii="宋体" w:hAnsi="宋体" w:cs="Arial"/>
          <w:b/>
          <w:bCs/>
          <w:color w:val="auto"/>
          <w:sz w:val="24"/>
          <w:highlight w:val="none"/>
        </w:rPr>
      </w:pPr>
      <w:bookmarkStart w:id="12" w:name="_Toc25719"/>
      <w:r>
        <w:rPr>
          <w:rFonts w:hint="eastAsia" w:ascii="宋体" w:hAnsi="宋体" w:cs="Arial"/>
          <w:b/>
          <w:bCs/>
          <w:color w:val="auto"/>
          <w:sz w:val="24"/>
          <w:highlight w:val="none"/>
        </w:rPr>
        <w:t>法定代表人资格证明书</w:t>
      </w:r>
      <w:bookmarkEnd w:id="12"/>
    </w:p>
    <w:p>
      <w:pPr>
        <w:spacing w:line="560" w:lineRule="exact"/>
        <w:jc w:val="center"/>
        <w:rPr>
          <w:rFonts w:ascii="宋体"/>
          <w:color w:val="auto"/>
          <w:sz w:val="24"/>
          <w:highlight w:val="none"/>
        </w:rPr>
      </w:pPr>
    </w:p>
    <w:p>
      <w:pPr>
        <w:snapToGrid w:val="0"/>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单位名称：</w:t>
      </w:r>
    </w:p>
    <w:p>
      <w:pPr>
        <w:snapToGrid w:val="0"/>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地    址：</w:t>
      </w:r>
    </w:p>
    <w:p>
      <w:pPr>
        <w:snapToGrid w:val="0"/>
        <w:spacing w:line="5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姓名：      性别：       年龄：       职务：</w:t>
      </w:r>
    </w:p>
    <w:p>
      <w:pPr>
        <w:snapToGrid w:val="0"/>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系的法定代表人。为项目，签署的投标文件、进行合同投标、签署合同和处理与之有关的一切事务。</w:t>
      </w:r>
    </w:p>
    <w:p>
      <w:pPr>
        <w:snapToGrid w:val="0"/>
        <w:spacing w:line="5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特此证明</w:t>
      </w:r>
    </w:p>
    <w:p>
      <w:pPr>
        <w:spacing w:line="560" w:lineRule="exact"/>
        <w:ind w:firstLine="3600" w:firstLineChars="1500"/>
        <w:jc w:val="left"/>
        <w:rPr>
          <w:rFonts w:ascii="仿宋" w:hAnsi="仿宋" w:eastAsia="仿宋" w:cs="仿宋"/>
          <w:color w:val="auto"/>
          <w:sz w:val="24"/>
          <w:highlight w:val="none"/>
        </w:rPr>
      </w:pPr>
    </w:p>
    <w:p>
      <w:pPr>
        <w:spacing w:line="560" w:lineRule="exact"/>
        <w:ind w:firstLine="3600" w:firstLineChars="1500"/>
        <w:jc w:val="left"/>
        <w:rPr>
          <w:rFonts w:ascii="仿宋" w:hAnsi="仿宋" w:eastAsia="仿宋" w:cs="仿宋"/>
          <w:color w:val="auto"/>
          <w:sz w:val="24"/>
          <w:highlight w:val="none"/>
        </w:rPr>
      </w:pPr>
    </w:p>
    <w:p>
      <w:pPr>
        <w:spacing w:line="560" w:lineRule="exact"/>
        <w:ind w:firstLine="3600" w:firstLineChars="150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b/>
          <w:color w:val="auto"/>
          <w:sz w:val="24"/>
          <w:highlight w:val="none"/>
        </w:rPr>
        <w:t>签名</w:t>
      </w:r>
      <w:r>
        <w:rPr>
          <w:rFonts w:hint="eastAsia" w:ascii="仿宋" w:hAnsi="仿宋" w:eastAsia="仿宋" w:cs="仿宋"/>
          <w:color w:val="auto"/>
          <w:sz w:val="24"/>
          <w:highlight w:val="none"/>
        </w:rPr>
        <w:t>）：</w:t>
      </w:r>
    </w:p>
    <w:p>
      <w:pPr>
        <w:spacing w:line="560" w:lineRule="exact"/>
        <w:ind w:firstLine="3600" w:firstLineChars="15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投标单位（</w:t>
      </w:r>
      <w:r>
        <w:rPr>
          <w:rFonts w:hint="eastAsia" w:ascii="仿宋" w:hAnsi="仿宋" w:eastAsia="仿宋" w:cs="仿宋"/>
          <w:b/>
          <w:color w:val="auto"/>
          <w:sz w:val="24"/>
          <w:highlight w:val="none"/>
        </w:rPr>
        <w:t>盖公章</w:t>
      </w:r>
      <w:r>
        <w:rPr>
          <w:rFonts w:hint="eastAsia" w:ascii="仿宋" w:hAnsi="仿宋" w:eastAsia="仿宋" w:cs="仿宋"/>
          <w:color w:val="auto"/>
          <w:sz w:val="24"/>
          <w:highlight w:val="none"/>
        </w:rPr>
        <w:t>）：</w:t>
      </w:r>
    </w:p>
    <w:p>
      <w:pPr>
        <w:spacing w:line="560" w:lineRule="exact"/>
        <w:jc w:val="left"/>
        <w:rPr>
          <w:rFonts w:ascii="仿宋" w:hAnsi="仿宋" w:eastAsia="仿宋" w:cs="仿宋"/>
          <w:color w:val="auto"/>
          <w:sz w:val="24"/>
          <w:highlight w:val="none"/>
        </w:rPr>
      </w:pPr>
    </w:p>
    <w:p>
      <w:pPr>
        <w:spacing w:line="56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napToGrid w:val="0"/>
        <w:spacing w:line="560" w:lineRule="exact"/>
        <w:ind w:firstLine="4080" w:firstLineChars="1700"/>
        <w:rPr>
          <w:rFonts w:ascii="仿宋" w:hAnsi="仿宋" w:eastAsia="仿宋" w:cs="仿宋"/>
          <w:bCs/>
          <w:color w:val="auto"/>
          <w:sz w:val="24"/>
          <w:highlight w:val="none"/>
        </w:rPr>
      </w:pPr>
    </w:p>
    <w:p>
      <w:pPr>
        <w:snapToGrid w:val="0"/>
        <w:spacing w:line="560" w:lineRule="exact"/>
        <w:ind w:left="735" w:hanging="735" w:hangingChars="350"/>
        <w:rPr>
          <w:rFonts w:ascii="仿宋" w:hAnsi="仿宋" w:eastAsia="仿宋" w:cs="仿宋"/>
          <w:bCs/>
          <w:color w:val="auto"/>
          <w:szCs w:val="21"/>
          <w:highlight w:val="none"/>
        </w:rPr>
      </w:pPr>
    </w:p>
    <w:p>
      <w:pPr>
        <w:snapToGrid w:val="0"/>
        <w:spacing w:line="560" w:lineRule="exact"/>
        <w:ind w:left="735" w:hanging="735" w:hangingChars="350"/>
        <w:rPr>
          <w:rFonts w:ascii="仿宋" w:hAnsi="仿宋" w:eastAsia="仿宋" w:cs="仿宋"/>
          <w:bCs/>
          <w:color w:val="auto"/>
          <w:szCs w:val="21"/>
          <w:highlight w:val="none"/>
        </w:rPr>
      </w:pPr>
    </w:p>
    <w:p>
      <w:pPr>
        <w:snapToGrid w:val="0"/>
        <w:spacing w:line="56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说明：</w:t>
      </w:r>
    </w:p>
    <w:p>
      <w:pPr>
        <w:snapToGrid w:val="0"/>
        <w:spacing w:line="5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 本证明书要求投标人提供</w:t>
      </w:r>
      <w:r>
        <w:rPr>
          <w:rFonts w:hint="eastAsia" w:ascii="仿宋" w:hAnsi="仿宋" w:eastAsia="仿宋" w:cs="仿宋"/>
          <w:b/>
          <w:bCs/>
          <w:color w:val="auto"/>
          <w:szCs w:val="21"/>
          <w:highlight w:val="none"/>
        </w:rPr>
        <w:t>加盖公章</w:t>
      </w:r>
      <w:r>
        <w:rPr>
          <w:rFonts w:hint="eastAsia" w:ascii="仿宋" w:hAnsi="仿宋" w:eastAsia="仿宋" w:cs="仿宋"/>
          <w:bCs/>
          <w:color w:val="auto"/>
          <w:szCs w:val="21"/>
          <w:highlight w:val="none"/>
        </w:rPr>
        <w:t>后的原件方为有效；</w:t>
      </w:r>
    </w:p>
    <w:p>
      <w:pPr>
        <w:snapToGrid w:val="0"/>
        <w:spacing w:line="560" w:lineRule="exact"/>
        <w:ind w:firstLine="420" w:firstLineChars="200"/>
        <w:rPr>
          <w:rFonts w:ascii="仿宋" w:hAnsi="仿宋" w:eastAsia="仿宋" w:cs="仿宋"/>
          <w:color w:val="auto"/>
          <w:highlight w:val="none"/>
        </w:rPr>
      </w:pPr>
      <w:r>
        <w:rPr>
          <w:rFonts w:hint="eastAsia" w:ascii="仿宋" w:hAnsi="仿宋" w:eastAsia="仿宋" w:cs="仿宋"/>
          <w:bCs/>
          <w:color w:val="auto"/>
          <w:szCs w:val="21"/>
          <w:highlight w:val="none"/>
        </w:rPr>
        <w:t>2. 须提供法定代表人的身份证复印件（附后）。</w:t>
      </w:r>
    </w:p>
    <w:p>
      <w:pPr>
        <w:snapToGrid w:val="0"/>
        <w:spacing w:line="560" w:lineRule="exact"/>
        <w:ind w:firstLine="420" w:firstLineChars="200"/>
        <w:rPr>
          <w:rFonts w:hint="eastAsia" w:ascii="仿宋" w:hAnsi="仿宋" w:eastAsia="仿宋" w:cs="仿宋"/>
          <w:bCs/>
          <w:color w:val="auto"/>
          <w:szCs w:val="21"/>
          <w:highlight w:val="none"/>
        </w:rPr>
      </w:pPr>
    </w:p>
    <w:p>
      <w:pPr>
        <w:snapToGrid w:val="0"/>
        <w:spacing w:line="560" w:lineRule="exact"/>
        <w:ind w:firstLine="420" w:firstLineChars="200"/>
        <w:rPr>
          <w:rFonts w:hint="eastAsia" w:ascii="仿宋" w:hAnsi="仿宋" w:eastAsia="仿宋" w:cs="仿宋"/>
          <w:bCs/>
          <w:color w:val="auto"/>
          <w:szCs w:val="21"/>
          <w:highlight w:val="none"/>
        </w:rPr>
      </w:pPr>
    </w:p>
    <w:p>
      <w:pPr>
        <w:snapToGrid w:val="0"/>
        <w:spacing w:line="560" w:lineRule="exact"/>
        <w:ind w:firstLine="420" w:firstLineChars="200"/>
        <w:rPr>
          <w:rFonts w:hint="eastAsia" w:ascii="仿宋" w:hAnsi="仿宋" w:eastAsia="仿宋" w:cs="仿宋"/>
          <w:bCs/>
          <w:color w:val="auto"/>
          <w:szCs w:val="21"/>
          <w:highlight w:val="none"/>
        </w:rPr>
      </w:pPr>
    </w:p>
    <w:p>
      <w:pPr>
        <w:snapToGrid w:val="0"/>
        <w:spacing w:line="560" w:lineRule="exact"/>
        <w:ind w:firstLine="420" w:firstLineChars="200"/>
        <w:rPr>
          <w:rFonts w:hint="eastAsia" w:ascii="仿宋" w:hAnsi="仿宋" w:eastAsia="仿宋" w:cs="仿宋"/>
          <w:bCs/>
          <w:color w:val="auto"/>
          <w:szCs w:val="21"/>
          <w:highlight w:val="none"/>
        </w:rPr>
      </w:pPr>
    </w:p>
    <w:p>
      <w:pPr>
        <w:widowControl/>
        <w:snapToGrid/>
        <w:spacing w:line="240" w:lineRule="auto"/>
        <w:ind w:firstLine="0" w:firstLineChars="0"/>
        <w:jc w:val="left"/>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3.法人授权委托证明书原件及身份证复印件（加盖投标人公章）；</w:t>
      </w:r>
    </w:p>
    <w:p>
      <w:pPr>
        <w:rPr>
          <w:rFonts w:ascii="宋体" w:hAnsi="宋体" w:cs="宋体"/>
          <w:b/>
          <w:bCs/>
          <w:color w:val="auto"/>
          <w:sz w:val="24"/>
          <w:szCs w:val="28"/>
          <w:highlight w:val="none"/>
        </w:rPr>
      </w:pPr>
      <w:bookmarkStart w:id="13" w:name="_Toc10042"/>
    </w:p>
    <w:p>
      <w:pPr>
        <w:spacing w:before="312" w:beforeLines="100" w:after="312" w:afterLines="100" w:line="400" w:lineRule="exact"/>
        <w:jc w:val="center"/>
        <w:outlineLvl w:val="2"/>
        <w:rPr>
          <w:rFonts w:ascii="宋体" w:hAnsi="宋体" w:cs="Arial"/>
          <w:b/>
          <w:color w:val="auto"/>
          <w:sz w:val="24"/>
          <w:highlight w:val="none"/>
        </w:rPr>
      </w:pPr>
      <w:r>
        <w:rPr>
          <w:rFonts w:hint="eastAsia" w:ascii="宋体" w:hAnsi="宋体" w:cs="宋体"/>
          <w:b/>
          <w:bCs/>
          <w:color w:val="auto"/>
          <w:sz w:val="24"/>
          <w:szCs w:val="28"/>
          <w:highlight w:val="none"/>
        </w:rPr>
        <w:t>法定代表人授权书</w:t>
      </w:r>
      <w:bookmarkEnd w:id="13"/>
    </w:p>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致（采购单位）：</w:t>
      </w:r>
    </w:p>
    <w:p>
      <w:pPr>
        <w:spacing w:line="400" w:lineRule="exact"/>
        <w:rPr>
          <w:rFonts w:ascii="仿宋" w:hAnsi="仿宋" w:eastAsia="仿宋" w:cs="仿宋"/>
          <w:bCs/>
          <w:color w:val="auto"/>
          <w:sz w:val="24"/>
          <w:highlight w:val="none"/>
        </w:rPr>
      </w:pPr>
    </w:p>
    <w:p>
      <w:pPr>
        <w:spacing w:line="40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（投标人全称）      法定代表人  （姓名、职务）              授权   （被授权代表姓名、职务）              为本公司合法代理人，参加贵招标代理公司组织的(项目名称)（项目编号）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本授权书于  年   月  日签字生效,特此声明。</w:t>
      </w:r>
    </w:p>
    <w:p>
      <w:pPr>
        <w:spacing w:line="400" w:lineRule="exact"/>
        <w:ind w:firstLine="120" w:firstLineChars="50"/>
        <w:rPr>
          <w:rFonts w:ascii="仿宋" w:hAnsi="仿宋" w:eastAsia="仿宋" w:cs="仿宋"/>
          <w:bCs/>
          <w:color w:val="auto"/>
          <w:sz w:val="24"/>
          <w:highlight w:val="none"/>
        </w:rPr>
      </w:pPr>
    </w:p>
    <w:p>
      <w:pPr>
        <w:spacing w:line="400" w:lineRule="exact"/>
        <w:ind w:firstLine="120" w:firstLineChars="50"/>
        <w:rPr>
          <w:rFonts w:ascii="仿宋" w:hAnsi="仿宋" w:eastAsia="仿宋" w:cs="仿宋"/>
          <w:bCs/>
          <w:color w:val="auto"/>
          <w:sz w:val="24"/>
          <w:highlight w:val="none"/>
        </w:rPr>
      </w:pPr>
    </w:p>
    <w:p>
      <w:pPr>
        <w:spacing w:line="400" w:lineRule="exact"/>
        <w:ind w:firstLine="120" w:firstLineChars="50"/>
        <w:rPr>
          <w:rFonts w:ascii="仿宋" w:hAnsi="仿宋" w:eastAsia="仿宋" w:cs="仿宋"/>
          <w:bCs/>
          <w:color w:val="auto"/>
          <w:sz w:val="24"/>
          <w:highlight w:val="none"/>
        </w:rPr>
      </w:pP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被授权人：                 职务：</w:t>
      </w: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联系电话：                 手机：</w:t>
      </w: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身份证号码：</w:t>
      </w: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投标单位（盖公章）：</w:t>
      </w: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法定代表人（签名）：</w:t>
      </w:r>
    </w:p>
    <w:p>
      <w:pPr>
        <w:spacing w:line="400" w:lineRule="exact"/>
        <w:ind w:firstLine="120" w:firstLineChars="50"/>
        <w:rPr>
          <w:rFonts w:ascii="仿宋" w:hAnsi="仿宋" w:eastAsia="仿宋" w:cs="仿宋"/>
          <w:bCs/>
          <w:color w:val="auto"/>
          <w:sz w:val="24"/>
          <w:highlight w:val="none"/>
        </w:rPr>
      </w:pPr>
      <w:r>
        <w:rPr>
          <w:rFonts w:hint="eastAsia" w:ascii="仿宋" w:hAnsi="仿宋" w:eastAsia="仿宋" w:cs="仿宋"/>
          <w:bCs/>
          <w:color w:val="auto"/>
          <w:sz w:val="24"/>
          <w:highlight w:val="none"/>
        </w:rPr>
        <w:t>被授权人（签名）：</w:t>
      </w: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 w:val="24"/>
          <w:highlight w:val="none"/>
        </w:rPr>
      </w:pPr>
    </w:p>
    <w:p>
      <w:pPr>
        <w:spacing w:line="40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说明：</w:t>
      </w:r>
    </w:p>
    <w:p>
      <w:pPr>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1.本授权委托书要求投标人提供有</w:t>
      </w:r>
      <w:r>
        <w:rPr>
          <w:rFonts w:hint="eastAsia" w:ascii="仿宋" w:hAnsi="仿宋" w:eastAsia="仿宋" w:cs="仿宋"/>
          <w:b/>
          <w:bCs/>
          <w:color w:val="auto"/>
          <w:szCs w:val="21"/>
          <w:highlight w:val="none"/>
        </w:rPr>
        <w:t>被授权人签字、法定代表人的签字（或盖私章）和加盖公章</w:t>
      </w:r>
      <w:r>
        <w:rPr>
          <w:rFonts w:hint="eastAsia" w:ascii="仿宋" w:hAnsi="仿宋" w:eastAsia="仿宋" w:cs="仿宋"/>
          <w:bCs/>
          <w:color w:val="auto"/>
          <w:szCs w:val="21"/>
          <w:highlight w:val="none"/>
        </w:rPr>
        <w:t>后的原件方为有效；</w:t>
      </w:r>
    </w:p>
    <w:p>
      <w:pPr>
        <w:spacing w:line="40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2.提供被授权人的身份证复印件（附后）。</w:t>
      </w:r>
    </w:p>
    <w:p>
      <w:pPr>
        <w:widowControl/>
        <w:spacing w:line="400" w:lineRule="exact"/>
        <w:jc w:val="center"/>
        <w:outlineLvl w:val="1"/>
        <w:rPr>
          <w:b/>
          <w:bCs/>
          <w:color w:val="auto"/>
          <w:sz w:val="30"/>
          <w:highlight w:val="none"/>
        </w:rPr>
      </w:pPr>
      <w:r>
        <w:rPr>
          <w:b/>
          <w:bCs/>
          <w:color w:val="auto"/>
          <w:sz w:val="30"/>
          <w:highlight w:val="none"/>
        </w:rPr>
        <w:br w:type="page"/>
      </w:r>
      <w:bookmarkStart w:id="14" w:name="_Toc51746104"/>
      <w:bookmarkStart w:id="15" w:name="_Toc3633"/>
      <w:r>
        <w:rPr>
          <w:rFonts w:hint="eastAsia" w:ascii="黑体" w:hAnsi="黑体" w:eastAsia="黑体" w:cs="黑体"/>
          <w:color w:val="auto"/>
          <w:sz w:val="30"/>
          <w:highlight w:val="none"/>
        </w:rPr>
        <w:t>三、投标响应书</w:t>
      </w:r>
      <w:bookmarkEnd w:id="14"/>
      <w:bookmarkEnd w:id="15"/>
    </w:p>
    <w:p>
      <w:pPr>
        <w:rPr>
          <w:color w:val="auto"/>
          <w:highlight w:val="none"/>
        </w:rPr>
      </w:pPr>
    </w:p>
    <w:p>
      <w:pPr>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致：</w:t>
      </w:r>
    </w:p>
    <w:p>
      <w:pPr>
        <w:spacing w:line="400" w:lineRule="exact"/>
        <w:ind w:firstLine="494" w:firstLineChars="206"/>
        <w:rPr>
          <w:rFonts w:ascii="仿宋" w:hAnsi="仿宋" w:eastAsia="仿宋" w:cs="仿宋"/>
          <w:color w:val="auto"/>
          <w:sz w:val="24"/>
          <w:highlight w:val="none"/>
        </w:rPr>
      </w:pPr>
      <w:r>
        <w:rPr>
          <w:rFonts w:hint="eastAsia" w:ascii="仿宋" w:hAnsi="仿宋" w:eastAsia="仿宋" w:cs="仿宋"/>
          <w:color w:val="auto"/>
          <w:sz w:val="24"/>
          <w:highlight w:val="none"/>
        </w:rPr>
        <w:t>根据贵方为项目采购的邀请（招标文件编号），签字代表（全名、职务）经正式授权并代表供应商（供应商方名称、地址）提交五份投标文件。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据此函，签字代表宣布同意如下：</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1.供应商将按招标文件的规定履行合同责任和义务。</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2.供应商已详细审查全部投标文件，包括修改文件（如有的话）以及全部参考资料和有关附件。我们完全理解并同意放弃对这方面有不明及误解的权利。</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3.与本投标项目有关的一切正式往来通讯请寄。</w:t>
      </w:r>
    </w:p>
    <w:p>
      <w:pPr>
        <w:spacing w:line="400" w:lineRule="exact"/>
        <w:ind w:firstLine="432"/>
        <w:rPr>
          <w:rFonts w:ascii="仿宋" w:hAnsi="仿宋" w:eastAsia="仿宋" w:cs="仿宋"/>
          <w:color w:val="auto"/>
          <w:highlight w:val="none"/>
        </w:rPr>
      </w:pPr>
    </w:p>
    <w:p>
      <w:pPr>
        <w:spacing w:line="400" w:lineRule="exact"/>
        <w:ind w:firstLine="432"/>
        <w:rPr>
          <w:rFonts w:ascii="仿宋" w:hAnsi="仿宋" w:eastAsia="仿宋" w:cs="仿宋"/>
          <w:color w:val="auto"/>
          <w:highlight w:val="none"/>
        </w:rPr>
      </w:pPr>
    </w:p>
    <w:p>
      <w:pPr>
        <w:spacing w:line="400" w:lineRule="exact"/>
        <w:ind w:firstLine="432"/>
        <w:rPr>
          <w:rFonts w:ascii="仿宋" w:hAnsi="仿宋" w:eastAsia="仿宋" w:cs="仿宋"/>
          <w:color w:val="auto"/>
          <w:highlight w:val="none"/>
        </w:rPr>
      </w:pPr>
    </w:p>
    <w:p>
      <w:pPr>
        <w:spacing w:line="400" w:lineRule="exact"/>
        <w:ind w:firstLine="432"/>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400" w:lineRule="exact"/>
        <w:ind w:firstLine="432"/>
        <w:rPr>
          <w:rFonts w:ascii="仿宋" w:hAnsi="仿宋" w:eastAsia="仿宋" w:cs="仿宋"/>
          <w:color w:val="auto"/>
          <w:sz w:val="24"/>
          <w:highlight w:val="none"/>
          <w:u w:val="single"/>
        </w:rPr>
      </w:pPr>
    </w:p>
    <w:p>
      <w:pPr>
        <w:spacing w:line="400" w:lineRule="exact"/>
        <w:ind w:firstLine="432"/>
        <w:rPr>
          <w:rFonts w:ascii="仿宋" w:hAnsi="仿宋" w:eastAsia="仿宋" w:cs="仿宋"/>
          <w:color w:val="auto"/>
          <w:sz w:val="24"/>
          <w:highlight w:val="none"/>
          <w:u w:val="single"/>
        </w:rPr>
      </w:pPr>
      <w:r>
        <w:rPr>
          <w:rFonts w:hint="eastAsia" w:ascii="仿宋" w:hAnsi="仿宋" w:eastAsia="仿宋" w:cs="仿宋"/>
          <w:color w:val="auto"/>
          <w:sz w:val="24"/>
          <w:highlight w:val="none"/>
        </w:rPr>
        <w:t>电话：传真：</w:t>
      </w:r>
    </w:p>
    <w:p>
      <w:pPr>
        <w:spacing w:line="400" w:lineRule="exact"/>
        <w:ind w:firstLine="432"/>
        <w:rPr>
          <w:rFonts w:ascii="仿宋" w:hAnsi="仿宋" w:eastAsia="仿宋" w:cs="仿宋"/>
          <w:color w:val="auto"/>
          <w:sz w:val="24"/>
          <w:highlight w:val="none"/>
          <w:u w:val="single"/>
        </w:rPr>
      </w:pPr>
    </w:p>
    <w:p>
      <w:pPr>
        <w:spacing w:line="400" w:lineRule="exact"/>
        <w:ind w:firstLine="432"/>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供应商代表姓名、职务（印刷体）：</w:t>
      </w:r>
    </w:p>
    <w:p>
      <w:pPr>
        <w:spacing w:line="400" w:lineRule="exact"/>
        <w:ind w:firstLine="432"/>
        <w:rPr>
          <w:rFonts w:ascii="仿宋" w:hAnsi="仿宋" w:eastAsia="仿宋" w:cs="仿宋"/>
          <w:color w:val="auto"/>
          <w:sz w:val="24"/>
          <w:highlight w:val="none"/>
        </w:rPr>
      </w:pPr>
    </w:p>
    <w:p>
      <w:pPr>
        <w:spacing w:line="400" w:lineRule="exact"/>
        <w:ind w:firstLine="432"/>
        <w:rPr>
          <w:rFonts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p>
    <w:p>
      <w:pPr>
        <w:spacing w:line="400" w:lineRule="exact"/>
        <w:ind w:firstLine="432"/>
        <w:rPr>
          <w:rFonts w:ascii="仿宋" w:hAnsi="仿宋" w:eastAsia="仿宋" w:cs="仿宋"/>
          <w:color w:val="auto"/>
          <w:sz w:val="24"/>
          <w:highlight w:val="none"/>
          <w:u w:val="single"/>
        </w:rPr>
      </w:pPr>
    </w:p>
    <w:p>
      <w:pPr>
        <w:spacing w:line="400" w:lineRule="exact"/>
        <w:ind w:firstLine="432"/>
        <w:rPr>
          <w:rFonts w:ascii="仿宋" w:hAnsi="仿宋" w:eastAsia="仿宋" w:cs="仿宋"/>
          <w:color w:val="auto"/>
          <w:sz w:val="24"/>
          <w:highlight w:val="none"/>
          <w:u w:val="single"/>
        </w:rPr>
      </w:pPr>
      <w:r>
        <w:rPr>
          <w:rFonts w:hint="eastAsia" w:ascii="仿宋" w:hAnsi="仿宋" w:eastAsia="仿宋" w:cs="仿宋"/>
          <w:color w:val="auto"/>
          <w:sz w:val="24"/>
          <w:highlight w:val="none"/>
        </w:rPr>
        <w:t>（公章）：</w:t>
      </w:r>
    </w:p>
    <w:p>
      <w:pPr>
        <w:spacing w:line="400" w:lineRule="exact"/>
        <w:ind w:firstLine="432"/>
        <w:rPr>
          <w:rFonts w:ascii="仿宋" w:hAnsi="仿宋" w:eastAsia="仿宋" w:cs="仿宋"/>
          <w:color w:val="auto"/>
          <w:sz w:val="24"/>
          <w:highlight w:val="none"/>
          <w:u w:val="single"/>
        </w:rPr>
      </w:pPr>
    </w:p>
    <w:p>
      <w:pPr>
        <w:spacing w:line="400" w:lineRule="exact"/>
        <w:ind w:firstLine="432"/>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00" w:lineRule="exact"/>
        <w:ind w:firstLine="432"/>
        <w:rPr>
          <w:rFonts w:ascii="仿宋" w:hAnsi="仿宋" w:eastAsia="仿宋" w:cs="仿宋"/>
          <w:color w:val="auto"/>
          <w:sz w:val="24"/>
          <w:highlight w:val="none"/>
        </w:rPr>
      </w:pPr>
    </w:p>
    <w:p>
      <w:pPr>
        <w:spacing w:line="400" w:lineRule="exact"/>
        <w:rPr>
          <w:rFonts w:ascii="仿宋" w:hAnsi="仿宋" w:eastAsia="仿宋" w:cs="仿宋"/>
          <w:color w:val="auto"/>
          <w:sz w:val="24"/>
          <w:highlight w:val="none"/>
        </w:rPr>
      </w:pPr>
    </w:p>
    <w:p>
      <w:pPr>
        <w:spacing w:line="400" w:lineRule="exact"/>
        <w:ind w:firstLine="432"/>
        <w:rPr>
          <w:rFonts w:ascii="仿宋" w:hAnsi="仿宋" w:eastAsia="仿宋" w:cs="仿宋"/>
          <w:color w:val="auto"/>
          <w:sz w:val="24"/>
          <w:highlight w:val="none"/>
        </w:rPr>
      </w:pPr>
    </w:p>
    <w:p>
      <w:pPr>
        <w:spacing w:line="400" w:lineRule="exact"/>
        <w:ind w:firstLine="432"/>
        <w:rPr>
          <w:rFonts w:ascii="仿宋" w:hAnsi="仿宋" w:eastAsia="仿宋" w:cs="仿宋"/>
          <w:color w:val="auto"/>
          <w:sz w:val="24"/>
          <w:highlight w:val="none"/>
        </w:rPr>
      </w:pPr>
    </w:p>
    <w:p>
      <w:pPr>
        <w:spacing w:line="400" w:lineRule="exact"/>
        <w:ind w:firstLine="4560" w:firstLineChars="1900"/>
        <w:rPr>
          <w:rFonts w:ascii="仿宋" w:hAnsi="仿宋" w:eastAsia="仿宋" w:cs="仿宋"/>
          <w:b/>
          <w:bCs/>
          <w:color w:val="auto"/>
          <w:sz w:val="24"/>
          <w:highlight w:val="none"/>
        </w:rPr>
      </w:pPr>
      <w:r>
        <w:rPr>
          <w:rFonts w:hint="eastAsia" w:ascii="仿宋" w:hAnsi="仿宋" w:eastAsia="仿宋" w:cs="仿宋"/>
          <w:color w:val="auto"/>
          <w:sz w:val="24"/>
          <w:highlight w:val="none"/>
        </w:rPr>
        <w:t>全权代表签字：</w:t>
      </w: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rFonts w:ascii="仿宋" w:hAnsi="仿宋" w:eastAsia="仿宋"/>
          <w:b/>
          <w:bCs/>
          <w:color w:val="auto"/>
          <w:sz w:val="32"/>
          <w:highlight w:val="none"/>
        </w:rPr>
      </w:pPr>
      <w:r>
        <w:rPr>
          <w:rFonts w:ascii="仿宋" w:hAnsi="仿宋" w:eastAsia="仿宋"/>
          <w:b/>
          <w:bCs/>
          <w:color w:val="auto"/>
          <w:sz w:val="32"/>
          <w:highlight w:val="none"/>
        </w:rPr>
        <w:br w:type="page"/>
      </w:r>
    </w:p>
    <w:p>
      <w:pPr>
        <w:pStyle w:val="4"/>
        <w:jc w:val="center"/>
        <w:rPr>
          <w:color w:val="auto"/>
          <w:highlight w:val="none"/>
        </w:rPr>
      </w:pPr>
      <w:r>
        <w:rPr>
          <w:rFonts w:hint="eastAsia"/>
          <w:color w:val="auto"/>
          <w:highlight w:val="none"/>
        </w:rPr>
        <w:t>1.投标响应书</w:t>
      </w:r>
    </w:p>
    <w:p>
      <w:pPr>
        <w:rPr>
          <w:rFonts w:ascii="仿宋" w:hAnsi="仿宋" w:eastAsia="仿宋"/>
          <w:color w:val="auto"/>
          <w:highlight w:val="none"/>
        </w:rPr>
      </w:pPr>
    </w:p>
    <w:p>
      <w:pPr>
        <w:rPr>
          <w:rFonts w:ascii="仿宋" w:hAnsi="仿宋" w:eastAsia="仿宋"/>
          <w:color w:val="auto"/>
          <w:sz w:val="24"/>
          <w:highlight w:val="none"/>
          <w:u w:val="single"/>
        </w:rPr>
      </w:pPr>
      <w:r>
        <w:rPr>
          <w:rFonts w:hint="eastAsia" w:ascii="仿宋" w:hAnsi="仿宋" w:eastAsia="仿宋"/>
          <w:color w:val="auto"/>
          <w:sz w:val="24"/>
          <w:highlight w:val="none"/>
        </w:rPr>
        <w:t>致：</w:t>
      </w:r>
    </w:p>
    <w:p>
      <w:pPr>
        <w:ind w:firstLine="494" w:firstLineChars="206"/>
        <w:rPr>
          <w:rFonts w:ascii="仿宋" w:hAnsi="仿宋" w:eastAsia="仿宋"/>
          <w:color w:val="auto"/>
          <w:sz w:val="24"/>
          <w:highlight w:val="none"/>
        </w:rPr>
      </w:pPr>
      <w:r>
        <w:rPr>
          <w:rFonts w:hint="eastAsia" w:ascii="仿宋" w:hAnsi="仿宋" w:eastAsia="仿宋"/>
          <w:color w:val="auto"/>
          <w:sz w:val="24"/>
          <w:highlight w:val="none"/>
        </w:rPr>
        <w:t>根据贵方为项目采购的邀请_____________（招标文件编号         ），签字代表（全名、职务）经正式授权并代表供应商（供应商方名称、地址）提交一正五副完备的投标文件。</w:t>
      </w:r>
    </w:p>
    <w:p>
      <w:pPr>
        <w:rPr>
          <w:rFonts w:ascii="仿宋" w:hAnsi="仿宋" w:eastAsia="仿宋"/>
          <w:color w:val="auto"/>
          <w:sz w:val="24"/>
          <w:highlight w:val="none"/>
        </w:rPr>
      </w:pPr>
      <w:r>
        <w:rPr>
          <w:rFonts w:hint="eastAsia" w:ascii="仿宋" w:hAnsi="仿宋" w:eastAsia="仿宋"/>
          <w:color w:val="auto"/>
          <w:sz w:val="24"/>
          <w:highlight w:val="none"/>
        </w:rPr>
        <w:t xml:space="preserve">  据此函，签字代表宣布同意如下：</w:t>
      </w:r>
    </w:p>
    <w:p>
      <w:pPr>
        <w:rPr>
          <w:rFonts w:ascii="仿宋" w:hAnsi="仿宋" w:eastAsia="仿宋"/>
          <w:color w:val="auto"/>
          <w:sz w:val="24"/>
          <w:highlight w:val="none"/>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rPr>
        <w:t>供应商方将按招标文件的规定履行合同责任和义务。</w:t>
      </w:r>
    </w:p>
    <w:p>
      <w:pPr>
        <w:rPr>
          <w:rFonts w:ascii="仿宋" w:hAnsi="仿宋" w:eastAsia="仿宋"/>
          <w:color w:val="auto"/>
          <w:sz w:val="24"/>
          <w:highlight w:val="none"/>
        </w:rPr>
      </w:pPr>
      <w:r>
        <w:rPr>
          <w:rFonts w:hint="eastAsia" w:ascii="仿宋" w:hAnsi="仿宋" w:eastAsia="仿宋"/>
          <w:color w:val="auto"/>
          <w:sz w:val="24"/>
          <w:highlight w:val="none"/>
          <w:lang w:eastAsia="zh-CN"/>
        </w:rPr>
        <w:t>2.</w:t>
      </w:r>
      <w:r>
        <w:rPr>
          <w:rFonts w:hint="eastAsia" w:ascii="仿宋" w:hAnsi="仿宋" w:eastAsia="仿宋"/>
          <w:color w:val="auto"/>
          <w:sz w:val="24"/>
          <w:highlight w:val="none"/>
        </w:rPr>
        <w:t>供应商方已详细审查全部投标文件，包括修改文件（如有的话）以及全部参考资料和有关附件。我们完全理解并同意放弃对这方面有不明及误解的权利。</w:t>
      </w:r>
    </w:p>
    <w:p>
      <w:pPr>
        <w:rPr>
          <w:rFonts w:ascii="仿宋" w:hAnsi="仿宋" w:eastAsia="仿宋"/>
          <w:color w:val="auto"/>
          <w:sz w:val="24"/>
          <w:highlight w:val="none"/>
        </w:rPr>
      </w:pPr>
      <w:r>
        <w:rPr>
          <w:rFonts w:hint="eastAsia" w:ascii="仿宋" w:hAnsi="仿宋" w:eastAsia="仿宋"/>
          <w:color w:val="auto"/>
          <w:sz w:val="24"/>
          <w:highlight w:val="none"/>
          <w:lang w:eastAsia="zh-CN"/>
        </w:rPr>
        <w:t>3.</w:t>
      </w:r>
      <w:r>
        <w:rPr>
          <w:rFonts w:hint="eastAsia" w:ascii="仿宋" w:hAnsi="仿宋" w:eastAsia="仿宋"/>
          <w:color w:val="auto"/>
          <w:sz w:val="24"/>
          <w:highlight w:val="none"/>
        </w:rPr>
        <w:t>与本投标项目有关的一切正式往来通讯请寄：</w:t>
      </w:r>
    </w:p>
    <w:p>
      <w:pPr>
        <w:ind w:firstLine="432"/>
        <w:rPr>
          <w:rFonts w:ascii="仿宋" w:hAnsi="仿宋" w:eastAsia="仿宋"/>
          <w:color w:val="auto"/>
          <w:sz w:val="24"/>
          <w:highlight w:val="none"/>
          <w:u w:val="single"/>
        </w:rPr>
      </w:pPr>
      <w:r>
        <w:rPr>
          <w:rFonts w:hint="eastAsia" w:ascii="仿宋" w:hAnsi="仿宋" w:eastAsia="仿宋"/>
          <w:color w:val="auto"/>
          <w:sz w:val="24"/>
          <w:highlight w:val="none"/>
        </w:rPr>
        <w:t xml:space="preserve">     地址：     邮编：</w:t>
      </w:r>
    </w:p>
    <w:p>
      <w:pPr>
        <w:ind w:firstLine="432"/>
        <w:rPr>
          <w:rFonts w:ascii="仿宋" w:hAnsi="仿宋" w:eastAsia="仿宋"/>
          <w:color w:val="auto"/>
          <w:sz w:val="24"/>
          <w:highlight w:val="none"/>
          <w:u w:val="single"/>
        </w:rPr>
      </w:pPr>
    </w:p>
    <w:p>
      <w:pPr>
        <w:ind w:firstLine="432"/>
        <w:rPr>
          <w:rFonts w:ascii="仿宋" w:hAnsi="仿宋" w:eastAsia="仿宋"/>
          <w:color w:val="auto"/>
          <w:sz w:val="24"/>
          <w:highlight w:val="none"/>
          <w:u w:val="single"/>
        </w:rPr>
      </w:pPr>
      <w:r>
        <w:rPr>
          <w:rFonts w:hint="eastAsia" w:ascii="仿宋" w:hAnsi="仿宋" w:eastAsia="仿宋"/>
          <w:color w:val="auto"/>
          <w:sz w:val="24"/>
          <w:highlight w:val="none"/>
        </w:rPr>
        <w:t xml:space="preserve">     电话：     传真：</w:t>
      </w:r>
    </w:p>
    <w:p>
      <w:pPr>
        <w:ind w:firstLine="432"/>
        <w:rPr>
          <w:rFonts w:ascii="仿宋" w:hAnsi="仿宋" w:eastAsia="仿宋"/>
          <w:color w:val="auto"/>
          <w:sz w:val="24"/>
          <w:highlight w:val="none"/>
          <w:u w:val="single"/>
        </w:rPr>
      </w:pPr>
    </w:p>
    <w:p>
      <w:pPr>
        <w:ind w:firstLine="432"/>
        <w:rPr>
          <w:rFonts w:ascii="仿宋" w:hAnsi="仿宋" w:eastAsia="仿宋"/>
          <w:color w:val="auto"/>
          <w:sz w:val="24"/>
          <w:highlight w:val="none"/>
          <w:u w:val="single"/>
        </w:rPr>
      </w:pPr>
      <w:r>
        <w:rPr>
          <w:rFonts w:hint="eastAsia" w:ascii="仿宋" w:hAnsi="仿宋" w:eastAsia="仿宋"/>
          <w:color w:val="auto"/>
          <w:sz w:val="24"/>
          <w:highlight w:val="none"/>
        </w:rPr>
        <w:t>投标供应商授权代表、职务（印刷体）：</w:t>
      </w:r>
    </w:p>
    <w:p>
      <w:pPr>
        <w:ind w:firstLine="432"/>
        <w:rPr>
          <w:rFonts w:ascii="仿宋" w:hAnsi="仿宋" w:eastAsia="仿宋"/>
          <w:color w:val="auto"/>
          <w:sz w:val="24"/>
          <w:highlight w:val="none"/>
        </w:rPr>
      </w:pPr>
    </w:p>
    <w:p>
      <w:pPr>
        <w:ind w:firstLine="432"/>
        <w:rPr>
          <w:rFonts w:ascii="仿宋" w:hAnsi="仿宋" w:eastAsia="仿宋"/>
          <w:color w:val="auto"/>
          <w:sz w:val="24"/>
          <w:highlight w:val="none"/>
          <w:u w:val="single"/>
        </w:rPr>
      </w:pPr>
      <w:r>
        <w:rPr>
          <w:rFonts w:hint="eastAsia" w:ascii="仿宋" w:hAnsi="仿宋" w:eastAsia="仿宋"/>
          <w:color w:val="auto"/>
          <w:sz w:val="24"/>
          <w:highlight w:val="none"/>
        </w:rPr>
        <w:t xml:space="preserve">     投标供应商名称：</w:t>
      </w:r>
    </w:p>
    <w:p>
      <w:pPr>
        <w:ind w:firstLine="432"/>
        <w:rPr>
          <w:rFonts w:ascii="仿宋" w:hAnsi="仿宋" w:eastAsia="仿宋"/>
          <w:color w:val="auto"/>
          <w:sz w:val="24"/>
          <w:highlight w:val="none"/>
          <w:u w:val="single"/>
        </w:rPr>
      </w:pPr>
    </w:p>
    <w:p>
      <w:pPr>
        <w:ind w:firstLine="432"/>
        <w:rPr>
          <w:rFonts w:ascii="仿宋" w:hAnsi="仿宋" w:eastAsia="仿宋"/>
          <w:color w:val="auto"/>
          <w:sz w:val="24"/>
          <w:highlight w:val="none"/>
          <w:u w:val="single"/>
        </w:rPr>
      </w:pPr>
      <w:r>
        <w:rPr>
          <w:rFonts w:hint="eastAsia" w:ascii="仿宋" w:hAnsi="仿宋" w:eastAsia="仿宋"/>
          <w:color w:val="auto"/>
          <w:sz w:val="24"/>
          <w:highlight w:val="none"/>
        </w:rPr>
        <w:t xml:space="preserve">      （公  章）：</w:t>
      </w:r>
    </w:p>
    <w:p>
      <w:pPr>
        <w:ind w:firstLine="432"/>
        <w:rPr>
          <w:rFonts w:ascii="仿宋" w:hAnsi="仿宋" w:eastAsia="仿宋"/>
          <w:color w:val="auto"/>
          <w:sz w:val="24"/>
          <w:highlight w:val="none"/>
          <w:u w:val="single"/>
        </w:rPr>
      </w:pPr>
    </w:p>
    <w:p>
      <w:pPr>
        <w:ind w:firstLine="432"/>
        <w:rPr>
          <w:rFonts w:ascii="仿宋" w:hAnsi="仿宋" w:eastAsia="仿宋"/>
          <w:color w:val="auto"/>
          <w:sz w:val="24"/>
          <w:highlight w:val="none"/>
        </w:rPr>
      </w:pPr>
      <w:r>
        <w:rPr>
          <w:rFonts w:hint="eastAsia" w:ascii="仿宋" w:hAnsi="仿宋" w:eastAsia="仿宋"/>
          <w:color w:val="auto"/>
          <w:sz w:val="24"/>
          <w:highlight w:val="none"/>
        </w:rPr>
        <w:t xml:space="preserve">     日      期：年月日</w:t>
      </w:r>
    </w:p>
    <w:p>
      <w:pPr>
        <w:ind w:firstLine="432"/>
        <w:rPr>
          <w:rFonts w:ascii="仿宋" w:hAnsi="仿宋" w:eastAsia="仿宋"/>
          <w:color w:val="auto"/>
          <w:sz w:val="24"/>
          <w:highlight w:val="none"/>
        </w:rPr>
      </w:pPr>
    </w:p>
    <w:p>
      <w:pPr>
        <w:rPr>
          <w:rFonts w:ascii="仿宋" w:hAnsi="仿宋" w:eastAsia="仿宋"/>
          <w:color w:val="auto"/>
          <w:sz w:val="24"/>
          <w:highlight w:val="none"/>
        </w:rPr>
      </w:pPr>
    </w:p>
    <w:p>
      <w:pPr>
        <w:ind w:firstLine="432"/>
        <w:rPr>
          <w:rFonts w:ascii="仿宋" w:hAnsi="仿宋" w:eastAsia="仿宋"/>
          <w:color w:val="auto"/>
          <w:sz w:val="24"/>
          <w:highlight w:val="none"/>
        </w:rPr>
      </w:pPr>
    </w:p>
    <w:p>
      <w:pPr>
        <w:ind w:firstLine="432"/>
        <w:rPr>
          <w:rFonts w:ascii="仿宋" w:hAnsi="仿宋" w:eastAsia="仿宋"/>
          <w:color w:val="auto"/>
          <w:sz w:val="24"/>
          <w:highlight w:val="none"/>
        </w:rPr>
      </w:pPr>
    </w:p>
    <w:p>
      <w:pPr>
        <w:ind w:firstLine="3960" w:firstLineChars="1650"/>
        <w:jc w:val="left"/>
        <w:rPr>
          <w:rFonts w:ascii="仿宋" w:hAnsi="仿宋" w:eastAsia="仿宋"/>
          <w:b/>
          <w:bCs/>
          <w:color w:val="auto"/>
          <w:sz w:val="24"/>
          <w:highlight w:val="none"/>
        </w:rPr>
      </w:pPr>
      <w:r>
        <w:rPr>
          <w:rFonts w:hint="eastAsia" w:ascii="仿宋" w:hAnsi="仿宋" w:eastAsia="仿宋"/>
          <w:color w:val="auto"/>
          <w:sz w:val="24"/>
          <w:highlight w:val="none"/>
        </w:rPr>
        <w:t>投标供应商授权代表：</w:t>
      </w: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r>
        <w:rPr>
          <w:rFonts w:ascii="仿宋" w:hAnsi="仿宋" w:eastAsia="仿宋"/>
          <w:color w:val="auto"/>
          <w:sz w:val="24"/>
          <w:highlight w:val="none"/>
        </w:rPr>
        <w:br w:type="page"/>
      </w:r>
    </w:p>
    <w:p>
      <w:pPr>
        <w:pStyle w:val="4"/>
        <w:jc w:val="center"/>
        <w:rPr>
          <w:color w:val="auto"/>
          <w:highlight w:val="none"/>
        </w:rPr>
      </w:pPr>
      <w:r>
        <w:rPr>
          <w:rFonts w:hint="eastAsia"/>
          <w:color w:val="auto"/>
          <w:highlight w:val="none"/>
        </w:rPr>
        <w:t>2.项目分项清单及报价</w:t>
      </w:r>
    </w:p>
    <w:p>
      <w:pPr>
        <w:spacing w:after="60"/>
        <w:rPr>
          <w:rFonts w:ascii="仿宋" w:hAnsi="仿宋" w:eastAsia="仿宋" w:cs="Arial"/>
          <w:color w:val="auto"/>
          <w:highlight w:val="none"/>
        </w:rPr>
      </w:pPr>
      <w:r>
        <w:rPr>
          <w:rFonts w:hint="eastAsia" w:ascii="仿宋" w:hAnsi="仿宋" w:eastAsia="仿宋" w:cs="Arial"/>
          <w:color w:val="auto"/>
          <w:highlight w:val="none"/>
        </w:rPr>
        <w:t>招标编号_____________________________</w:t>
      </w:r>
    </w:p>
    <w:p>
      <w:pPr>
        <w:spacing w:after="60"/>
        <w:rPr>
          <w:rFonts w:ascii="仿宋" w:hAnsi="仿宋" w:eastAsia="仿宋" w:cs="Arial"/>
          <w:color w:val="auto"/>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3019"/>
        <w:gridCol w:w="1480"/>
        <w:gridCol w:w="1488"/>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vAlign w:val="center"/>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序 号</w:t>
            </w:r>
          </w:p>
        </w:tc>
        <w:tc>
          <w:tcPr>
            <w:tcW w:w="3019" w:type="dxa"/>
            <w:noWrap/>
            <w:vAlign w:val="center"/>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项目名称</w:t>
            </w:r>
          </w:p>
        </w:tc>
        <w:tc>
          <w:tcPr>
            <w:tcW w:w="1480" w:type="dxa"/>
            <w:noWrap/>
            <w:vAlign w:val="center"/>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数量</w:t>
            </w:r>
          </w:p>
        </w:tc>
        <w:tc>
          <w:tcPr>
            <w:tcW w:w="1488" w:type="dxa"/>
            <w:noWrap/>
            <w:vAlign w:val="center"/>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单  价</w:t>
            </w:r>
          </w:p>
        </w:tc>
        <w:tc>
          <w:tcPr>
            <w:tcW w:w="1351" w:type="dxa"/>
            <w:noWrap/>
            <w:vAlign w:val="center"/>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总  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1</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2</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3</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4</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5</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auto"/>
                <w:highlight w:val="none"/>
              </w:rPr>
            </w:pPr>
            <w:r>
              <w:rPr>
                <w:rFonts w:hint="eastAsia" w:ascii="仿宋" w:hAnsi="仿宋" w:eastAsia="仿宋" w:cs="Arial"/>
                <w:color w:val="auto"/>
                <w:highlight w:val="none"/>
              </w:rPr>
              <w:t>6</w:t>
            </w:r>
          </w:p>
        </w:tc>
        <w:tc>
          <w:tcPr>
            <w:tcW w:w="3019" w:type="dxa"/>
            <w:noWrap/>
          </w:tcPr>
          <w:p>
            <w:pPr>
              <w:spacing w:after="60"/>
              <w:rPr>
                <w:rFonts w:ascii="仿宋" w:hAnsi="仿宋" w:eastAsia="仿宋" w:cs="Arial"/>
                <w:color w:val="auto"/>
                <w:highlight w:val="none"/>
              </w:rPr>
            </w:pPr>
          </w:p>
        </w:tc>
        <w:tc>
          <w:tcPr>
            <w:tcW w:w="1480" w:type="dxa"/>
            <w:noWrap/>
          </w:tcPr>
          <w:p>
            <w:pPr>
              <w:spacing w:after="60"/>
              <w:rPr>
                <w:rFonts w:ascii="仿宋" w:hAnsi="仿宋" w:eastAsia="仿宋" w:cs="Arial"/>
                <w:color w:val="auto"/>
                <w:highlight w:val="none"/>
              </w:rPr>
            </w:pPr>
          </w:p>
        </w:tc>
        <w:tc>
          <w:tcPr>
            <w:tcW w:w="1488" w:type="dxa"/>
            <w:noWrap/>
          </w:tcPr>
          <w:p>
            <w:pPr>
              <w:spacing w:after="60"/>
              <w:rPr>
                <w:rFonts w:ascii="仿宋" w:hAnsi="仿宋" w:eastAsia="仿宋" w:cs="Arial"/>
                <w:color w:val="auto"/>
                <w:highlight w:val="none"/>
              </w:rPr>
            </w:pPr>
          </w:p>
        </w:tc>
        <w:tc>
          <w:tcPr>
            <w:tcW w:w="1351" w:type="dxa"/>
            <w:noWrap/>
          </w:tcPr>
          <w:p>
            <w:pPr>
              <w:spacing w:after="60"/>
              <w:rPr>
                <w:rFonts w:ascii="仿宋" w:hAnsi="仿宋" w:eastAsia="仿宋" w:cs="Arial"/>
                <w:color w:val="auto"/>
                <w:highlight w:val="none"/>
              </w:rPr>
            </w:pPr>
          </w:p>
        </w:tc>
      </w:tr>
    </w:tbl>
    <w:p>
      <w:pPr>
        <w:spacing w:after="60"/>
        <w:rPr>
          <w:rFonts w:ascii="仿宋" w:hAnsi="仿宋" w:eastAsia="仿宋" w:cs="Arial"/>
          <w:color w:val="auto"/>
          <w:highlight w:val="none"/>
        </w:rPr>
      </w:pPr>
    </w:p>
    <w:p>
      <w:pPr>
        <w:spacing w:after="60"/>
        <w:rPr>
          <w:rFonts w:ascii="仿宋" w:hAnsi="仿宋" w:eastAsia="仿宋" w:cs="Arial"/>
          <w:color w:val="auto"/>
          <w:highlight w:val="none"/>
        </w:rPr>
      </w:pPr>
      <w:r>
        <w:rPr>
          <w:rFonts w:hint="eastAsia" w:ascii="仿宋" w:hAnsi="仿宋" w:eastAsia="仿宋" w:cs="Arial"/>
          <w:color w:val="auto"/>
          <w:highlight w:val="none"/>
        </w:rPr>
        <w:t>注：</w:t>
      </w:r>
    </w:p>
    <w:p>
      <w:pPr>
        <w:spacing w:after="60"/>
        <w:rPr>
          <w:rFonts w:ascii="仿宋" w:hAnsi="仿宋" w:eastAsia="仿宋" w:cs="Arial"/>
          <w:color w:val="auto"/>
          <w:highlight w:val="none"/>
        </w:rPr>
      </w:pPr>
      <w:r>
        <w:rPr>
          <w:rFonts w:hint="eastAsia" w:ascii="仿宋" w:hAnsi="仿宋" w:eastAsia="仿宋" w:cs="Arial"/>
          <w:color w:val="auto"/>
          <w:highlight w:val="none"/>
        </w:rPr>
        <w:t>1.按单价计算的结果须与总价一致，并等于“报价表”中的投标总价。</w:t>
      </w:r>
    </w:p>
    <w:p>
      <w:pPr>
        <w:rPr>
          <w:rFonts w:ascii="仿宋" w:hAnsi="仿宋" w:eastAsia="仿宋" w:cs="Arial"/>
          <w:color w:val="auto"/>
          <w:highlight w:val="none"/>
        </w:rPr>
      </w:pPr>
      <w:r>
        <w:rPr>
          <w:rFonts w:hint="eastAsia" w:ascii="仿宋" w:hAnsi="仿宋" w:eastAsia="仿宋" w:cs="Arial"/>
          <w:color w:val="auto"/>
          <w:highlight w:val="none"/>
        </w:rPr>
        <w:t>2.如果以上内容无法满足投标供应商对投标报价描述，可自行添加包含在价格因素内的一切内容。</w:t>
      </w:r>
    </w:p>
    <w:p>
      <w:pPr>
        <w:rPr>
          <w:rFonts w:ascii="仿宋" w:hAnsi="仿宋" w:eastAsia="仿宋"/>
          <w:color w:val="auto"/>
          <w:sz w:val="28"/>
          <w:highlight w:val="none"/>
        </w:rPr>
      </w:pPr>
    </w:p>
    <w:p>
      <w:pPr>
        <w:rPr>
          <w:rFonts w:ascii="仿宋" w:hAnsi="仿宋" w:eastAsia="仿宋" w:cs="Arial"/>
          <w:color w:val="auto"/>
          <w:highlight w:val="none"/>
        </w:rPr>
      </w:pPr>
      <w:r>
        <w:rPr>
          <w:rFonts w:hint="eastAsia" w:ascii="仿宋" w:hAnsi="仿宋" w:eastAsia="仿宋"/>
          <w:color w:val="auto"/>
          <w:szCs w:val="21"/>
          <w:highlight w:val="none"/>
        </w:rPr>
        <w:t>投标供应商授权代表</w:t>
      </w:r>
      <w:r>
        <w:rPr>
          <w:rFonts w:hint="eastAsia" w:ascii="仿宋" w:hAnsi="仿宋" w:eastAsia="仿宋" w:cs="Arial"/>
          <w:color w:val="auto"/>
          <w:highlight w:val="none"/>
        </w:rPr>
        <w:t>签字：__________________</w:t>
      </w:r>
    </w:p>
    <w:p>
      <w:pPr>
        <w:rPr>
          <w:rFonts w:ascii="仿宋" w:hAnsi="仿宋" w:eastAsia="仿宋" w:cs="Arial"/>
          <w:color w:val="auto"/>
          <w:highlight w:val="none"/>
        </w:rPr>
      </w:pPr>
    </w:p>
    <w:p>
      <w:pPr>
        <w:rPr>
          <w:rFonts w:ascii="仿宋" w:hAnsi="仿宋" w:eastAsia="仿宋" w:cs="Arial"/>
          <w:color w:val="auto"/>
          <w:highlight w:val="none"/>
        </w:rPr>
      </w:pPr>
      <w:r>
        <w:rPr>
          <w:rFonts w:hint="eastAsia" w:ascii="仿宋" w:hAnsi="仿宋" w:eastAsia="仿宋" w:cs="Arial"/>
          <w:color w:val="auto"/>
          <w:highlight w:val="none"/>
        </w:rPr>
        <w:t>投标单位盖章：____________________________</w:t>
      </w:r>
    </w:p>
    <w:p>
      <w:pPr>
        <w:rPr>
          <w:rFonts w:ascii="仿宋" w:hAnsi="仿宋" w:eastAsia="仿宋"/>
          <w:color w:val="auto"/>
          <w:sz w:val="28"/>
          <w:highlight w:val="none"/>
        </w:rPr>
      </w:pPr>
      <w:r>
        <w:rPr>
          <w:rFonts w:hint="eastAsia" w:ascii="仿宋" w:hAnsi="仿宋" w:eastAsia="仿宋" w:cs="Arial"/>
          <w:color w:val="auto"/>
          <w:highlight w:val="none"/>
        </w:rPr>
        <w:t>日        期</w:t>
      </w:r>
      <w:r>
        <w:rPr>
          <w:rFonts w:hint="eastAsia" w:ascii="仿宋" w:hAnsi="仿宋" w:eastAsia="仿宋"/>
          <w:color w:val="auto"/>
          <w:sz w:val="28"/>
          <w:highlight w:val="none"/>
        </w:rPr>
        <w:t>：</w:t>
      </w: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rPr>
          <w:rFonts w:ascii="仿宋" w:hAnsi="仿宋" w:eastAsia="仿宋"/>
          <w:color w:val="auto"/>
          <w:sz w:val="24"/>
          <w:highlight w:val="none"/>
        </w:rPr>
      </w:pPr>
    </w:p>
    <w:p>
      <w:pPr>
        <w:jc w:val="center"/>
        <w:rPr>
          <w:rFonts w:hint="eastAsia"/>
          <w:color w:val="auto"/>
          <w:highlight w:val="none"/>
        </w:rPr>
      </w:pPr>
      <w:r>
        <w:rPr>
          <w:rFonts w:hint="eastAsia"/>
          <w:color w:val="auto"/>
          <w:highlight w:val="none"/>
        </w:rPr>
        <w:br w:type="page"/>
      </w:r>
    </w:p>
    <w:p>
      <w:pPr>
        <w:pStyle w:val="4"/>
        <w:jc w:val="center"/>
        <w:rPr>
          <w:color w:val="auto"/>
          <w:highlight w:val="none"/>
        </w:rPr>
      </w:pPr>
      <w:r>
        <w:rPr>
          <w:rFonts w:hint="eastAsia"/>
          <w:color w:val="auto"/>
          <w:highlight w:val="none"/>
        </w:rPr>
        <w:t>3.公司情况说明书</w:t>
      </w:r>
    </w:p>
    <w:p>
      <w:pPr>
        <w:spacing w:after="60"/>
        <w:rPr>
          <w:rFonts w:ascii="仿宋" w:hAnsi="仿宋" w:eastAsia="仿宋" w:cs="Arial"/>
          <w:color w:val="auto"/>
          <w:highlight w:val="none"/>
        </w:rPr>
      </w:pPr>
    </w:p>
    <w:p>
      <w:pPr>
        <w:numPr>
          <w:ilvl w:val="0"/>
          <w:numId w:val="9"/>
        </w:numPr>
        <w:spacing w:after="78" w:afterLines="25" w:line="300" w:lineRule="auto"/>
        <w:rPr>
          <w:rFonts w:ascii="仿宋" w:hAnsi="仿宋" w:eastAsia="仿宋" w:cs="Arial"/>
          <w:color w:val="auto"/>
          <w:highlight w:val="none"/>
        </w:rPr>
      </w:pPr>
      <w:r>
        <w:rPr>
          <w:rFonts w:hint="eastAsia" w:ascii="仿宋" w:hAnsi="仿宋" w:eastAsia="仿宋" w:cs="Arial"/>
          <w:color w:val="auto"/>
          <w:highlight w:val="none"/>
        </w:rPr>
        <w:t>公司简介：</w:t>
      </w:r>
    </w:p>
    <w:p>
      <w:pPr>
        <w:spacing w:after="60"/>
        <w:rPr>
          <w:rFonts w:ascii="仿宋" w:hAnsi="仿宋" w:eastAsia="仿宋" w:cs="Arial"/>
          <w:color w:val="auto"/>
          <w:highlight w:val="none"/>
        </w:rPr>
      </w:pPr>
    </w:p>
    <w:p>
      <w:pPr>
        <w:numPr>
          <w:ilvl w:val="0"/>
          <w:numId w:val="9"/>
        </w:numPr>
        <w:spacing w:after="78" w:afterLines="25" w:line="300" w:lineRule="auto"/>
        <w:rPr>
          <w:rFonts w:ascii="仿宋" w:hAnsi="仿宋" w:eastAsia="仿宋" w:cs="Arial"/>
          <w:color w:val="auto"/>
          <w:highlight w:val="none"/>
        </w:rPr>
      </w:pPr>
      <w:r>
        <w:rPr>
          <w:rFonts w:hint="eastAsia" w:ascii="仿宋" w:hAnsi="仿宋" w:eastAsia="仿宋" w:cs="Arial"/>
          <w:color w:val="auto"/>
          <w:highlight w:val="none"/>
        </w:rPr>
        <w:t>人员状况：</w:t>
      </w: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numPr>
          <w:ilvl w:val="0"/>
          <w:numId w:val="9"/>
        </w:numPr>
        <w:spacing w:after="78" w:afterLines="25" w:line="300" w:lineRule="auto"/>
        <w:rPr>
          <w:rFonts w:ascii="仿宋" w:hAnsi="仿宋" w:eastAsia="仿宋" w:cs="Arial"/>
          <w:color w:val="auto"/>
          <w:highlight w:val="none"/>
        </w:rPr>
      </w:pPr>
      <w:r>
        <w:rPr>
          <w:rFonts w:hint="eastAsia" w:ascii="仿宋" w:hAnsi="仿宋" w:eastAsia="仿宋" w:cs="Arial"/>
          <w:color w:val="auto"/>
          <w:highlight w:val="none"/>
        </w:rPr>
        <w:t>同类项目开发完成情况：</w:t>
      </w:r>
    </w:p>
    <w:p>
      <w:pPr>
        <w:spacing w:after="60"/>
        <w:rPr>
          <w:rFonts w:ascii="仿宋" w:hAnsi="仿宋" w:eastAsia="仿宋" w:cs="Arial"/>
          <w:color w:val="auto"/>
          <w:highlight w:val="none"/>
        </w:rPr>
      </w:pPr>
    </w:p>
    <w:p>
      <w:pPr>
        <w:numPr>
          <w:ilvl w:val="0"/>
          <w:numId w:val="9"/>
        </w:numPr>
        <w:spacing w:after="78" w:afterLines="25" w:line="300" w:lineRule="auto"/>
        <w:rPr>
          <w:rFonts w:ascii="仿宋" w:hAnsi="仿宋" w:eastAsia="仿宋" w:cs="Arial"/>
          <w:color w:val="auto"/>
          <w:highlight w:val="none"/>
        </w:rPr>
      </w:pPr>
      <w:r>
        <w:rPr>
          <w:rFonts w:hint="eastAsia" w:ascii="仿宋" w:hAnsi="仿宋" w:eastAsia="仿宋" w:cs="Arial"/>
          <w:color w:val="auto"/>
          <w:highlight w:val="none"/>
        </w:rPr>
        <w:t>财务状况：</w:t>
      </w: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r>
        <w:rPr>
          <w:rFonts w:hint="eastAsia" w:ascii="仿宋" w:hAnsi="仿宋" w:eastAsia="仿宋"/>
          <w:color w:val="auto"/>
          <w:szCs w:val="21"/>
          <w:highlight w:val="none"/>
        </w:rPr>
        <w:t>投标供应商授权代表：</w:t>
      </w:r>
      <w:r>
        <w:rPr>
          <w:rFonts w:hint="eastAsia" w:ascii="仿宋" w:hAnsi="仿宋" w:eastAsia="仿宋" w:cs="Arial"/>
          <w:color w:val="auto"/>
          <w:highlight w:val="none"/>
        </w:rPr>
        <w:t>________________________</w:t>
      </w: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rPr>
          <w:rFonts w:ascii="仿宋" w:hAnsi="仿宋" w:eastAsia="仿宋"/>
          <w:color w:val="auto"/>
          <w:sz w:val="32"/>
          <w:highlight w:val="none"/>
        </w:rPr>
      </w:pPr>
      <w:r>
        <w:rPr>
          <w:rFonts w:hint="eastAsia" w:ascii="仿宋" w:hAnsi="仿宋" w:eastAsia="仿宋" w:cs="Arial"/>
          <w:color w:val="auto"/>
          <w:szCs w:val="21"/>
          <w:highlight w:val="none"/>
        </w:rPr>
        <w:t>投标供应商盖章：</w:t>
      </w:r>
      <w:r>
        <w:rPr>
          <w:rFonts w:hint="eastAsia" w:ascii="仿宋" w:hAnsi="仿宋" w:eastAsia="仿宋" w:cs="Arial"/>
          <w:color w:val="auto"/>
          <w:highlight w:val="none"/>
        </w:rPr>
        <w:t>____________________________</w:t>
      </w:r>
    </w:p>
    <w:p>
      <w:pPr>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ind w:left="2940"/>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4"/>
        <w:jc w:val="center"/>
        <w:rPr>
          <w:color w:val="auto"/>
          <w:highlight w:val="none"/>
        </w:rPr>
      </w:pPr>
      <w:r>
        <w:rPr>
          <w:rFonts w:hint="eastAsia"/>
          <w:color w:val="auto"/>
          <w:highlight w:val="none"/>
        </w:rPr>
        <w:t>4.项目中投入设备说明一览表（如需）</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投标人名称__________________</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招标编号____________________</w:t>
      </w:r>
    </w:p>
    <w:p>
      <w:pPr>
        <w:spacing w:after="60"/>
        <w:rPr>
          <w:rFonts w:ascii="仿宋" w:hAnsi="仿宋" w:eastAsia="仿宋" w:cs="Arial"/>
          <w:color w:val="auto"/>
          <w:szCs w:val="21"/>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706"/>
        <w:gridCol w:w="1707"/>
        <w:gridCol w:w="3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设备名称</w:t>
            </w:r>
          </w:p>
        </w:tc>
        <w:tc>
          <w:tcPr>
            <w:tcW w:w="1706" w:type="dxa"/>
            <w:noWrap/>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规格及型号</w:t>
            </w:r>
          </w:p>
        </w:tc>
        <w:tc>
          <w:tcPr>
            <w:tcW w:w="1707" w:type="dxa"/>
            <w:noWrap/>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数量</w:t>
            </w:r>
          </w:p>
        </w:tc>
        <w:tc>
          <w:tcPr>
            <w:tcW w:w="3277" w:type="dxa"/>
            <w:noWrap/>
            <w:vAlign w:val="center"/>
          </w:tcPr>
          <w:p>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auto"/>
                <w:szCs w:val="21"/>
                <w:highlight w:val="none"/>
              </w:rPr>
            </w:pPr>
          </w:p>
        </w:tc>
        <w:tc>
          <w:tcPr>
            <w:tcW w:w="1706" w:type="dxa"/>
            <w:noWrap/>
          </w:tcPr>
          <w:p>
            <w:pPr>
              <w:spacing w:after="60" w:line="360" w:lineRule="auto"/>
              <w:rPr>
                <w:rFonts w:ascii="仿宋" w:hAnsi="仿宋" w:eastAsia="仿宋"/>
                <w:color w:val="auto"/>
                <w:szCs w:val="21"/>
                <w:highlight w:val="none"/>
              </w:rPr>
            </w:pPr>
          </w:p>
        </w:tc>
        <w:tc>
          <w:tcPr>
            <w:tcW w:w="1707" w:type="dxa"/>
            <w:noWrap/>
          </w:tcPr>
          <w:p>
            <w:pPr>
              <w:spacing w:after="60" w:line="360" w:lineRule="auto"/>
              <w:rPr>
                <w:rFonts w:ascii="仿宋" w:hAnsi="仿宋" w:eastAsia="仿宋"/>
                <w:color w:val="auto"/>
                <w:szCs w:val="21"/>
                <w:highlight w:val="none"/>
              </w:rPr>
            </w:pPr>
          </w:p>
        </w:tc>
        <w:tc>
          <w:tcPr>
            <w:tcW w:w="3277" w:type="dxa"/>
            <w:noWrap/>
          </w:tcPr>
          <w:p>
            <w:pPr>
              <w:spacing w:after="60" w:line="360" w:lineRule="auto"/>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auto"/>
                <w:szCs w:val="21"/>
                <w:highlight w:val="none"/>
              </w:rPr>
            </w:pPr>
          </w:p>
        </w:tc>
        <w:tc>
          <w:tcPr>
            <w:tcW w:w="1706" w:type="dxa"/>
            <w:noWrap/>
          </w:tcPr>
          <w:p>
            <w:pPr>
              <w:spacing w:after="60" w:line="360" w:lineRule="auto"/>
              <w:rPr>
                <w:rFonts w:ascii="仿宋" w:hAnsi="仿宋" w:eastAsia="仿宋"/>
                <w:color w:val="auto"/>
                <w:szCs w:val="21"/>
                <w:highlight w:val="none"/>
              </w:rPr>
            </w:pPr>
          </w:p>
        </w:tc>
        <w:tc>
          <w:tcPr>
            <w:tcW w:w="1707" w:type="dxa"/>
            <w:noWrap/>
          </w:tcPr>
          <w:p>
            <w:pPr>
              <w:spacing w:after="60" w:line="360" w:lineRule="auto"/>
              <w:rPr>
                <w:rFonts w:ascii="仿宋" w:hAnsi="仿宋" w:eastAsia="仿宋"/>
                <w:color w:val="auto"/>
                <w:szCs w:val="21"/>
                <w:highlight w:val="none"/>
              </w:rPr>
            </w:pPr>
          </w:p>
        </w:tc>
        <w:tc>
          <w:tcPr>
            <w:tcW w:w="3277" w:type="dxa"/>
            <w:noWrap/>
          </w:tcPr>
          <w:p>
            <w:pPr>
              <w:spacing w:after="60" w:line="360" w:lineRule="auto"/>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auto"/>
                <w:szCs w:val="21"/>
                <w:highlight w:val="none"/>
              </w:rPr>
            </w:pPr>
          </w:p>
        </w:tc>
        <w:tc>
          <w:tcPr>
            <w:tcW w:w="1706" w:type="dxa"/>
            <w:noWrap/>
          </w:tcPr>
          <w:p>
            <w:pPr>
              <w:spacing w:after="60" w:line="360" w:lineRule="auto"/>
              <w:rPr>
                <w:rFonts w:ascii="仿宋" w:hAnsi="仿宋" w:eastAsia="仿宋"/>
                <w:color w:val="auto"/>
                <w:szCs w:val="21"/>
                <w:highlight w:val="none"/>
              </w:rPr>
            </w:pPr>
          </w:p>
        </w:tc>
        <w:tc>
          <w:tcPr>
            <w:tcW w:w="1707" w:type="dxa"/>
            <w:noWrap/>
          </w:tcPr>
          <w:p>
            <w:pPr>
              <w:spacing w:after="60" w:line="360" w:lineRule="auto"/>
              <w:rPr>
                <w:rFonts w:ascii="仿宋" w:hAnsi="仿宋" w:eastAsia="仿宋"/>
                <w:color w:val="auto"/>
                <w:szCs w:val="21"/>
                <w:highlight w:val="none"/>
              </w:rPr>
            </w:pPr>
          </w:p>
        </w:tc>
        <w:tc>
          <w:tcPr>
            <w:tcW w:w="3277" w:type="dxa"/>
            <w:noWrap/>
          </w:tcPr>
          <w:p>
            <w:pPr>
              <w:spacing w:after="60" w:line="360" w:lineRule="auto"/>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auto"/>
                <w:szCs w:val="21"/>
                <w:highlight w:val="none"/>
              </w:rPr>
            </w:pPr>
          </w:p>
        </w:tc>
        <w:tc>
          <w:tcPr>
            <w:tcW w:w="1706" w:type="dxa"/>
            <w:noWrap/>
          </w:tcPr>
          <w:p>
            <w:pPr>
              <w:spacing w:after="60" w:line="360" w:lineRule="auto"/>
              <w:rPr>
                <w:rFonts w:ascii="仿宋" w:hAnsi="仿宋" w:eastAsia="仿宋"/>
                <w:color w:val="auto"/>
                <w:szCs w:val="21"/>
                <w:highlight w:val="none"/>
              </w:rPr>
            </w:pPr>
          </w:p>
        </w:tc>
        <w:tc>
          <w:tcPr>
            <w:tcW w:w="1707" w:type="dxa"/>
            <w:noWrap/>
          </w:tcPr>
          <w:p>
            <w:pPr>
              <w:spacing w:after="60" w:line="360" w:lineRule="auto"/>
              <w:rPr>
                <w:rFonts w:ascii="仿宋" w:hAnsi="仿宋" w:eastAsia="仿宋"/>
                <w:color w:val="auto"/>
                <w:szCs w:val="21"/>
                <w:highlight w:val="none"/>
              </w:rPr>
            </w:pPr>
          </w:p>
        </w:tc>
        <w:tc>
          <w:tcPr>
            <w:tcW w:w="3277" w:type="dxa"/>
            <w:noWrap/>
          </w:tcPr>
          <w:p>
            <w:pPr>
              <w:spacing w:after="60" w:line="360" w:lineRule="auto"/>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auto"/>
                <w:szCs w:val="21"/>
                <w:highlight w:val="none"/>
              </w:rPr>
            </w:pPr>
          </w:p>
        </w:tc>
        <w:tc>
          <w:tcPr>
            <w:tcW w:w="1706" w:type="dxa"/>
            <w:noWrap/>
          </w:tcPr>
          <w:p>
            <w:pPr>
              <w:spacing w:after="60" w:line="360" w:lineRule="auto"/>
              <w:rPr>
                <w:rFonts w:ascii="仿宋" w:hAnsi="仿宋" w:eastAsia="仿宋"/>
                <w:color w:val="auto"/>
                <w:szCs w:val="21"/>
                <w:highlight w:val="none"/>
              </w:rPr>
            </w:pPr>
          </w:p>
        </w:tc>
        <w:tc>
          <w:tcPr>
            <w:tcW w:w="1707" w:type="dxa"/>
            <w:noWrap/>
          </w:tcPr>
          <w:p>
            <w:pPr>
              <w:spacing w:after="60" w:line="360" w:lineRule="auto"/>
              <w:rPr>
                <w:rFonts w:ascii="仿宋" w:hAnsi="仿宋" w:eastAsia="仿宋"/>
                <w:color w:val="auto"/>
                <w:szCs w:val="21"/>
                <w:highlight w:val="none"/>
              </w:rPr>
            </w:pPr>
          </w:p>
        </w:tc>
        <w:tc>
          <w:tcPr>
            <w:tcW w:w="3277" w:type="dxa"/>
            <w:noWrap/>
          </w:tcPr>
          <w:p>
            <w:pPr>
              <w:spacing w:after="60" w:line="360" w:lineRule="auto"/>
              <w:rPr>
                <w:rFonts w:ascii="仿宋" w:hAnsi="仿宋" w:eastAsia="仿宋"/>
                <w:color w:val="auto"/>
                <w:szCs w:val="21"/>
                <w:highlight w:val="none"/>
              </w:rPr>
            </w:pPr>
          </w:p>
        </w:tc>
      </w:tr>
    </w:tbl>
    <w:p>
      <w:pPr>
        <w:spacing w:after="60"/>
        <w:rPr>
          <w:rFonts w:ascii="仿宋" w:hAnsi="仿宋" w:eastAsia="仿宋"/>
          <w:color w:val="auto"/>
          <w:highlight w:val="none"/>
        </w:rPr>
      </w:pPr>
      <w:r>
        <w:rPr>
          <w:rFonts w:hint="eastAsia" w:ascii="仿宋" w:hAnsi="仿宋" w:eastAsia="仿宋"/>
          <w:color w:val="auto"/>
          <w:highlight w:val="none"/>
        </w:rPr>
        <w:t>（此表可延长）</w:t>
      </w:r>
    </w:p>
    <w:p>
      <w:pPr>
        <w:spacing w:after="60"/>
        <w:rPr>
          <w:rFonts w:ascii="仿宋" w:hAnsi="仿宋" w:eastAsia="仿宋"/>
          <w:color w:val="auto"/>
          <w:highlight w:val="none"/>
        </w:rPr>
      </w:pPr>
    </w:p>
    <w:p>
      <w:pPr>
        <w:spacing w:after="60"/>
        <w:rPr>
          <w:rFonts w:ascii="仿宋" w:hAnsi="仿宋" w:eastAsia="仿宋" w:cs="Arial"/>
          <w:color w:val="auto"/>
          <w:highlight w:val="none"/>
        </w:rPr>
      </w:pPr>
      <w:r>
        <w:rPr>
          <w:rFonts w:hint="eastAsia" w:ascii="仿宋" w:hAnsi="仿宋" w:eastAsia="仿宋"/>
          <w:color w:val="auto"/>
          <w:szCs w:val="21"/>
          <w:highlight w:val="none"/>
        </w:rPr>
        <w:t>投标供应商授权代表签字：</w:t>
      </w:r>
      <w:r>
        <w:rPr>
          <w:rFonts w:hint="eastAsia" w:ascii="仿宋" w:hAnsi="仿宋" w:eastAsia="仿宋" w:cs="Arial"/>
          <w:color w:val="auto"/>
          <w:highlight w:val="none"/>
        </w:rPr>
        <w:t>________________________</w:t>
      </w: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r>
        <w:rPr>
          <w:rFonts w:hint="eastAsia" w:ascii="仿宋" w:hAnsi="仿宋" w:eastAsia="仿宋" w:cs="Arial"/>
          <w:color w:val="auto"/>
          <w:szCs w:val="21"/>
          <w:highlight w:val="none"/>
        </w:rPr>
        <w:t>投标供应商盖章：</w:t>
      </w:r>
      <w:r>
        <w:rPr>
          <w:rFonts w:hint="eastAsia" w:ascii="仿宋" w:hAnsi="仿宋" w:eastAsia="仿宋" w:cs="Arial"/>
          <w:color w:val="auto"/>
          <w:highlight w:val="none"/>
        </w:rPr>
        <w:t>_______________________________</w:t>
      </w:r>
    </w:p>
    <w:p>
      <w:pPr>
        <w:spacing w:after="60"/>
        <w:rPr>
          <w:rFonts w:ascii="仿宋" w:hAnsi="仿宋" w:eastAsia="仿宋"/>
          <w:color w:val="auto"/>
          <w:highlight w:val="none"/>
        </w:rPr>
      </w:pPr>
    </w:p>
    <w:p>
      <w:pPr>
        <w:spacing w:after="60"/>
        <w:rPr>
          <w:rFonts w:ascii="仿宋" w:hAnsi="仿宋" w:eastAsia="仿宋"/>
          <w:color w:val="auto"/>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center"/>
        <w:rPr>
          <w:rFonts w:hint="eastAsia"/>
          <w:color w:val="auto"/>
          <w:highlight w:val="none"/>
        </w:rPr>
      </w:pPr>
      <w:r>
        <w:rPr>
          <w:rFonts w:hint="eastAsia"/>
          <w:color w:val="auto"/>
          <w:highlight w:val="none"/>
        </w:rPr>
        <w:br w:type="page"/>
      </w:r>
    </w:p>
    <w:p>
      <w:pPr>
        <w:pStyle w:val="4"/>
        <w:jc w:val="center"/>
        <w:rPr>
          <w:color w:val="auto"/>
          <w:highlight w:val="none"/>
        </w:rPr>
      </w:pPr>
      <w:r>
        <w:rPr>
          <w:rFonts w:hint="eastAsia"/>
          <w:color w:val="auto"/>
          <w:highlight w:val="none"/>
        </w:rPr>
        <w:t>5.同类项目主要业绩一览表</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投标供应商名称：__________________</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招标编号：_________________________</w:t>
      </w:r>
    </w:p>
    <w:p>
      <w:pPr>
        <w:spacing w:after="60"/>
        <w:rPr>
          <w:rFonts w:ascii="仿宋" w:hAnsi="仿宋" w:eastAsia="仿宋" w:cs="Arial"/>
          <w:color w:val="auto"/>
          <w:szCs w:val="21"/>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4"/>
        <w:gridCol w:w="1701"/>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8"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2347"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项目名称</w:t>
            </w:r>
          </w:p>
        </w:tc>
        <w:tc>
          <w:tcPr>
            <w:tcW w:w="1197"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项目单位</w:t>
            </w:r>
          </w:p>
        </w:tc>
        <w:tc>
          <w:tcPr>
            <w:tcW w:w="1134"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实施时间</w:t>
            </w:r>
          </w:p>
        </w:tc>
        <w:tc>
          <w:tcPr>
            <w:tcW w:w="1701"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规模（金额）</w:t>
            </w:r>
          </w:p>
        </w:tc>
        <w:tc>
          <w:tcPr>
            <w:tcW w:w="1206" w:type="dxa"/>
            <w:noWrap/>
            <w:vAlign w:val="center"/>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auto"/>
                <w:szCs w:val="21"/>
                <w:highlight w:val="none"/>
              </w:rPr>
            </w:pPr>
          </w:p>
        </w:tc>
        <w:tc>
          <w:tcPr>
            <w:tcW w:w="2347" w:type="dxa"/>
            <w:noWrap/>
          </w:tcPr>
          <w:p>
            <w:pPr>
              <w:spacing w:after="60"/>
              <w:rPr>
                <w:rFonts w:ascii="仿宋" w:hAnsi="仿宋" w:eastAsia="仿宋"/>
                <w:color w:val="auto"/>
                <w:szCs w:val="21"/>
                <w:highlight w:val="none"/>
              </w:rPr>
            </w:pPr>
          </w:p>
        </w:tc>
        <w:tc>
          <w:tcPr>
            <w:tcW w:w="1197" w:type="dxa"/>
            <w:noWrap/>
          </w:tcPr>
          <w:p>
            <w:pPr>
              <w:spacing w:after="60"/>
              <w:rPr>
                <w:rFonts w:ascii="仿宋" w:hAnsi="仿宋" w:eastAsia="仿宋"/>
                <w:color w:val="auto"/>
                <w:szCs w:val="21"/>
                <w:highlight w:val="none"/>
              </w:rPr>
            </w:pPr>
          </w:p>
        </w:tc>
        <w:tc>
          <w:tcPr>
            <w:tcW w:w="1134" w:type="dxa"/>
            <w:noWrap/>
          </w:tcPr>
          <w:p>
            <w:pPr>
              <w:spacing w:after="60"/>
              <w:rPr>
                <w:rFonts w:ascii="仿宋" w:hAnsi="仿宋" w:eastAsia="仿宋"/>
                <w:color w:val="auto"/>
                <w:szCs w:val="21"/>
                <w:highlight w:val="none"/>
              </w:rPr>
            </w:pPr>
          </w:p>
        </w:tc>
        <w:tc>
          <w:tcPr>
            <w:tcW w:w="1701" w:type="dxa"/>
            <w:noWrap/>
          </w:tcPr>
          <w:p>
            <w:pPr>
              <w:spacing w:after="60"/>
              <w:rPr>
                <w:rFonts w:ascii="仿宋" w:hAnsi="仿宋" w:eastAsia="仿宋"/>
                <w:color w:val="auto"/>
                <w:szCs w:val="21"/>
                <w:highlight w:val="none"/>
              </w:rPr>
            </w:pPr>
          </w:p>
        </w:tc>
        <w:tc>
          <w:tcPr>
            <w:tcW w:w="1206" w:type="dxa"/>
            <w:noWrap/>
          </w:tcPr>
          <w:p>
            <w:pPr>
              <w:spacing w:after="60"/>
              <w:rPr>
                <w:rFonts w:ascii="仿宋" w:hAnsi="仿宋" w:eastAsia="仿宋"/>
                <w:color w:val="auto"/>
                <w:szCs w:val="21"/>
                <w:highlight w:val="none"/>
              </w:rPr>
            </w:pPr>
          </w:p>
        </w:tc>
      </w:tr>
    </w:tbl>
    <w:p>
      <w:pPr>
        <w:spacing w:after="60"/>
        <w:rPr>
          <w:rFonts w:ascii="仿宋" w:hAnsi="仿宋" w:eastAsia="仿宋"/>
          <w:color w:val="auto"/>
          <w:highlight w:val="none"/>
        </w:rPr>
      </w:pPr>
    </w:p>
    <w:p>
      <w:pPr>
        <w:spacing w:after="60"/>
        <w:rPr>
          <w:rFonts w:ascii="仿宋" w:hAnsi="仿宋" w:eastAsia="仿宋" w:cs="Arial"/>
          <w:color w:val="auto"/>
          <w:highlight w:val="none"/>
        </w:rPr>
      </w:pPr>
      <w:r>
        <w:rPr>
          <w:rFonts w:hint="eastAsia" w:ascii="仿宋" w:hAnsi="仿宋" w:eastAsia="仿宋"/>
          <w:color w:val="auto"/>
          <w:szCs w:val="21"/>
          <w:highlight w:val="none"/>
        </w:rPr>
        <w:t>投标供应商授权代表：</w:t>
      </w:r>
      <w:r>
        <w:rPr>
          <w:rFonts w:hint="eastAsia" w:ascii="仿宋" w:hAnsi="仿宋" w:eastAsia="仿宋" w:cs="Arial"/>
          <w:color w:val="auto"/>
          <w:highlight w:val="none"/>
        </w:rPr>
        <w:t>________________________</w:t>
      </w:r>
    </w:p>
    <w:p>
      <w:pPr>
        <w:spacing w:after="60"/>
        <w:rPr>
          <w:rFonts w:ascii="仿宋" w:hAnsi="仿宋" w:eastAsia="仿宋" w:cs="Arial"/>
          <w:color w:val="auto"/>
          <w:highlight w:val="none"/>
        </w:rPr>
      </w:pPr>
    </w:p>
    <w:p>
      <w:pPr>
        <w:spacing w:after="60"/>
        <w:rPr>
          <w:rFonts w:ascii="仿宋" w:hAnsi="仿宋" w:eastAsia="仿宋" w:cs="Arial"/>
          <w:color w:val="auto"/>
          <w:highlight w:val="none"/>
        </w:rPr>
      </w:pPr>
    </w:p>
    <w:p>
      <w:pPr>
        <w:spacing w:after="60"/>
        <w:rPr>
          <w:rFonts w:ascii="仿宋" w:hAnsi="仿宋" w:eastAsia="仿宋"/>
          <w:color w:val="auto"/>
          <w:highlight w:val="none"/>
        </w:rPr>
      </w:pPr>
      <w:r>
        <w:rPr>
          <w:rFonts w:hint="eastAsia" w:ascii="仿宋" w:hAnsi="仿宋" w:eastAsia="仿宋" w:cs="Arial"/>
          <w:color w:val="auto"/>
          <w:szCs w:val="21"/>
          <w:highlight w:val="none"/>
        </w:rPr>
        <w:t>投标供应商盖章：</w:t>
      </w:r>
      <w:r>
        <w:rPr>
          <w:rFonts w:hint="eastAsia" w:ascii="仿宋" w:hAnsi="仿宋" w:eastAsia="仿宋" w:cs="Arial"/>
          <w:color w:val="auto"/>
          <w:highlight w:val="none"/>
        </w:rPr>
        <w:t>____________________________</w:t>
      </w: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jc w:val="left"/>
        <w:rPr>
          <w:rFonts w:ascii="仿宋" w:hAnsi="仿宋" w:eastAsia="仿宋"/>
          <w:color w:val="auto"/>
          <w:sz w:val="24"/>
          <w:highlight w:val="none"/>
        </w:rPr>
      </w:pPr>
    </w:p>
    <w:p>
      <w:pPr>
        <w:pStyle w:val="4"/>
        <w:jc w:val="center"/>
        <w:rPr>
          <w:color w:val="auto"/>
          <w:highlight w:val="none"/>
        </w:rPr>
      </w:pPr>
      <w:r>
        <w:rPr>
          <w:rFonts w:hint="eastAsia"/>
          <w:color w:val="auto"/>
          <w:highlight w:val="none"/>
        </w:rPr>
        <w:br w:type="page"/>
      </w:r>
      <w:r>
        <w:rPr>
          <w:rFonts w:hint="eastAsia"/>
          <w:color w:val="auto"/>
          <w:highlight w:val="none"/>
        </w:rPr>
        <w:t>6.项目主要管理和技术人员情况表</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投标供应商名称：__________________</w:t>
      </w: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招标编号：_________________________</w:t>
      </w:r>
    </w:p>
    <w:p>
      <w:pPr>
        <w:spacing w:after="60"/>
        <w:rPr>
          <w:rFonts w:ascii="仿宋" w:hAnsi="仿宋" w:eastAsia="仿宋" w:cs="Arial"/>
          <w:color w:val="auto"/>
          <w:szCs w:val="21"/>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8" w:type="dxa"/>
            <w:noWrap/>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姓名</w:t>
            </w:r>
          </w:p>
        </w:tc>
        <w:tc>
          <w:tcPr>
            <w:tcW w:w="1800" w:type="dxa"/>
            <w:noWrap/>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部门和职务</w:t>
            </w:r>
          </w:p>
        </w:tc>
        <w:tc>
          <w:tcPr>
            <w:tcW w:w="1260" w:type="dxa"/>
            <w:noWrap/>
          </w:tcPr>
          <w:p>
            <w:pPr>
              <w:tabs>
                <w:tab w:val="center" w:pos="522"/>
              </w:tabs>
              <w:spacing w:after="60"/>
              <w:rPr>
                <w:rFonts w:ascii="仿宋" w:hAnsi="仿宋" w:eastAsia="仿宋"/>
                <w:color w:val="auto"/>
                <w:szCs w:val="21"/>
                <w:highlight w:val="none"/>
              </w:rPr>
            </w:pPr>
            <w:r>
              <w:rPr>
                <w:rFonts w:hint="eastAsia" w:ascii="仿宋" w:hAnsi="仿宋" w:eastAsia="仿宋"/>
                <w:color w:val="auto"/>
                <w:szCs w:val="21"/>
                <w:highlight w:val="none"/>
              </w:rPr>
              <w:tab/>
            </w:r>
            <w:r>
              <w:rPr>
                <w:rFonts w:hint="eastAsia" w:ascii="仿宋" w:hAnsi="仿宋" w:eastAsia="仿宋"/>
                <w:color w:val="auto"/>
                <w:szCs w:val="21"/>
                <w:highlight w:val="none"/>
              </w:rPr>
              <w:t>职称</w:t>
            </w:r>
          </w:p>
        </w:tc>
        <w:tc>
          <w:tcPr>
            <w:tcW w:w="3976" w:type="dxa"/>
            <w:noWrap/>
          </w:tcPr>
          <w:p>
            <w:pPr>
              <w:spacing w:after="60"/>
              <w:jc w:val="center"/>
              <w:rPr>
                <w:rFonts w:ascii="仿宋" w:hAnsi="仿宋" w:eastAsia="仿宋"/>
                <w:color w:val="auto"/>
                <w:szCs w:val="21"/>
                <w:highlight w:val="none"/>
              </w:rPr>
            </w:pPr>
            <w:r>
              <w:rPr>
                <w:rFonts w:hint="eastAsia" w:ascii="仿宋" w:hAnsi="仿宋" w:eastAsia="仿宋"/>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auto"/>
                <w:szCs w:val="21"/>
                <w:highlight w:val="none"/>
              </w:rPr>
            </w:pPr>
          </w:p>
        </w:tc>
        <w:tc>
          <w:tcPr>
            <w:tcW w:w="1800" w:type="dxa"/>
            <w:noWrap/>
          </w:tcPr>
          <w:p>
            <w:pPr>
              <w:spacing w:after="60"/>
              <w:rPr>
                <w:rFonts w:ascii="仿宋" w:hAnsi="仿宋" w:eastAsia="仿宋"/>
                <w:color w:val="auto"/>
                <w:szCs w:val="21"/>
                <w:highlight w:val="none"/>
              </w:rPr>
            </w:pPr>
          </w:p>
        </w:tc>
        <w:tc>
          <w:tcPr>
            <w:tcW w:w="1260" w:type="dxa"/>
            <w:noWrap/>
          </w:tcPr>
          <w:p>
            <w:pPr>
              <w:spacing w:after="60"/>
              <w:rPr>
                <w:rFonts w:ascii="仿宋" w:hAnsi="仿宋" w:eastAsia="仿宋"/>
                <w:color w:val="auto"/>
                <w:szCs w:val="21"/>
                <w:highlight w:val="none"/>
              </w:rPr>
            </w:pPr>
          </w:p>
        </w:tc>
        <w:tc>
          <w:tcPr>
            <w:tcW w:w="3976" w:type="dxa"/>
            <w:noWrap/>
          </w:tcPr>
          <w:p>
            <w:pPr>
              <w:spacing w:after="60"/>
              <w:rPr>
                <w:rFonts w:ascii="仿宋" w:hAnsi="仿宋" w:eastAsia="仿宋"/>
                <w:color w:val="auto"/>
                <w:szCs w:val="21"/>
                <w:highlight w:val="none"/>
              </w:rPr>
            </w:pPr>
          </w:p>
        </w:tc>
      </w:tr>
    </w:tbl>
    <w:p>
      <w:pPr>
        <w:spacing w:after="60"/>
        <w:rPr>
          <w:rFonts w:ascii="仿宋" w:hAnsi="仿宋" w:eastAsia="仿宋"/>
          <w:color w:val="auto"/>
          <w:highlight w:val="none"/>
        </w:rPr>
      </w:pPr>
    </w:p>
    <w:p>
      <w:pPr>
        <w:spacing w:after="60"/>
        <w:rPr>
          <w:rFonts w:ascii="仿宋" w:hAnsi="仿宋" w:eastAsia="仿宋"/>
          <w:color w:val="auto"/>
          <w:highlight w:val="none"/>
        </w:rPr>
      </w:pP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投标供应商授权代表签字：________________________</w:t>
      </w:r>
    </w:p>
    <w:p>
      <w:pPr>
        <w:spacing w:after="60"/>
        <w:rPr>
          <w:rFonts w:ascii="仿宋" w:hAnsi="仿宋" w:eastAsia="仿宋" w:cs="Arial"/>
          <w:color w:val="auto"/>
          <w:szCs w:val="21"/>
          <w:highlight w:val="none"/>
        </w:rPr>
      </w:pPr>
    </w:p>
    <w:p>
      <w:pPr>
        <w:spacing w:after="60"/>
        <w:rPr>
          <w:rFonts w:ascii="仿宋" w:hAnsi="仿宋" w:eastAsia="仿宋" w:cs="Arial"/>
          <w:color w:val="auto"/>
          <w:szCs w:val="21"/>
          <w:highlight w:val="none"/>
        </w:rPr>
      </w:pPr>
    </w:p>
    <w:p>
      <w:pPr>
        <w:spacing w:after="60"/>
        <w:rPr>
          <w:rFonts w:ascii="仿宋" w:hAnsi="仿宋" w:eastAsia="仿宋" w:cs="Arial"/>
          <w:color w:val="auto"/>
          <w:szCs w:val="21"/>
          <w:highlight w:val="none"/>
        </w:rPr>
      </w:pPr>
    </w:p>
    <w:p>
      <w:pPr>
        <w:spacing w:after="60"/>
        <w:rPr>
          <w:rFonts w:ascii="仿宋" w:hAnsi="仿宋" w:eastAsia="仿宋" w:cs="Arial"/>
          <w:color w:val="auto"/>
          <w:szCs w:val="21"/>
          <w:highlight w:val="none"/>
        </w:rPr>
      </w:pPr>
    </w:p>
    <w:p>
      <w:pPr>
        <w:spacing w:after="60"/>
        <w:rPr>
          <w:rFonts w:ascii="仿宋" w:hAnsi="仿宋" w:eastAsia="仿宋" w:cs="Arial"/>
          <w:color w:val="auto"/>
          <w:szCs w:val="21"/>
          <w:highlight w:val="none"/>
        </w:rPr>
      </w:pPr>
      <w:r>
        <w:rPr>
          <w:rFonts w:hint="eastAsia" w:ascii="仿宋" w:hAnsi="仿宋" w:eastAsia="仿宋" w:cs="Arial"/>
          <w:color w:val="auto"/>
          <w:szCs w:val="21"/>
          <w:highlight w:val="none"/>
        </w:rPr>
        <w:t>投标供应商盖章：_________________________________</w:t>
      </w: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left"/>
        <w:rPr>
          <w:rFonts w:ascii="仿宋" w:hAnsi="仿宋" w:eastAsia="仿宋"/>
          <w:color w:val="auto"/>
          <w:sz w:val="24"/>
          <w:highlight w:val="none"/>
        </w:rPr>
      </w:pPr>
    </w:p>
    <w:p>
      <w:pPr>
        <w:jc w:val="center"/>
        <w:rPr>
          <w:rFonts w:ascii="黑体" w:hAnsi="黑体" w:eastAsia="黑体" w:cs="黑体"/>
          <w:color w:val="auto"/>
          <w:szCs w:val="30"/>
          <w:highlight w:val="none"/>
        </w:rPr>
      </w:pPr>
      <w:r>
        <w:rPr>
          <w:color w:val="auto"/>
          <w:sz w:val="24"/>
          <w:highlight w:val="none"/>
        </w:rPr>
        <w:br w:type="page"/>
      </w:r>
      <w:r>
        <w:rPr>
          <w:rFonts w:hint="eastAsia" w:eastAsia="宋体"/>
          <w:b/>
          <w:bCs/>
          <w:color w:val="auto"/>
          <w:kern w:val="0"/>
          <w:sz w:val="32"/>
          <w:szCs w:val="32"/>
          <w:highlight w:val="none"/>
        </w:rPr>
        <w:t>7.实施方案</w:t>
      </w:r>
    </w:p>
    <w:p>
      <w:pPr>
        <w:spacing w:after="60"/>
        <w:rPr>
          <w:rFonts w:ascii="仿宋" w:hAnsi="仿宋" w:eastAsia="仿宋" w:cs="仿宋"/>
          <w:color w:val="auto"/>
          <w:szCs w:val="21"/>
          <w:highlight w:val="none"/>
        </w:rPr>
      </w:pPr>
      <w:r>
        <w:rPr>
          <w:rFonts w:hint="eastAsia" w:ascii="仿宋" w:hAnsi="仿宋" w:eastAsia="仿宋" w:cs="仿宋"/>
          <w:color w:val="auto"/>
          <w:szCs w:val="21"/>
          <w:highlight w:val="none"/>
        </w:rPr>
        <w:t>投标人名称__________________</w:t>
      </w:r>
    </w:p>
    <w:p>
      <w:pPr>
        <w:spacing w:after="60"/>
        <w:rPr>
          <w:rFonts w:ascii="仿宋" w:hAnsi="仿宋" w:eastAsia="仿宋" w:cs="仿宋"/>
          <w:color w:val="auto"/>
          <w:szCs w:val="21"/>
          <w:highlight w:val="none"/>
        </w:rPr>
      </w:pPr>
      <w:r>
        <w:rPr>
          <w:rFonts w:hint="eastAsia" w:ascii="仿宋" w:hAnsi="仿宋" w:eastAsia="仿宋" w:cs="仿宋"/>
          <w:color w:val="auto"/>
          <w:szCs w:val="21"/>
          <w:highlight w:val="none"/>
        </w:rPr>
        <w:t>招标编号____________________</w:t>
      </w:r>
    </w:p>
    <w:p>
      <w:pPr>
        <w:rPr>
          <w:rFonts w:ascii="仿宋" w:hAnsi="仿宋" w:eastAsia="仿宋" w:cs="仿宋"/>
          <w:color w:val="auto"/>
          <w:highlight w:val="none"/>
        </w:rPr>
      </w:pPr>
    </w:p>
    <w:p>
      <w:pPr>
        <w:rPr>
          <w:rFonts w:ascii="仿宋" w:hAnsi="仿宋" w:eastAsia="仿宋" w:cs="仿宋"/>
          <w:color w:val="auto"/>
          <w:highlight w:val="none"/>
        </w:rPr>
      </w:pPr>
      <w:r>
        <w:rPr>
          <w:rFonts w:hint="eastAsia" w:ascii="仿宋" w:hAnsi="仿宋" w:eastAsia="仿宋" w:cs="仿宋"/>
          <w:color w:val="auto"/>
          <w:highlight w:val="none"/>
        </w:rPr>
        <w:t>主要内容应包括但不限于以下内容：</w:t>
      </w:r>
    </w:p>
    <w:p>
      <w:pPr>
        <w:jc w:val="left"/>
        <w:rPr>
          <w:rFonts w:ascii="仿宋" w:hAnsi="仿宋" w:eastAsia="仿宋"/>
          <w:color w:val="auto"/>
          <w:sz w:val="24"/>
          <w:highlight w:val="none"/>
        </w:rPr>
      </w:pPr>
    </w:p>
    <w:p>
      <w:pPr>
        <w:jc w:val="center"/>
        <w:rPr>
          <w:rFonts w:ascii="黑体" w:hAnsi="黑体" w:eastAsia="黑体" w:cs="黑体"/>
          <w:color w:val="auto"/>
          <w:szCs w:val="30"/>
          <w:highlight w:val="none"/>
        </w:rPr>
      </w:pPr>
      <w:r>
        <w:rPr>
          <w:color w:val="auto"/>
          <w:sz w:val="24"/>
          <w:highlight w:val="none"/>
        </w:rPr>
        <w:br w:type="page"/>
      </w:r>
      <w:bookmarkStart w:id="16" w:name="_Toc18801"/>
      <w:bookmarkStart w:id="17" w:name="_Toc51746112"/>
      <w:r>
        <w:rPr>
          <w:rFonts w:hint="eastAsia" w:eastAsia="宋体"/>
          <w:b/>
          <w:bCs/>
          <w:color w:val="auto"/>
          <w:kern w:val="0"/>
          <w:sz w:val="32"/>
          <w:szCs w:val="32"/>
          <w:highlight w:val="none"/>
        </w:rPr>
        <w:t>8.投标人诚信承诺函</w:t>
      </w:r>
      <w:bookmarkEnd w:id="16"/>
      <w:bookmarkEnd w:id="17"/>
    </w:p>
    <w:p>
      <w:pPr>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kern w:val="0"/>
          <w:szCs w:val="21"/>
          <w:highlight w:val="none"/>
        </w:rPr>
        <w:t>深圳市前海深港现代服务业合作区管理局：</w:t>
      </w:r>
    </w:p>
    <w:p>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我单位承诺近三年在采购招标投标活动中，不存在以下情形：</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（一）被纪检监察部门立案调查，违法违规事实成立的；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（二）未按本条例规定签订、履行采购合同，造成严重后果的；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（三）隐瞒真实情况，提供虚假资料的；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（四）以非法手段排斥其他供应商参与竞争的；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（五）与其他采购参加人串通投标的；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（六）在采购活动中应当回避而未回避的； </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（七）恶意投诉的； </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（八）向采购项目相关人行贿或者提供其他不当利益的； </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（九）阻碍、抗拒主管部门监督检查的；</w:t>
      </w:r>
    </w:p>
    <w:p>
      <w:pPr>
        <w:pStyle w:val="41"/>
        <w:tabs>
          <w:tab w:val="left" w:pos="567"/>
        </w:tabs>
        <w:spacing w:line="400" w:lineRule="exact"/>
        <w:ind w:left="42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（十）履约检查不合格或者评价为差的；</w:t>
      </w:r>
    </w:p>
    <w:p>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（十一）主管部门认定的其他情形。</w:t>
      </w:r>
    </w:p>
    <w:p>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特此承诺。</w:t>
      </w:r>
    </w:p>
    <w:p>
      <w:pPr>
        <w:spacing w:line="400" w:lineRule="exact"/>
        <w:ind w:firstLine="3150" w:firstLineChars="1500"/>
        <w:jc w:val="left"/>
        <w:rPr>
          <w:rFonts w:ascii="仿宋" w:hAnsi="仿宋" w:eastAsia="仿宋" w:cs="仿宋"/>
          <w:color w:val="auto"/>
          <w:szCs w:val="21"/>
          <w:highlight w:val="none"/>
        </w:rPr>
      </w:pPr>
    </w:p>
    <w:p>
      <w:pPr>
        <w:spacing w:line="400" w:lineRule="exact"/>
        <w:ind w:firstLine="3150" w:firstLineChars="1500"/>
        <w:jc w:val="left"/>
        <w:rPr>
          <w:rFonts w:ascii="仿宋" w:hAnsi="仿宋" w:eastAsia="仿宋" w:cs="仿宋"/>
          <w:color w:val="auto"/>
          <w:szCs w:val="21"/>
          <w:highlight w:val="none"/>
        </w:rPr>
      </w:pPr>
    </w:p>
    <w:p>
      <w:pPr>
        <w:spacing w:line="400" w:lineRule="exact"/>
        <w:ind w:firstLine="3150" w:firstLineChars="1500"/>
        <w:jc w:val="left"/>
        <w:rPr>
          <w:rFonts w:ascii="仿宋" w:hAnsi="仿宋" w:eastAsia="仿宋" w:cs="仿宋"/>
          <w:color w:val="auto"/>
          <w:szCs w:val="21"/>
          <w:highlight w:val="none"/>
        </w:rPr>
      </w:pPr>
    </w:p>
    <w:p>
      <w:pPr>
        <w:spacing w:line="400" w:lineRule="exact"/>
        <w:ind w:firstLine="3150" w:firstLineChars="1500"/>
        <w:jc w:val="left"/>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法定代表人或其授权委托人（</w:t>
      </w:r>
      <w:r>
        <w:rPr>
          <w:rFonts w:hint="eastAsia" w:ascii="仿宋" w:hAnsi="仿宋" w:eastAsia="仿宋" w:cs="仿宋"/>
          <w:b/>
          <w:color w:val="auto"/>
          <w:szCs w:val="21"/>
          <w:highlight w:val="none"/>
        </w:rPr>
        <w:t>签名</w:t>
      </w:r>
      <w:r>
        <w:rPr>
          <w:rFonts w:hint="eastAsia" w:ascii="仿宋" w:hAnsi="仿宋" w:eastAsia="仿宋" w:cs="仿宋"/>
          <w:color w:val="auto"/>
          <w:szCs w:val="21"/>
          <w:highlight w:val="none"/>
        </w:rPr>
        <w:t>）：</w:t>
      </w:r>
    </w:p>
    <w:p>
      <w:pPr>
        <w:spacing w:line="400" w:lineRule="exact"/>
        <w:jc w:val="left"/>
        <w:rPr>
          <w:rFonts w:ascii="仿宋" w:hAnsi="仿宋" w:eastAsia="仿宋" w:cs="仿宋"/>
          <w:color w:val="auto"/>
          <w:szCs w:val="21"/>
          <w:highlight w:val="none"/>
        </w:rPr>
      </w:pPr>
    </w:p>
    <w:p>
      <w:pPr>
        <w:spacing w:line="400" w:lineRule="exact"/>
        <w:ind w:firstLine="3150" w:firstLineChars="15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投标单位（</w:t>
      </w:r>
      <w:r>
        <w:rPr>
          <w:rFonts w:hint="eastAsia" w:ascii="仿宋" w:hAnsi="仿宋" w:eastAsia="仿宋" w:cs="仿宋"/>
          <w:b/>
          <w:color w:val="auto"/>
          <w:szCs w:val="21"/>
          <w:highlight w:val="none"/>
        </w:rPr>
        <w:t>盖公章</w:t>
      </w:r>
      <w:r>
        <w:rPr>
          <w:rFonts w:hint="eastAsia" w:ascii="仿宋" w:hAnsi="仿宋" w:eastAsia="仿宋" w:cs="仿宋"/>
          <w:color w:val="auto"/>
          <w:szCs w:val="21"/>
          <w:highlight w:val="none"/>
        </w:rPr>
        <w:t>）：</w:t>
      </w:r>
    </w:p>
    <w:p>
      <w:pPr>
        <w:spacing w:line="400" w:lineRule="exact"/>
        <w:jc w:val="left"/>
        <w:rPr>
          <w:rFonts w:ascii="仿宋" w:hAnsi="仿宋" w:eastAsia="仿宋" w:cs="仿宋"/>
          <w:color w:val="auto"/>
          <w:szCs w:val="21"/>
          <w:highlight w:val="none"/>
        </w:rPr>
      </w:pPr>
    </w:p>
    <w:p>
      <w:pPr>
        <w:spacing w:line="400" w:lineRule="exact"/>
        <w:jc w:val="right"/>
        <w:rPr>
          <w:rFonts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pPr>
        <w:jc w:val="left"/>
        <w:rPr>
          <w:rFonts w:ascii="仿宋" w:hAnsi="仿宋" w:eastAsia="仿宋"/>
          <w:color w:val="auto"/>
          <w:sz w:val="24"/>
          <w:highlight w:val="none"/>
        </w:rPr>
      </w:pPr>
    </w:p>
    <w:p>
      <w:pPr>
        <w:jc w:val="center"/>
        <w:rPr>
          <w:color w:val="auto"/>
          <w:highlight w:val="none"/>
        </w:rPr>
      </w:pPr>
      <w:r>
        <w:rPr>
          <w:color w:val="auto"/>
          <w:sz w:val="24"/>
          <w:highlight w:val="none"/>
        </w:rPr>
        <w:br w:type="page"/>
      </w:r>
      <w:bookmarkStart w:id="18" w:name="_Toc28891"/>
      <w:bookmarkStart w:id="19" w:name="_Toc51746113"/>
      <w:r>
        <w:rPr>
          <w:rFonts w:hint="eastAsia" w:eastAsia="宋体"/>
          <w:b/>
          <w:bCs/>
          <w:color w:val="auto"/>
          <w:kern w:val="0"/>
          <w:sz w:val="32"/>
          <w:szCs w:val="32"/>
          <w:highlight w:val="none"/>
        </w:rPr>
        <w:t>9.用户需求响应表</w:t>
      </w:r>
      <w:bookmarkEnd w:id="18"/>
      <w:bookmarkEnd w:id="19"/>
    </w:p>
    <w:p>
      <w:pPr>
        <w:ind w:firstLine="420" w:firstLineChars="200"/>
        <w:rPr>
          <w:rFonts w:ascii="仿宋" w:hAnsi="仿宋" w:eastAsia="仿宋" w:cs="仿宋"/>
          <w:color w:val="auto"/>
          <w:highlight w:val="none"/>
        </w:rPr>
      </w:pPr>
      <w:r>
        <w:rPr>
          <w:rFonts w:hint="eastAsia" w:ascii="仿宋" w:hAnsi="仿宋" w:eastAsia="仿宋" w:cs="仿宋"/>
          <w:color w:val="auto"/>
          <w:highlight w:val="none"/>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pPr>
        <w:rPr>
          <w:color w:val="auto"/>
          <w:highlight w:val="none"/>
        </w:rPr>
      </w:pPr>
    </w:p>
    <w:p>
      <w:pPr>
        <w:pStyle w:val="43"/>
        <w:outlineLvl w:val="3"/>
        <w:rPr>
          <w:rFonts w:ascii="楷体" w:hAnsi="楷体" w:eastAsia="楷体" w:cs="楷体"/>
          <w:b w:val="0"/>
          <w:bCs w:val="0"/>
          <w:color w:val="auto"/>
          <w:highlight w:val="none"/>
        </w:rPr>
      </w:pPr>
      <w:r>
        <w:rPr>
          <w:rFonts w:hint="eastAsia" w:ascii="楷体" w:hAnsi="楷体" w:eastAsia="楷体" w:cs="楷体"/>
          <w:b w:val="0"/>
          <w:bCs w:val="0"/>
          <w:color w:val="auto"/>
          <w:highlight w:val="none"/>
        </w:rPr>
        <w:t>用户需求响应表</w:t>
      </w:r>
    </w:p>
    <w:p>
      <w:pPr>
        <w:spacing w:line="400" w:lineRule="exact"/>
        <w:rPr>
          <w:rFonts w:ascii="仿宋" w:hAnsi="仿宋" w:eastAsia="仿宋" w:cs="仿宋"/>
          <w:color w:val="auto"/>
          <w:highlight w:val="none"/>
        </w:rPr>
      </w:pPr>
      <w:r>
        <w:rPr>
          <w:rFonts w:hint="eastAsia" w:ascii="仿宋" w:hAnsi="仿宋" w:eastAsia="仿宋" w:cs="仿宋"/>
          <w:bCs/>
          <w:color w:val="auto"/>
          <w:highlight w:val="none"/>
        </w:rPr>
        <w:t>招标编号：</w:t>
      </w:r>
    </w:p>
    <w:p>
      <w:pPr>
        <w:spacing w:line="400" w:lineRule="exact"/>
        <w:ind w:left="618" w:hanging="618"/>
        <w:rPr>
          <w:rFonts w:ascii="仿宋" w:hAnsi="仿宋" w:eastAsia="仿宋" w:cs="仿宋"/>
          <w:bCs/>
          <w:color w:val="auto"/>
          <w:highlight w:val="none"/>
        </w:rPr>
      </w:pPr>
      <w:r>
        <w:rPr>
          <w:rFonts w:hint="eastAsia" w:ascii="仿宋" w:hAnsi="仿宋" w:eastAsia="仿宋" w:cs="仿宋"/>
          <w:color w:val="auto"/>
          <w:highlight w:val="none"/>
        </w:rPr>
        <w:t>[说明]投标人应对照招标文件要求与投标的实际情况对招标文件中“用户需求书”的条款内容作全面响应</w:t>
      </w:r>
      <w:r>
        <w:rPr>
          <w:rFonts w:hint="eastAsia" w:ascii="仿宋" w:hAnsi="仿宋" w:eastAsia="仿宋" w:cs="仿宋"/>
          <w:b/>
          <w:bCs/>
          <w:color w:val="auto"/>
          <w:highlight w:val="none"/>
        </w:rPr>
        <w:t>（按第五章技术要求和商务要求逐条响应，包括技术和商务的所有内容）</w:t>
      </w:r>
      <w:r>
        <w:rPr>
          <w:rFonts w:hint="eastAsia" w:ascii="仿宋" w:hAnsi="仿宋" w:eastAsia="仿宋" w:cs="仿宋"/>
          <w:color w:val="auto"/>
          <w:highlight w:val="none"/>
        </w:rPr>
        <w:t>。</w:t>
      </w:r>
    </w:p>
    <w:tbl>
      <w:tblPr>
        <w:tblStyle w:val="18"/>
        <w:tblW w:w="93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2"/>
        <w:gridCol w:w="6472"/>
        <w:gridCol w:w="1110"/>
        <w:gridCol w:w="1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2" w:type="dxa"/>
            <w:shd w:val="clear" w:color="auto" w:fill="FFFFFF"/>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472" w:type="dxa"/>
            <w:shd w:val="clear" w:color="auto" w:fill="FFFFFF"/>
            <w:noWrap/>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招标文件条款描述</w:t>
            </w:r>
          </w:p>
        </w:tc>
        <w:tc>
          <w:tcPr>
            <w:tcW w:w="1110" w:type="dxa"/>
            <w:shd w:val="clear" w:color="auto" w:fill="FFFFFF"/>
            <w:noWrap/>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投标人响应描述</w:t>
            </w:r>
          </w:p>
        </w:tc>
        <w:tc>
          <w:tcPr>
            <w:tcW w:w="1174" w:type="dxa"/>
            <w:shd w:val="clear" w:color="auto" w:fill="FFFFFF"/>
            <w:noWrap/>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偏离情况说明</w:t>
            </w:r>
          </w:p>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numPr>
                <w:ilvl w:val="-1"/>
                <w:numId w:val="0"/>
              </w:numPr>
              <w:spacing w:before="0" w:beforeAutospacing="0" w:after="0" w:afterAutospacing="0" w:line="360" w:lineRule="auto"/>
              <w:ind w:left="420" w:firstLine="0"/>
              <w:outlineLvl w:val="1"/>
              <w:rPr>
                <w:rFonts w:ascii="仿宋" w:hAnsi="仿宋" w:eastAsia="仿宋"/>
                <w:b/>
                <w:color w:val="auto"/>
                <w:sz w:val="21"/>
                <w:szCs w:val="21"/>
                <w:highlight w:val="none"/>
              </w:rPr>
            </w:pPr>
            <w:r>
              <w:rPr>
                <w:rFonts w:hint="eastAsia" w:ascii="仿宋" w:hAnsi="仿宋" w:eastAsia="仿宋"/>
                <w:b/>
                <w:color w:val="auto"/>
                <w:sz w:val="21"/>
                <w:szCs w:val="21"/>
                <w:highlight w:val="none"/>
                <w:lang w:eastAsia="zh-CN"/>
              </w:rPr>
              <w:t>二、</w:t>
            </w:r>
            <w:r>
              <w:rPr>
                <w:rFonts w:hint="eastAsia" w:ascii="仿宋" w:hAnsi="仿宋" w:eastAsia="仿宋"/>
                <w:b/>
                <w:color w:val="auto"/>
                <w:sz w:val="21"/>
                <w:szCs w:val="21"/>
                <w:highlight w:val="none"/>
              </w:rPr>
              <w:t>技术要求</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（一）工作内容及标准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1.工作内容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对“一带一路”法治地图微观平台已查明、检索、翻译的沿线64个国家和地区的法律/判例、法规和政策及相关法律知识进行维护更新，为政府、企业、学术机构和个人提供有关“一带一路”贸易和投资领域的专业、及时的法律知识服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2.工作标准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（1）总量</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“一带一路”法治地图平台已搭载法律/判例、法规和政策内容体量约890万字，按照年修订更新率4%-5%测算，全年修订、更新的内容体量应当不少于40万字（以外文计）。</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（2）内容</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沿线国家和地区法律/判例、法规和政策按照其适用范围的大小和法律位阶的高低进行详略区分：</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按法律渊源的正式性和非正式性进行分类，优先修订、更新具有正式法律渊源的，其他只具有引导性的政策和学术研究按其影响程度予以考虑是否修订、更新；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优先修订、更新国家立法机关制定的法律和具有普遍法律约束力的判例，其他地方立法机关和不具有普遍约束力的判例按其影响程度和重要性予以考虑是否修订、更新。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eastAsia="zh-CN" w:bidi="ar"/>
              </w:rPr>
              <w:t>（</w:t>
            </w:r>
            <w:r>
              <w:rPr>
                <w:rFonts w:hint="eastAsia" w:ascii="仿宋" w:hAnsi="仿宋" w:eastAsia="仿宋" w:cs="仿宋"/>
                <w:kern w:val="0"/>
                <w:szCs w:val="21"/>
                <w:lang w:val="en-US" w:eastAsia="zh-CN" w:bidi="ar"/>
              </w:rPr>
              <w:t>3</w:t>
            </w:r>
            <w:r>
              <w:rPr>
                <w:rFonts w:hint="eastAsia" w:ascii="仿宋" w:hAnsi="仿宋" w:eastAsia="仿宋" w:cs="仿宋"/>
                <w:kern w:val="0"/>
                <w:szCs w:val="21"/>
                <w:lang w:eastAsia="zh-CN" w:bidi="ar"/>
              </w:rPr>
              <w:t>）</w:t>
            </w:r>
            <w:r>
              <w:rPr>
                <w:rFonts w:hint="eastAsia" w:ascii="仿宋" w:hAnsi="仿宋" w:eastAsia="仿宋" w:cs="仿宋"/>
                <w:kern w:val="0"/>
                <w:szCs w:val="21"/>
                <w:lang w:bidi="ar"/>
              </w:rPr>
              <w:t>建设原则</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第一，专业性：微观法治地图所修订、更新的沿线国家和地区法律/判例、法规和政策应当以商事经贸类为主，并按照法律法规调整的具体领域分类修订、更新：</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优先修订、更新该国与投资、贸易、金融和税收相关的法律法规及政策，并按其在司法活动中使用的频次和涉及范围的广度和对经贸活动影响的深度进行详略修订、更新；优先修订、更新与中国签订的并已生效的涉及国际经贸投资的双边、多边协定和条约；对和经贸联系密切的劳工保护、知识产权保护、人权保护等法律或规定也有所涉及。</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第二，完整性：已确认修订、更新的国家和地区法律/判例、法规和政策应当内容完整。</w:t>
            </w:r>
          </w:p>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第三，实用性：微观法治地图平台所涉法律/判例、法规、政策致力于规避法律风险和解决社会纠纷。</w:t>
            </w:r>
          </w:p>
          <w:p>
            <w:pPr>
              <w:pStyle w:val="15"/>
              <w:tabs>
                <w:tab w:val="left" w:pos="3495"/>
              </w:tabs>
              <w:spacing w:before="0" w:beforeAutospacing="0" w:after="0" w:afterAutospacing="0"/>
              <w:jc w:val="both"/>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r>
              <w:rPr>
                <w:rFonts w:hint="eastAsia" w:ascii="宋体" w:hAnsi="宋体" w:eastAsia="宋体" w:cs="宋体"/>
                <w:b/>
                <w:color w:val="auto"/>
                <w:sz w:val="21"/>
                <w:szCs w:val="21"/>
                <w:highlight w:val="none"/>
              </w:rPr>
              <w:t>（投标人根据自身实际情况逐条进行响应，并填写响应的具体内容）</w:t>
            </w:r>
          </w:p>
        </w:tc>
        <w:tc>
          <w:tcPr>
            <w:tcW w:w="1174" w:type="dxa"/>
            <w:noWrap/>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spacing w:line="360" w:lineRule="auto"/>
              <w:ind w:firstLine="411" w:firstLineChars="196"/>
              <w:rPr>
                <w:rFonts w:hint="eastAsia" w:ascii="仿宋" w:hAnsi="仿宋" w:eastAsia="仿宋" w:cs="仿宋"/>
                <w:kern w:val="0"/>
                <w:szCs w:val="21"/>
              </w:rPr>
            </w:pPr>
            <w:r>
              <w:rPr>
                <w:rFonts w:hint="eastAsia" w:ascii="仿宋" w:hAnsi="仿宋" w:eastAsia="仿宋" w:cs="仿宋"/>
                <w:kern w:val="0"/>
                <w:szCs w:val="21"/>
                <w:lang w:bidi="ar"/>
              </w:rPr>
              <w:t>（二）工作进度及阶段性成果要求</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847"/>
              <w:gridCol w:w="1588"/>
              <w:gridCol w:w="1800"/>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序号</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工作阶段</w:t>
                  </w:r>
                </w:p>
              </w:tc>
              <w:tc>
                <w:tcPr>
                  <w:tcW w:w="12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成果构成</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成果提交时间</w:t>
                  </w:r>
                </w:p>
              </w:tc>
              <w:tc>
                <w:tcPr>
                  <w:tcW w:w="1187" w:type="pct"/>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成果验收方式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jc w:val="center"/>
              </w:trPr>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一</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中期成果</w:t>
                  </w:r>
                </w:p>
              </w:tc>
              <w:tc>
                <w:tcPr>
                  <w:tcW w:w="12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lang w:bidi="ar"/>
                    </w:rPr>
                    <w:t>提交中期完工报告</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合同签订后6个月内</w:t>
                  </w:r>
                </w:p>
              </w:tc>
              <w:tc>
                <w:tcPr>
                  <w:tcW w:w="11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完工报告通过前海管理局审查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二</w:t>
                  </w:r>
                </w:p>
              </w:tc>
              <w:tc>
                <w:tcPr>
                  <w:tcW w:w="67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最终成果</w:t>
                  </w:r>
                </w:p>
              </w:tc>
              <w:tc>
                <w:tcPr>
                  <w:tcW w:w="127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仿宋" w:hAnsi="仿宋" w:eastAsia="仿宋" w:cs="仿宋"/>
                      <w:sz w:val="21"/>
                      <w:szCs w:val="21"/>
                    </w:rPr>
                  </w:pPr>
                  <w:r>
                    <w:rPr>
                      <w:rFonts w:hint="eastAsia" w:ascii="仿宋" w:hAnsi="仿宋" w:eastAsia="仿宋" w:cs="仿宋"/>
                      <w:sz w:val="21"/>
                      <w:szCs w:val="21"/>
                      <w:lang w:bidi="ar"/>
                    </w:rPr>
                    <w:t>提交终期完工报告</w:t>
                  </w:r>
                </w:p>
              </w:tc>
              <w:tc>
                <w:tcPr>
                  <w:tcW w:w="14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合同服务期限届满日之前</w:t>
                  </w:r>
                </w:p>
              </w:tc>
              <w:tc>
                <w:tcPr>
                  <w:tcW w:w="11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bidi="ar"/>
                    </w:rPr>
                    <w:t>完工报告通过前海管理局审查</w:t>
                  </w:r>
                </w:p>
              </w:tc>
            </w:tr>
          </w:tbl>
          <w:p>
            <w:pPr>
              <w:pStyle w:val="15"/>
              <w:spacing w:beforeAutospacing="0" w:afterAutospacing="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b/>
                <w:color w:val="auto"/>
                <w:sz w:val="21"/>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ind w:firstLine="480" w:firstLineChars="200"/>
              <w:rPr>
                <w:rFonts w:hint="eastAsia" w:ascii="仿宋" w:hAnsi="仿宋" w:eastAsia="仿宋" w:cs="仿宋"/>
                <w:kern w:val="0"/>
                <w:szCs w:val="21"/>
              </w:rPr>
            </w:pPr>
            <w:r>
              <w:rPr>
                <w:rFonts w:hint="eastAsia" w:ascii="仿宋" w:hAnsi="仿宋" w:eastAsia="仿宋" w:cs="仿宋"/>
                <w:kern w:val="0"/>
                <w:szCs w:val="21"/>
                <w:lang w:bidi="ar"/>
              </w:rPr>
              <w:t>（三）项目成果要求</w:t>
            </w:r>
          </w:p>
          <w:p>
            <w:pPr>
              <w:pStyle w:val="15"/>
              <w:numPr>
                <w:ilvl w:val="-1"/>
                <w:numId w:val="0"/>
              </w:numPr>
              <w:spacing w:before="0" w:beforeAutospacing="0" w:after="0" w:afterAutospacing="0" w:line="360" w:lineRule="auto"/>
              <w:ind w:firstLine="420" w:firstLineChars="200"/>
              <w:jc w:val="left"/>
              <w:outlineLvl w:val="9"/>
              <w:rPr>
                <w:rFonts w:hint="eastAsia" w:ascii="宋体" w:hAnsi="宋体" w:eastAsia="宋体" w:cs="宋体"/>
                <w:bCs/>
                <w:color w:val="auto"/>
                <w:sz w:val="21"/>
                <w:szCs w:val="21"/>
                <w:highlight w:val="none"/>
              </w:rPr>
            </w:pPr>
            <w:r>
              <w:rPr>
                <w:rFonts w:hint="eastAsia" w:ascii="仿宋" w:hAnsi="仿宋" w:eastAsia="仿宋" w:cs="仿宋"/>
                <w:kern w:val="2"/>
                <w:sz w:val="21"/>
                <w:szCs w:val="21"/>
              </w:rPr>
              <w:t>最终成果验收合格的标志为采购人审查通过。</w:t>
            </w:r>
          </w:p>
        </w:tc>
        <w:tc>
          <w:tcPr>
            <w:tcW w:w="1110" w:type="dxa"/>
            <w:noWrap/>
            <w:vAlign w:val="center"/>
          </w:tcPr>
          <w:p>
            <w:pPr>
              <w:rPr>
                <w:rFonts w:hint="eastAsia" w:ascii="宋体" w:hAnsi="宋体" w:eastAsia="宋体" w:cs="宋体"/>
                <w:b/>
                <w:color w:val="auto"/>
                <w:sz w:val="21"/>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（四）项目人员组成</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中标人需根据项目内容组建专业团队负责本项目工作，包含内容策划团队、数据采集团队、翻译团队、技术保障团队。</w:t>
            </w:r>
          </w:p>
          <w:p>
            <w:pPr>
              <w:pStyle w:val="15"/>
              <w:spacing w:before="0" w:beforeAutospacing="0" w:after="0" w:afterAutospacing="0"/>
              <w:jc w:val="both"/>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b/>
                <w:color w:val="auto"/>
                <w:sz w:val="21"/>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3"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ind w:firstLine="484" w:firstLineChars="202"/>
              <w:rPr>
                <w:rFonts w:hint="eastAsia" w:ascii="仿宋" w:hAnsi="仿宋" w:eastAsia="仿宋" w:cs="仿宋"/>
                <w:kern w:val="0"/>
                <w:szCs w:val="21"/>
              </w:rPr>
            </w:pPr>
            <w:r>
              <w:rPr>
                <w:rFonts w:hint="eastAsia" w:ascii="仿宋" w:hAnsi="仿宋" w:eastAsia="仿宋" w:cs="仿宋"/>
                <w:kern w:val="0"/>
                <w:szCs w:val="21"/>
                <w:lang w:bidi="ar"/>
              </w:rPr>
              <w:t>（五）其他服务方面</w:t>
            </w:r>
          </w:p>
          <w:p>
            <w:pPr>
              <w:pStyle w:val="15"/>
              <w:spacing w:before="0" w:beforeAutospacing="0" w:after="0" w:afterAutospacing="0" w:line="360" w:lineRule="auto"/>
              <w:ind w:firstLine="424" w:firstLineChars="202"/>
              <w:rPr>
                <w:rFonts w:hint="eastAsia" w:ascii="仿宋" w:hAnsi="仿宋" w:eastAsia="仿宋" w:cs="仿宋"/>
                <w:sz w:val="21"/>
                <w:szCs w:val="21"/>
              </w:rPr>
            </w:pPr>
            <w:r>
              <w:rPr>
                <w:rFonts w:hint="eastAsia" w:ascii="仿宋" w:hAnsi="仿宋" w:eastAsia="仿宋" w:cs="仿宋"/>
                <w:sz w:val="21"/>
                <w:szCs w:val="21"/>
              </w:rPr>
              <w:t>1.项目中标通知书发放之日即为工作启动时间。</w:t>
            </w:r>
          </w:p>
          <w:p>
            <w:pPr>
              <w:pStyle w:val="15"/>
              <w:numPr>
                <w:ilvl w:val="-1"/>
                <w:numId w:val="0"/>
              </w:numPr>
              <w:spacing w:before="0" w:beforeAutospacing="0" w:after="0" w:afterAutospacing="0" w:line="360" w:lineRule="auto"/>
              <w:ind w:left="0" w:firstLine="424" w:firstLineChars="202"/>
              <w:jc w:val="left"/>
              <w:rPr>
                <w:rFonts w:hint="eastAsia" w:ascii="宋体" w:hAnsi="宋体" w:eastAsia="宋体" w:cs="宋体"/>
                <w:color w:val="auto"/>
                <w:sz w:val="21"/>
                <w:szCs w:val="21"/>
                <w:highlight w:val="none"/>
                <w:lang w:val="zh-TW" w:bidi="zh-TW"/>
              </w:rPr>
            </w:pPr>
            <w:r>
              <w:rPr>
                <w:rFonts w:hint="eastAsia" w:ascii="仿宋" w:hAnsi="仿宋" w:eastAsia="仿宋" w:cs="仿宋"/>
                <w:sz w:val="21"/>
                <w:szCs w:val="21"/>
              </w:rPr>
              <w:t>2.若由于中标人原因造成工作进度延迟，工作成果质量低劣，不能满足采购人工作需要和项目评审要求时，采购人有权终止合同，并根据中标人已完成的实际工作量，按相应工作阶段支付相关费用。同时，中标人应将已完成的阶段性成果移交给采购人。</w:t>
            </w:r>
          </w:p>
        </w:tc>
        <w:tc>
          <w:tcPr>
            <w:tcW w:w="1110" w:type="dxa"/>
            <w:noWrap/>
            <w:vAlign w:val="center"/>
          </w:tcPr>
          <w:p>
            <w:pPr>
              <w:rPr>
                <w:rFonts w:hint="eastAsia" w:ascii="宋体" w:hAnsi="宋体" w:eastAsia="宋体" w:cs="宋体"/>
                <w:b/>
                <w:color w:val="auto"/>
                <w:sz w:val="21"/>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2" w:firstLineChars="200"/>
              <w:outlineLvl w:val="1"/>
              <w:rPr>
                <w:rFonts w:ascii="仿宋" w:hAnsi="仿宋" w:eastAsia="仿宋"/>
                <w:b/>
                <w:color w:val="auto"/>
                <w:sz w:val="21"/>
                <w:szCs w:val="21"/>
                <w:highlight w:val="none"/>
              </w:rPr>
            </w:pPr>
            <w:r>
              <w:rPr>
                <w:rFonts w:hint="eastAsia" w:ascii="仿宋" w:hAnsi="仿宋" w:eastAsia="仿宋"/>
                <w:b/>
                <w:color w:val="auto"/>
                <w:sz w:val="21"/>
                <w:szCs w:val="21"/>
                <w:highlight w:val="none"/>
              </w:rPr>
              <w:t>三、商务要求</w:t>
            </w:r>
          </w:p>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（一）项目预算（限额）</w:t>
            </w:r>
          </w:p>
          <w:p>
            <w:pPr>
              <w:pStyle w:val="15"/>
              <w:spacing w:before="0" w:beforeAutospacing="0" w:after="0" w:afterAutospacing="0"/>
              <w:ind w:firstLine="420" w:firstLineChars="200"/>
              <w:jc w:val="both"/>
              <w:rPr>
                <w:rFonts w:hint="eastAsia" w:ascii="宋体" w:hAnsi="宋体" w:eastAsia="宋体" w:cs="宋体"/>
                <w:snapToGrid w:val="0"/>
                <w:color w:val="auto"/>
                <w:sz w:val="21"/>
                <w:szCs w:val="21"/>
                <w:highlight w:val="none"/>
              </w:rPr>
            </w:pPr>
            <w:r>
              <w:rPr>
                <w:rFonts w:hint="eastAsia" w:ascii="仿宋" w:hAnsi="仿宋" w:eastAsia="仿宋"/>
                <w:bCs/>
                <w:color w:val="auto"/>
                <w:sz w:val="21"/>
                <w:szCs w:val="21"/>
                <w:highlight w:val="none"/>
              </w:rPr>
              <w:t>人民币</w:t>
            </w:r>
            <w:r>
              <w:rPr>
                <w:rFonts w:hint="eastAsia" w:ascii="仿宋" w:hAnsi="仿宋" w:eastAsia="仿宋"/>
                <w:bCs/>
                <w:color w:val="auto"/>
                <w:sz w:val="21"/>
                <w:szCs w:val="21"/>
                <w:highlight w:val="none"/>
                <w:lang w:eastAsia="zh-CN"/>
              </w:rPr>
              <w:t>捌拾万元整</w:t>
            </w:r>
            <w:r>
              <w:rPr>
                <w:rFonts w:hint="eastAsia" w:ascii="仿宋" w:hAnsi="仿宋" w:eastAsia="仿宋"/>
                <w:bCs/>
                <w:color w:val="auto"/>
                <w:sz w:val="21"/>
                <w:szCs w:val="21"/>
                <w:highlight w:val="none"/>
              </w:rPr>
              <w:t>（￥</w:t>
            </w:r>
            <w:r>
              <w:rPr>
                <w:rFonts w:hint="eastAsia" w:ascii="仿宋" w:hAnsi="仿宋" w:eastAsia="仿宋"/>
                <w:bCs/>
                <w:color w:val="auto"/>
                <w:sz w:val="21"/>
                <w:szCs w:val="21"/>
                <w:highlight w:val="none"/>
                <w:lang w:val="en-US" w:eastAsia="zh-CN"/>
              </w:rPr>
              <w:t>8</w:t>
            </w:r>
            <w:r>
              <w:rPr>
                <w:rFonts w:hint="eastAsia" w:ascii="仿宋" w:hAnsi="仿宋" w:eastAsia="仿宋"/>
                <w:bCs/>
                <w:color w:val="auto"/>
                <w:sz w:val="21"/>
                <w:szCs w:val="21"/>
                <w:highlight w:val="none"/>
              </w:rPr>
              <w:t>00,000.00元）</w:t>
            </w:r>
            <w:r>
              <w:rPr>
                <w:rFonts w:hint="eastAsia" w:ascii="仿宋" w:hAnsi="仿宋" w:eastAsia="仿宋"/>
                <w:bCs/>
                <w:color w:val="auto"/>
                <w:sz w:val="21"/>
                <w:szCs w:val="21"/>
                <w:highlight w:val="none"/>
                <w:lang w:eastAsia="zh-CN"/>
              </w:rPr>
              <w:t>，投标报价为人民币报价，本次投标为总价包干，投标报价包括了投标人完成本招标项目而发生的全部费用。</w:t>
            </w: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（二）最终成果及验收方式</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《2022年度“一带一路”法治地图</w:t>
            </w:r>
            <w:r>
              <w:rPr>
                <w:rFonts w:hint="eastAsia" w:ascii="仿宋" w:hAnsi="仿宋" w:eastAsia="仿宋"/>
                <w:b w:val="0"/>
                <w:bCs/>
                <w:color w:val="auto"/>
                <w:sz w:val="21"/>
                <w:szCs w:val="21"/>
                <w:highlight w:val="none"/>
                <w:lang w:eastAsia="zh-CN"/>
              </w:rPr>
              <w:t>运营维护更新</w:t>
            </w:r>
            <w:r>
              <w:rPr>
                <w:rFonts w:hint="eastAsia" w:ascii="仿宋" w:hAnsi="仿宋" w:eastAsia="仿宋"/>
                <w:b w:val="0"/>
                <w:bCs/>
                <w:color w:val="auto"/>
                <w:sz w:val="21"/>
                <w:szCs w:val="21"/>
                <w:highlight w:val="none"/>
              </w:rPr>
              <w:t>项目完工报告》。</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甲方应在乙方提交项目总结报告后</w:t>
            </w:r>
            <w:r>
              <w:rPr>
                <w:rFonts w:hint="eastAsia" w:ascii="仿宋" w:hAnsi="仿宋" w:eastAsia="仿宋"/>
                <w:b w:val="0"/>
                <w:bCs/>
                <w:color w:val="auto"/>
                <w:sz w:val="21"/>
                <w:szCs w:val="21"/>
                <w:highlight w:val="none"/>
                <w:lang w:eastAsia="zh-CN"/>
              </w:rPr>
              <w:t>15个工作日</w:t>
            </w:r>
            <w:r>
              <w:rPr>
                <w:rFonts w:hint="eastAsia" w:ascii="仿宋" w:hAnsi="仿宋" w:eastAsia="仿宋"/>
                <w:b w:val="0"/>
                <w:bCs/>
                <w:color w:val="auto"/>
                <w:sz w:val="21"/>
                <w:szCs w:val="21"/>
                <w:highlight w:val="none"/>
              </w:rPr>
              <w:t>内组织召开专家评审会对总结报告进行评审。</w:t>
            </w:r>
          </w:p>
          <w:p>
            <w:pPr>
              <w:pStyle w:val="15"/>
              <w:spacing w:before="0" w:beforeAutospacing="0" w:after="0" w:afterAutospacing="0" w:line="360" w:lineRule="auto"/>
              <w:ind w:firstLine="420" w:firstLineChars="200"/>
              <w:outlineLvl w:val="9"/>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rPr>
              <w:t>最终成果验收合格的标志为</w:t>
            </w:r>
            <w:r>
              <w:rPr>
                <w:rFonts w:hint="eastAsia" w:ascii="仿宋" w:hAnsi="仿宋" w:eastAsia="仿宋"/>
                <w:b w:val="0"/>
                <w:bCs/>
                <w:color w:val="auto"/>
                <w:sz w:val="21"/>
                <w:szCs w:val="21"/>
                <w:highlight w:val="none"/>
                <w:lang w:eastAsia="zh-CN"/>
              </w:rPr>
              <w:t>采购人</w:t>
            </w:r>
            <w:r>
              <w:rPr>
                <w:rFonts w:hint="eastAsia" w:ascii="仿宋" w:hAnsi="仿宋" w:eastAsia="仿宋"/>
                <w:b w:val="0"/>
                <w:bCs/>
                <w:color w:val="auto"/>
                <w:sz w:val="21"/>
                <w:szCs w:val="21"/>
                <w:highlight w:val="none"/>
              </w:rPr>
              <w:t>审查通过。</w:t>
            </w:r>
          </w:p>
          <w:p>
            <w:pPr>
              <w:pStyle w:val="15"/>
              <w:spacing w:before="0" w:beforeAutospacing="0" w:after="0" w:afterAutospacing="0"/>
              <w:jc w:val="both"/>
              <w:rPr>
                <w:rFonts w:hint="eastAsia" w:ascii="宋体" w:hAnsi="宋体" w:eastAsia="宋体" w:cs="宋体"/>
                <w:snapToGrid w:val="0"/>
                <w:color w:val="auto"/>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（三）报价组成及支付方式</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1.报价</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中标人合同费用应包括项目研究、成果报告编制及后续服务等过程中的全部费用。在合同实施期间，除另签补充合同外，不接受中标人以任何理由、任何名目提出增加费用的要求。</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本项目报价包含但不限于：</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项目产生的快递费用；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项目调查及资料印制费用；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办公费用；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通讯费用；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市内交通费用； 项目成果文本印刷费用；</w:t>
            </w:r>
            <w:r>
              <w:rPr>
                <w:rFonts w:hint="eastAsia" w:ascii="仿宋" w:hAnsi="仿宋" w:eastAsia="仿宋"/>
                <w:bCs/>
                <w:color w:val="auto"/>
                <w:sz w:val="21"/>
                <w:szCs w:val="21"/>
                <w:highlight w:val="none"/>
              </w:rPr>
              <w:sym w:font="Wingdings 2" w:char="F052"/>
            </w:r>
            <w:r>
              <w:rPr>
                <w:rFonts w:hint="eastAsia" w:ascii="仿宋" w:hAnsi="仿宋" w:eastAsia="仿宋"/>
                <w:bCs/>
                <w:color w:val="auto"/>
                <w:sz w:val="21"/>
                <w:szCs w:val="21"/>
                <w:highlight w:val="none"/>
              </w:rPr>
              <w:t>评审会费用。</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2.支付方式</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合同价款由采购人分</w:t>
            </w:r>
            <w:r>
              <w:rPr>
                <w:rFonts w:hint="eastAsia" w:ascii="仿宋" w:hAnsi="仿宋" w:eastAsia="仿宋"/>
                <w:bCs/>
                <w:color w:val="auto"/>
                <w:sz w:val="21"/>
                <w:szCs w:val="21"/>
                <w:highlight w:val="none"/>
                <w:lang w:val="en-US" w:eastAsia="zh-CN"/>
              </w:rPr>
              <w:t>2</w:t>
            </w:r>
            <w:r>
              <w:rPr>
                <w:rFonts w:hint="eastAsia" w:ascii="仿宋" w:hAnsi="仿宋" w:eastAsia="仿宋"/>
                <w:bCs/>
                <w:color w:val="auto"/>
                <w:sz w:val="21"/>
                <w:szCs w:val="21"/>
                <w:highlight w:val="none"/>
              </w:rPr>
              <w:t>期支付至中标人指定银行账户：</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首期：本合同签订后15个工作日内，中标人向采购人提出付款申请，采购人向中标人支付总价款的</w:t>
            </w:r>
            <w:r>
              <w:rPr>
                <w:rFonts w:hint="eastAsia" w:ascii="仿宋" w:hAnsi="仿宋" w:eastAsia="仿宋"/>
                <w:bCs/>
                <w:color w:val="auto"/>
                <w:sz w:val="21"/>
                <w:szCs w:val="21"/>
                <w:highlight w:val="none"/>
                <w:lang w:val="en-US" w:eastAsia="zh-CN"/>
              </w:rPr>
              <w:t>5</w:t>
            </w:r>
            <w:r>
              <w:rPr>
                <w:rFonts w:hint="default" w:ascii="仿宋" w:hAnsi="仿宋" w:eastAsia="仿宋"/>
                <w:bCs/>
                <w:color w:val="auto"/>
                <w:sz w:val="21"/>
                <w:szCs w:val="21"/>
                <w:highlight w:val="none"/>
              </w:rPr>
              <w:t>0</w:t>
            </w:r>
            <w:r>
              <w:rPr>
                <w:rFonts w:hint="eastAsia" w:ascii="仿宋" w:hAnsi="仿宋" w:eastAsia="仿宋"/>
                <w:bCs/>
                <w:color w:val="auto"/>
                <w:sz w:val="21"/>
                <w:szCs w:val="21"/>
                <w:highlight w:val="none"/>
              </w:rPr>
              <w:t>%；</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第2期：中标人提交</w:t>
            </w:r>
            <w:r>
              <w:rPr>
                <w:rFonts w:hint="eastAsia" w:ascii="仿宋" w:hAnsi="仿宋" w:eastAsia="仿宋"/>
                <w:bCs/>
                <w:color w:val="auto"/>
                <w:sz w:val="21"/>
                <w:szCs w:val="21"/>
                <w:highlight w:val="none"/>
                <w:lang w:eastAsia="zh-CN"/>
              </w:rPr>
              <w:t>终</w:t>
            </w:r>
            <w:r>
              <w:rPr>
                <w:rFonts w:hint="eastAsia" w:ascii="仿宋" w:hAnsi="仿宋" w:eastAsia="仿宋"/>
                <w:bCs/>
                <w:color w:val="auto"/>
                <w:sz w:val="21"/>
                <w:szCs w:val="21"/>
                <w:highlight w:val="none"/>
              </w:rPr>
              <w:t>期成果，通过成果验收后15个工作日内向采购人提出付款申请，采购人向中标人支付总价款的</w:t>
            </w:r>
            <w:r>
              <w:rPr>
                <w:rFonts w:hint="eastAsia" w:ascii="仿宋" w:hAnsi="仿宋" w:eastAsia="仿宋"/>
                <w:bCs/>
                <w:color w:val="auto"/>
                <w:sz w:val="21"/>
                <w:szCs w:val="21"/>
                <w:highlight w:val="none"/>
                <w:lang w:val="en-US" w:eastAsia="zh-CN"/>
              </w:rPr>
              <w:t>5</w:t>
            </w:r>
            <w:r>
              <w:rPr>
                <w:rFonts w:hint="eastAsia" w:ascii="仿宋" w:hAnsi="仿宋" w:eastAsia="仿宋"/>
                <w:bCs/>
                <w:color w:val="auto"/>
                <w:sz w:val="21"/>
                <w:szCs w:val="21"/>
                <w:highlight w:val="none"/>
              </w:rPr>
              <w:t>0%；</w:t>
            </w:r>
          </w:p>
          <w:p>
            <w:pPr>
              <w:pStyle w:val="15"/>
              <w:spacing w:before="0" w:beforeAutospacing="0" w:after="0" w:afterAutospacing="0" w:line="360" w:lineRule="auto"/>
              <w:ind w:firstLine="420" w:firstLineChars="200"/>
              <w:rPr>
                <w:rFonts w:ascii="仿宋" w:hAnsi="仿宋" w:eastAsia="仿宋"/>
                <w:bCs/>
                <w:color w:val="auto"/>
                <w:sz w:val="21"/>
                <w:szCs w:val="21"/>
                <w:highlight w:val="none"/>
              </w:rPr>
            </w:pPr>
            <w:r>
              <w:rPr>
                <w:rFonts w:hint="eastAsia" w:ascii="仿宋" w:hAnsi="仿宋" w:eastAsia="仿宋"/>
                <w:bCs/>
                <w:color w:val="auto"/>
                <w:sz w:val="21"/>
                <w:szCs w:val="21"/>
                <w:highlight w:val="none"/>
              </w:rPr>
              <w:t>上述每期款项均在满足付款条件，且采购人收到中标人开具的载明相应金额的合格发票后15个工作日内付至中标人指定银行账户。如未及时收到发票，则采购人相应付款时间顺延。</w:t>
            </w:r>
          </w:p>
          <w:p>
            <w:pPr>
              <w:pStyle w:val="6"/>
              <w:tabs>
                <w:tab w:val="left" w:pos="4680"/>
              </w:tabs>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2" w:firstLineChars="200"/>
              <w:outlineLvl w:val="2"/>
              <w:rPr>
                <w:rFonts w:ascii="仿宋" w:hAnsi="仿宋" w:eastAsia="仿宋"/>
                <w:b/>
                <w:color w:val="auto"/>
                <w:sz w:val="21"/>
                <w:szCs w:val="21"/>
                <w:highlight w:val="none"/>
              </w:rPr>
            </w:pPr>
            <w:r>
              <w:rPr>
                <w:rFonts w:hint="eastAsia" w:ascii="仿宋" w:hAnsi="仿宋" w:eastAsia="仿宋"/>
                <w:b/>
                <w:color w:val="auto"/>
                <w:sz w:val="21"/>
                <w:szCs w:val="21"/>
                <w:highlight w:val="none"/>
              </w:rPr>
              <w:t>（四）服务期限</w:t>
            </w:r>
          </w:p>
          <w:p>
            <w:pPr>
              <w:pStyle w:val="15"/>
              <w:spacing w:before="0" w:beforeAutospacing="0" w:after="0" w:afterAutospacing="0" w:line="360" w:lineRule="auto"/>
              <w:ind w:firstLine="420" w:firstLineChars="200"/>
              <w:rPr>
                <w:rFonts w:hint="eastAsia" w:ascii="仿宋" w:hAnsi="仿宋" w:eastAsia="仿宋"/>
                <w:color w:val="auto"/>
                <w:kern w:val="2"/>
                <w:sz w:val="21"/>
                <w:szCs w:val="21"/>
                <w:highlight w:val="none"/>
              </w:rPr>
            </w:pPr>
            <w:r>
              <w:rPr>
                <w:rFonts w:hint="eastAsia" w:ascii="仿宋" w:hAnsi="仿宋" w:eastAsia="仿宋"/>
                <w:color w:val="auto"/>
                <w:kern w:val="2"/>
                <w:sz w:val="21"/>
                <w:szCs w:val="21"/>
                <w:highlight w:val="none"/>
              </w:rPr>
              <w:t>自合同签订之日起一年内完成。</w:t>
            </w:r>
          </w:p>
          <w:p>
            <w:pPr>
              <w:pStyle w:val="15"/>
              <w:spacing w:before="0" w:beforeAutospacing="0" w:after="0" w:afterAutospacing="0" w:line="360" w:lineRule="auto"/>
              <w:ind w:firstLine="420" w:firstLineChars="200"/>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本项目应在</w:t>
            </w:r>
            <w:r>
              <w:rPr>
                <w:rFonts w:hint="eastAsia" w:ascii="仿宋" w:hAnsi="仿宋" w:eastAsia="仿宋"/>
                <w:color w:val="auto"/>
                <w:kern w:val="2"/>
                <w:sz w:val="21"/>
                <w:szCs w:val="21"/>
                <w:highlight w:val="none"/>
                <w:lang w:eastAsia="zh-CN"/>
              </w:rPr>
              <w:t>一年</w:t>
            </w:r>
            <w:r>
              <w:rPr>
                <w:rFonts w:hint="eastAsia" w:ascii="仿宋" w:hAnsi="仿宋" w:eastAsia="仿宋"/>
                <w:color w:val="auto"/>
                <w:kern w:val="2"/>
                <w:sz w:val="21"/>
                <w:szCs w:val="21"/>
                <w:highlight w:val="none"/>
              </w:rPr>
              <w:t>内完成全部项目工作内容并提交最终成果。在合同履行过程中，在必要情况下，经各方协商一致，可对上述服务期限时间进行调整，并将最终成果提交日期按照工作进度顺延。</w:t>
            </w:r>
          </w:p>
          <w:p>
            <w:pPr>
              <w:pStyle w:val="12"/>
              <w:adjustRightInd w:val="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pStyle w:val="15"/>
              <w:spacing w:before="0" w:beforeAutospacing="0" w:after="0" w:afterAutospacing="0" w:line="360" w:lineRule="auto"/>
              <w:ind w:firstLine="422" w:firstLineChars="200"/>
              <w:outlineLvl w:val="1"/>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四、其他要求</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（一）投标人应确保投标文件中提供的所有资料、信息真实、有效；</w:t>
            </w:r>
          </w:p>
          <w:p>
            <w:pPr>
              <w:tabs>
                <w:tab w:val="left" w:pos="1080"/>
              </w:tabs>
              <w:adjustRightInd w:val="0"/>
              <w:snapToGrid w:val="0"/>
              <w:spacing w:line="360" w:lineRule="auto"/>
              <w:ind w:firstLine="420" w:firstLineChars="200"/>
              <w:jc w:val="left"/>
              <w:rPr>
                <w:rFonts w:ascii="仿宋" w:hAnsi="仿宋" w:eastAsia="仿宋"/>
                <w:b/>
                <w:bCs/>
                <w:color w:val="auto"/>
                <w:szCs w:val="21"/>
                <w:highlight w:val="none"/>
              </w:rPr>
            </w:pPr>
            <w:r>
              <w:rPr>
                <w:rFonts w:hint="eastAsia" w:ascii="仿宋" w:hAnsi="仿宋" w:eastAsia="仿宋"/>
                <w:color w:val="auto"/>
                <w:szCs w:val="21"/>
                <w:highlight w:val="none"/>
              </w:rPr>
              <w:t>（二）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pPr>
              <w:pStyle w:val="6"/>
              <w:tabs>
                <w:tab w:val="left" w:pos="4680"/>
              </w:tabs>
              <w:spacing w:line="360" w:lineRule="auto"/>
              <w:rPr>
                <w:rFonts w:ascii="仿宋" w:hAnsi="仿宋" w:eastAsia="仿宋"/>
                <w:color w:val="auto"/>
                <w:sz w:val="21"/>
                <w:szCs w:val="21"/>
                <w:highlight w:val="none"/>
              </w:rPr>
            </w:pPr>
            <w:r>
              <w:rPr>
                <w:rFonts w:hint="eastAsia" w:ascii="仿宋" w:hAnsi="仿宋" w:eastAsia="仿宋"/>
                <w:color w:val="auto"/>
                <w:sz w:val="21"/>
                <w:szCs w:val="21"/>
                <w:highlight w:val="none"/>
              </w:rPr>
              <w:t>（三）中标人不得将项目非法分包或转包给任何单位和个人，否则采购人有权解除合同，中标人除应退还采购人已支付的全部款项外, 还应在合同解除通知发出之日起10日内向采购人支付合同总价款20%的违约金。中标人应同时将已完成的项目成果移交给采购人，并将全部有关资料退还采购人</w:t>
            </w:r>
            <w:r>
              <w:rPr>
                <w:color w:val="auto"/>
                <w:highlight w:val="none"/>
              </w:rPr>
              <w:t>。</w:t>
            </w:r>
          </w:p>
          <w:p>
            <w:pPr>
              <w:pStyle w:val="12"/>
              <w:adjustRightInd w:val="0"/>
              <w:snapToGrid w:val="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widowControl/>
              <w:spacing w:line="360" w:lineRule="auto"/>
              <w:ind w:firstLine="422" w:firstLineChars="200"/>
              <w:outlineLvl w:val="1"/>
              <w:rPr>
                <w:rFonts w:ascii="楷体" w:hAnsi="楷体" w:eastAsia="楷体" w:cs="楷体"/>
                <w:b/>
                <w:color w:val="auto"/>
                <w:szCs w:val="21"/>
                <w:highlight w:val="none"/>
              </w:rPr>
            </w:pPr>
            <w:r>
              <w:rPr>
                <w:rFonts w:hint="eastAsia" w:ascii="仿宋" w:hAnsi="仿宋" w:eastAsia="仿宋" w:cs="宋体"/>
                <w:b/>
                <w:color w:val="auto"/>
                <w:kern w:val="2"/>
                <w:sz w:val="21"/>
                <w:szCs w:val="21"/>
                <w:highlight w:val="none"/>
              </w:rPr>
              <w:t>★</w:t>
            </w:r>
            <w:r>
              <w:rPr>
                <w:rFonts w:hint="eastAsia" w:ascii="仿宋" w:hAnsi="仿宋" w:eastAsia="仿宋" w:cs="宋体"/>
                <w:b/>
                <w:bCs/>
                <w:color w:val="auto"/>
                <w:kern w:val="0"/>
                <w:szCs w:val="21"/>
                <w:highlight w:val="none"/>
              </w:rPr>
              <w:t>五、成果归属</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（一）本项目全部阶段性成果和最终成果的所有权、知识产权以及与之相关的所有权利归采购方所有；本项目合同签署前各方已经拥有的知识产权权利，仍归各自所有。</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（二）各方确定，采购人有权对中标人按照招标文件约定提供的成果进行后续改进。由此产生的具有实质性或创造性技术进步特征的新的技术成果及其权利全部由采购人享有。</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三）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pStyle w:val="12"/>
              <w:adjustRightIn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四）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20%的违约金。同时，采购人保留中标人赔偿全部损失的权利。</w:t>
            </w:r>
          </w:p>
          <w:p>
            <w:pPr>
              <w:pStyle w:val="12"/>
              <w:adjustRightInd w:val="0"/>
              <w:snapToGrid w:val="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widowControl/>
              <w:spacing w:line="360" w:lineRule="auto"/>
              <w:ind w:firstLine="422" w:firstLineChars="200"/>
              <w:outlineLvl w:val="1"/>
              <w:rPr>
                <w:rFonts w:ascii="仿宋" w:hAnsi="仿宋" w:eastAsia="仿宋" w:cs="宋体"/>
                <w:b/>
                <w:bCs/>
                <w:color w:val="auto"/>
                <w:kern w:val="0"/>
                <w:szCs w:val="21"/>
                <w:highlight w:val="none"/>
              </w:rPr>
            </w:pPr>
            <w:r>
              <w:rPr>
                <w:rFonts w:hint="eastAsia" w:ascii="仿宋" w:hAnsi="仿宋" w:eastAsia="仿宋" w:cs="宋体"/>
                <w:b/>
                <w:color w:val="auto"/>
                <w:kern w:val="2"/>
                <w:sz w:val="21"/>
                <w:szCs w:val="21"/>
                <w:highlight w:val="none"/>
              </w:rPr>
              <w:t>★</w:t>
            </w:r>
            <w:r>
              <w:rPr>
                <w:rFonts w:hint="eastAsia" w:ascii="仿宋" w:hAnsi="仿宋" w:eastAsia="仿宋" w:cs="宋体"/>
                <w:b/>
                <w:bCs/>
                <w:color w:val="auto"/>
                <w:kern w:val="0"/>
                <w:szCs w:val="21"/>
                <w:highlight w:val="none"/>
              </w:rPr>
              <w:t>六、保密条款</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一）各方应保守的秘密是指不为公众所知悉、能为权利人带来经济利益、具有实用性并经权利人采取保密措施的技术信息和经营信息，或由各方在履行本项目合同过程中明确指明为秘密的、法律所认可的任何信息，以及中标人在履行本项目合同过程中所获得或接触到的任何采购人内部数据资料。</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二）各方应遵守国家的有关保密规定。妥善保管对方提供的资料，保守对方的各项秘密，并保护对方的知识产权。获取对方秘密的一方应当采取有效的保护方式防止秘密未经对方书面授权而被使用、传播或公开，仅可以将该秘密用于履行其在本合同项下的义务，且只能由相关的技术人员使用。</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三）中标人应以保密方式处理在编制本项目成果文件过程中自采购人、采购人工作人员或采购人关联机构获得的相关信息、资料、图纸、数据等，或由采购人在履行本项目合同过程中明确指明为秘密的任何信息，以及中标人因本项目工作内容所直接或间接取得、处理或接触的任何其他资料。未经采购人书面在先同意，中标人不得向任何其他方透露与本项目有关的内容，或公开本项目的阶段性成果或最终成果内容。即使向与履行本项目合同有关的人员提供前述保密信息，也应限于履行合同的必需范围，且这些人员应接受至少与本条款同等严格的保密条款的约束。</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（四）中标人实施项目的程序应符合国家安全、保密的有关规定和标准。</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（五）上述保密义务不适用以下情况：</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1.获取的信息已被合法公开或不属于商业秘密；</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2.获得信息拥有方书面许可并在该许可范围内披露；</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3.国家法律、法规规定的情形。</w:t>
            </w:r>
          </w:p>
          <w:p>
            <w:pPr>
              <w:tabs>
                <w:tab w:val="left" w:pos="1080"/>
              </w:tabs>
              <w:adjustRightInd w:val="0"/>
              <w:snapToGrid w:val="0"/>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六）如中标人违反上述保密条款，采购人有权解除项目合同，中标人应在合同解除通知发出之日起10日内向采购人支付项目合同服务费总金额20%的违约金，如果违约金无法弥补采购人损失，采购人保留要求中标人赔偿全部损失的权利。</w:t>
            </w:r>
          </w:p>
          <w:p>
            <w:pPr>
              <w:pStyle w:val="12"/>
              <w:adjustRightInd w:val="0"/>
              <w:snapToGrid w:val="0"/>
              <w:spacing w:line="360" w:lineRule="auto"/>
              <w:ind w:firstLine="400" w:firstLineChars="200"/>
              <w:rPr>
                <w:rFonts w:ascii="仿宋" w:hAnsi="仿宋" w:eastAsia="仿宋"/>
                <w:b/>
                <w:color w:val="auto"/>
                <w:sz w:val="21"/>
                <w:szCs w:val="21"/>
                <w:highlight w:val="none"/>
              </w:rPr>
            </w:pPr>
            <w:r>
              <w:rPr>
                <w:rFonts w:hint="eastAsia" w:ascii="仿宋" w:hAnsi="仿宋" w:eastAsia="仿宋"/>
                <w:color w:val="auto"/>
                <w:szCs w:val="21"/>
                <w:highlight w:val="none"/>
              </w:rPr>
              <w:t>（七）无论项目合同或项目合同其他条款是否有效，本保密条款始终约束采购人和中标人。国家秘密的保密期限由国家有关部门确定，工作秘密的保密期限由采购人确定。</w:t>
            </w:r>
          </w:p>
          <w:p>
            <w:pPr>
              <w:pStyle w:val="12"/>
              <w:adjustRightInd w:val="0"/>
              <w:snapToGrid w:val="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10"/>
              </w:numPr>
              <w:ind w:left="0" w:firstLine="0"/>
              <w:jc w:val="center"/>
              <w:rPr>
                <w:rFonts w:hint="eastAsia" w:ascii="宋体" w:hAnsi="宋体" w:eastAsia="宋体" w:cs="宋体"/>
                <w:color w:val="auto"/>
                <w:szCs w:val="21"/>
                <w:highlight w:val="none"/>
              </w:rPr>
            </w:pPr>
          </w:p>
        </w:tc>
        <w:tc>
          <w:tcPr>
            <w:tcW w:w="6472" w:type="dxa"/>
            <w:noWrap/>
            <w:vAlign w:val="center"/>
          </w:tcPr>
          <w:p>
            <w:pPr>
              <w:widowControl/>
              <w:spacing w:line="360" w:lineRule="auto"/>
              <w:ind w:firstLine="422" w:firstLineChars="200"/>
              <w:outlineLvl w:val="1"/>
              <w:rPr>
                <w:rFonts w:ascii="楷体" w:hAnsi="楷体" w:eastAsia="楷体" w:cs="楷体"/>
                <w:b/>
                <w:color w:val="auto"/>
                <w:szCs w:val="21"/>
                <w:highlight w:val="none"/>
              </w:rPr>
            </w:pPr>
            <w:r>
              <w:rPr>
                <w:rFonts w:hint="eastAsia" w:ascii="仿宋" w:hAnsi="仿宋" w:eastAsia="仿宋" w:cs="宋体"/>
                <w:b/>
                <w:color w:val="auto"/>
                <w:kern w:val="2"/>
                <w:sz w:val="21"/>
                <w:szCs w:val="21"/>
                <w:highlight w:val="none"/>
              </w:rPr>
              <w:t>★</w:t>
            </w:r>
            <w:r>
              <w:rPr>
                <w:rFonts w:hint="eastAsia" w:ascii="楷体" w:hAnsi="楷体" w:eastAsia="楷体" w:cs="楷体"/>
                <w:b/>
                <w:color w:val="auto"/>
                <w:kern w:val="0"/>
                <w:szCs w:val="21"/>
                <w:highlight w:val="none"/>
              </w:rPr>
              <w:t>七、</w:t>
            </w:r>
            <w:r>
              <w:rPr>
                <w:rFonts w:hint="eastAsia" w:ascii="楷体" w:hAnsi="楷体" w:eastAsia="楷体" w:cs="楷体"/>
                <w:b/>
                <w:color w:val="auto"/>
                <w:szCs w:val="21"/>
                <w:highlight w:val="none"/>
              </w:rPr>
              <w:t>违约责任</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（一）如中标人未按照约定的时间完成相关工作要求，每迟延一日，采购人有权扣除本项目服务费总金额的3‰的逾期违约金。</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（二）本协议项下的工作内容不可分割，任一文件的迟延交付均视为整个项目的迟延交付。</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三）本协议履行期间，发生下述情形时，采购方有权解除本合同，中标人除应退还采购人已支付的全部款项外,还应在合同解除通知发出之日起10日内向采购人支付项目总价款20%的违约金。中标人应同时将已完成的项目成果移交给采购人，并将全部有关资料退还采购人：</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1.中标人未能按协议约定的日期(含协商延缓的日期)完成工作或提交成果，延误时间超过15个工作日；</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2.因中标人工作的错误或遗漏造成成果质量不符合本合同要求，且中标人未按采购人要求采取及时有效的补救措施的；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3.中标人虽如期完成工作或提交工作成果，但工作成果连续两次未能通过采购人验收的；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4.未经采购人书面在先同意，中标人擅自将本项目与任何第三方合作，或将本项目标的的全部或部分擅自转包或分包给任何第三方，且未按采购人的要求终止与第三方的协议的；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rPr>
              <w:t>5.</w:t>
            </w:r>
            <w:r>
              <w:rPr>
                <w:rFonts w:hint="eastAsia" w:ascii="仿宋" w:hAnsi="仿宋" w:eastAsia="仿宋" w:cs="仿宋"/>
                <w:szCs w:val="21"/>
                <w:highlight w:val="none"/>
                <w:lang w:bidi="ar"/>
              </w:rPr>
              <w:t>项目负责人未承担本合同项目实质性工作，或未经</w:t>
            </w:r>
            <w:r>
              <w:rPr>
                <w:rFonts w:hint="eastAsia" w:ascii="仿宋" w:hAnsi="仿宋" w:eastAsia="仿宋" w:cs="仿宋"/>
                <w:szCs w:val="21"/>
                <w:highlight w:val="none"/>
                <w:lang w:val="en-US" w:eastAsia="zh-CN" w:bidi="ar"/>
              </w:rPr>
              <w:t>采购人</w:t>
            </w:r>
            <w:r>
              <w:rPr>
                <w:rFonts w:hint="eastAsia" w:ascii="仿宋" w:hAnsi="仿宋" w:eastAsia="仿宋" w:cs="仿宋"/>
                <w:szCs w:val="21"/>
                <w:highlight w:val="none"/>
                <w:lang w:bidi="ar"/>
              </w:rPr>
              <w:t>书面在先同意，</w:t>
            </w:r>
            <w:r>
              <w:rPr>
                <w:rFonts w:hint="eastAsia" w:ascii="仿宋" w:hAnsi="仿宋" w:eastAsia="仿宋" w:cs="仿宋"/>
                <w:szCs w:val="21"/>
                <w:highlight w:val="none"/>
                <w:lang w:val="en-US" w:eastAsia="zh-CN" w:bidi="ar"/>
              </w:rPr>
              <w:t>中标人</w:t>
            </w:r>
            <w:r>
              <w:rPr>
                <w:rFonts w:hint="eastAsia" w:ascii="仿宋" w:hAnsi="仿宋" w:eastAsia="仿宋" w:cs="仿宋"/>
                <w:szCs w:val="21"/>
                <w:highlight w:val="none"/>
                <w:lang w:bidi="ar"/>
              </w:rPr>
              <w:t>擅自更换项目负责人的；</w:t>
            </w:r>
          </w:p>
          <w:p>
            <w:pPr>
              <w:pStyle w:val="12"/>
              <w:adjustRightInd w:val="0"/>
              <w:snapToGrid w:val="0"/>
              <w:spacing w:line="360" w:lineRule="auto"/>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6.</w:t>
            </w:r>
            <w:r>
              <w:rPr>
                <w:rFonts w:hint="eastAsia" w:ascii="仿宋" w:hAnsi="仿宋" w:eastAsia="仿宋"/>
                <w:color w:val="auto"/>
                <w:sz w:val="21"/>
                <w:szCs w:val="21"/>
                <w:highlight w:val="none"/>
              </w:rPr>
              <w:t>发现中标人或中标人工作人员出现全部或部分丧失履行委托服务能力的情况，采购人有权通知中标人限期整改或更换工作人员，期限届满中标人并未进行改善的；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7</w:t>
            </w:r>
            <w:r>
              <w:rPr>
                <w:rFonts w:hint="eastAsia" w:ascii="仿宋" w:hAnsi="仿宋" w:eastAsia="仿宋"/>
                <w:color w:val="auto"/>
                <w:sz w:val="21"/>
                <w:szCs w:val="21"/>
                <w:highlight w:val="none"/>
              </w:rPr>
              <w:t>.</w:t>
            </w:r>
            <w:r>
              <w:rPr>
                <w:rFonts w:hint="eastAsia" w:ascii="仿宋" w:hAnsi="仿宋" w:eastAsia="仿宋" w:cs="仿宋"/>
                <w:szCs w:val="21"/>
                <w:highlight w:val="none"/>
                <w:lang w:bidi="ar"/>
              </w:rPr>
              <w:t>因</w:t>
            </w:r>
            <w:r>
              <w:rPr>
                <w:rFonts w:hint="eastAsia" w:ascii="仿宋" w:hAnsi="仿宋" w:eastAsia="仿宋" w:cs="仿宋"/>
                <w:szCs w:val="21"/>
                <w:highlight w:val="none"/>
                <w:lang w:val="en-US" w:eastAsia="zh-CN" w:bidi="ar"/>
              </w:rPr>
              <w:t>中标人</w:t>
            </w:r>
            <w:r>
              <w:rPr>
                <w:rFonts w:hint="eastAsia" w:ascii="仿宋" w:hAnsi="仿宋" w:eastAsia="仿宋" w:cs="仿宋"/>
                <w:szCs w:val="21"/>
                <w:highlight w:val="none"/>
                <w:lang w:bidi="ar"/>
              </w:rPr>
              <w:t>项目团队人员不稳定等原因导致本项目进度延误或质量低劣的；</w:t>
            </w:r>
          </w:p>
          <w:p>
            <w:pPr>
              <w:pStyle w:val="12"/>
              <w:adjustRightInd w:val="0"/>
              <w:snapToGrid w:val="0"/>
              <w:spacing w:line="360" w:lineRule="auto"/>
              <w:ind w:firstLine="420" w:firstLineChars="200"/>
              <w:rPr>
                <w:rFonts w:hint="eastAsia"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8.</w:t>
            </w:r>
            <w:r>
              <w:rPr>
                <w:rFonts w:hint="eastAsia" w:ascii="仿宋" w:hAnsi="仿宋" w:eastAsia="仿宋"/>
                <w:color w:val="auto"/>
                <w:sz w:val="21"/>
                <w:szCs w:val="21"/>
                <w:highlight w:val="none"/>
              </w:rPr>
              <w:t>中标人明确表示或者以自己的行为表明不履行本协议的。</w:t>
            </w:r>
          </w:p>
          <w:p>
            <w:pPr>
              <w:pStyle w:val="12"/>
              <w:adjustRightInd w:val="0"/>
              <w:snapToGrid w:val="0"/>
              <w:spacing w:line="360" w:lineRule="auto"/>
              <w:ind w:firstLine="420" w:firstLineChars="200"/>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9.</w:t>
            </w:r>
            <w:r>
              <w:rPr>
                <w:rFonts w:hint="eastAsia" w:ascii="仿宋" w:hAnsi="仿宋" w:eastAsia="仿宋" w:cs="仿宋"/>
                <w:szCs w:val="21"/>
                <w:lang w:bidi="ar"/>
              </w:rPr>
              <w:t>因</w:t>
            </w:r>
            <w:r>
              <w:rPr>
                <w:rFonts w:hint="eastAsia" w:ascii="仿宋" w:hAnsi="仿宋" w:eastAsia="仿宋"/>
                <w:color w:val="auto"/>
                <w:sz w:val="21"/>
                <w:szCs w:val="21"/>
                <w:highlight w:val="none"/>
              </w:rPr>
              <w:t>中标人</w:t>
            </w:r>
            <w:r>
              <w:rPr>
                <w:rFonts w:hint="eastAsia" w:ascii="仿宋" w:hAnsi="仿宋" w:eastAsia="仿宋" w:cs="仿宋"/>
                <w:szCs w:val="21"/>
                <w:lang w:bidi="ar"/>
              </w:rPr>
              <w:t>原因，导致有关素材（包括但不限于数据、相片等）丢失、毁灭或无法恢复的。</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（四）如</w:t>
            </w:r>
            <w:r>
              <w:rPr>
                <w:rFonts w:hint="eastAsia" w:ascii="仿宋" w:hAnsi="仿宋" w:eastAsia="仿宋"/>
                <w:color w:val="auto"/>
                <w:sz w:val="21"/>
                <w:szCs w:val="21"/>
                <w:highlight w:val="none"/>
              </w:rPr>
              <w:t>采购人</w:t>
            </w:r>
            <w:r>
              <w:rPr>
                <w:rFonts w:hint="eastAsia" w:ascii="仿宋" w:hAnsi="仿宋" w:eastAsia="仿宋" w:cs="仿宋"/>
                <w:szCs w:val="21"/>
                <w:lang w:bidi="ar"/>
              </w:rPr>
              <w:t>未按照本合同约定的时间支付服务费，</w:t>
            </w:r>
            <w:r>
              <w:rPr>
                <w:rFonts w:hint="eastAsia" w:ascii="仿宋" w:hAnsi="仿宋" w:eastAsia="仿宋"/>
                <w:color w:val="auto"/>
                <w:sz w:val="21"/>
                <w:szCs w:val="21"/>
                <w:highlight w:val="none"/>
              </w:rPr>
              <w:t>中标人</w:t>
            </w:r>
            <w:r>
              <w:rPr>
                <w:rFonts w:hint="eastAsia" w:ascii="仿宋" w:hAnsi="仿宋" w:eastAsia="仿宋" w:cs="仿宋"/>
                <w:szCs w:val="21"/>
                <w:lang w:bidi="ar"/>
              </w:rPr>
              <w:t>书面催告</w:t>
            </w:r>
            <w:r>
              <w:rPr>
                <w:rFonts w:hint="eastAsia" w:ascii="仿宋" w:hAnsi="仿宋" w:eastAsia="仿宋"/>
                <w:color w:val="auto"/>
                <w:sz w:val="21"/>
                <w:szCs w:val="21"/>
                <w:highlight w:val="none"/>
              </w:rPr>
              <w:t>采购人</w:t>
            </w:r>
            <w:r>
              <w:rPr>
                <w:rFonts w:hint="eastAsia" w:ascii="仿宋" w:hAnsi="仿宋" w:eastAsia="仿宋" w:cs="仿宋"/>
                <w:szCs w:val="21"/>
                <w:lang w:bidi="ar"/>
              </w:rPr>
              <w:t>并给予不少于30个工作日的履行期限后</w:t>
            </w:r>
            <w:r>
              <w:rPr>
                <w:rFonts w:hint="eastAsia" w:ascii="仿宋" w:hAnsi="仿宋" w:eastAsia="仿宋"/>
                <w:color w:val="auto"/>
                <w:sz w:val="21"/>
                <w:szCs w:val="21"/>
                <w:highlight w:val="none"/>
              </w:rPr>
              <w:t>采购人</w:t>
            </w:r>
            <w:r>
              <w:rPr>
                <w:rFonts w:hint="eastAsia" w:ascii="仿宋" w:hAnsi="仿宋" w:eastAsia="仿宋" w:cs="仿宋"/>
                <w:szCs w:val="21"/>
                <w:lang w:bidi="ar"/>
              </w:rPr>
              <w:t>仍未支付的，</w:t>
            </w:r>
            <w:r>
              <w:rPr>
                <w:rFonts w:hint="eastAsia" w:ascii="仿宋" w:hAnsi="仿宋" w:eastAsia="仿宋"/>
                <w:color w:val="auto"/>
                <w:sz w:val="21"/>
                <w:szCs w:val="21"/>
                <w:highlight w:val="none"/>
              </w:rPr>
              <w:t>中标人</w:t>
            </w:r>
            <w:r>
              <w:rPr>
                <w:rFonts w:hint="eastAsia" w:ascii="仿宋" w:hAnsi="仿宋" w:eastAsia="仿宋" w:cs="仿宋"/>
                <w:szCs w:val="21"/>
                <w:lang w:bidi="ar"/>
              </w:rPr>
              <w:t>有权自该期限届满之日起要求</w:t>
            </w:r>
            <w:r>
              <w:rPr>
                <w:rFonts w:hint="eastAsia" w:ascii="仿宋" w:hAnsi="仿宋" w:eastAsia="仿宋"/>
                <w:color w:val="auto"/>
                <w:sz w:val="21"/>
                <w:szCs w:val="21"/>
                <w:highlight w:val="none"/>
              </w:rPr>
              <w:t>采购人</w:t>
            </w:r>
            <w:r>
              <w:rPr>
                <w:rFonts w:hint="eastAsia" w:ascii="仿宋" w:hAnsi="仿宋" w:eastAsia="仿宋" w:cs="仿宋"/>
                <w:szCs w:val="21"/>
                <w:lang w:bidi="ar"/>
              </w:rPr>
              <w:t>支付该阶段应付而未付合同价款每日1‰的逾期违约金。如</w:t>
            </w:r>
            <w:r>
              <w:rPr>
                <w:rFonts w:hint="eastAsia" w:ascii="仿宋" w:hAnsi="仿宋" w:eastAsia="仿宋"/>
                <w:color w:val="auto"/>
                <w:sz w:val="21"/>
                <w:szCs w:val="21"/>
                <w:highlight w:val="none"/>
              </w:rPr>
              <w:t>采购人</w:t>
            </w:r>
            <w:r>
              <w:rPr>
                <w:rFonts w:hint="eastAsia" w:ascii="仿宋" w:hAnsi="仿宋" w:eastAsia="仿宋" w:cs="仿宋"/>
                <w:szCs w:val="21"/>
                <w:lang w:bidi="ar"/>
              </w:rPr>
              <w:t>无正当理由拒绝接受服务，到期明确表示拒付服务款项，</w:t>
            </w:r>
            <w:r>
              <w:rPr>
                <w:rFonts w:hint="eastAsia" w:ascii="仿宋" w:hAnsi="仿宋" w:eastAsia="仿宋"/>
                <w:color w:val="auto"/>
                <w:sz w:val="21"/>
                <w:szCs w:val="21"/>
                <w:highlight w:val="none"/>
              </w:rPr>
              <w:t>中标人</w:t>
            </w:r>
            <w:r>
              <w:rPr>
                <w:rFonts w:hint="eastAsia" w:ascii="仿宋" w:hAnsi="仿宋" w:eastAsia="仿宋" w:cs="仿宋"/>
                <w:szCs w:val="21"/>
                <w:lang w:bidi="ar"/>
              </w:rPr>
              <w:t>有权要求</w:t>
            </w:r>
            <w:r>
              <w:rPr>
                <w:rFonts w:hint="eastAsia" w:ascii="仿宋" w:hAnsi="仿宋" w:eastAsia="仿宋"/>
                <w:color w:val="auto"/>
                <w:sz w:val="21"/>
                <w:szCs w:val="21"/>
                <w:highlight w:val="none"/>
              </w:rPr>
              <w:t>采购人</w:t>
            </w:r>
            <w:r>
              <w:rPr>
                <w:rFonts w:hint="eastAsia" w:ascii="仿宋" w:hAnsi="仿宋" w:eastAsia="仿宋" w:cs="仿宋"/>
                <w:szCs w:val="21"/>
                <w:lang w:bidi="ar"/>
              </w:rPr>
              <w:t>支付本合同项下服务费总金额20%的违约金。</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lang w:bidi="ar"/>
              </w:rPr>
              <w:t>（五）上述违约责任各自独立且可累加。如本合同所约定的违约金无法弥补因违约行为所造成的损失，违约方应补偿上述不足部分的损失。</w:t>
            </w:r>
          </w:p>
          <w:p>
            <w:pPr>
              <w:pStyle w:val="12"/>
              <w:adjustRightInd w:val="0"/>
              <w:snapToGrid w:val="0"/>
              <w:rPr>
                <w:rFonts w:hint="eastAsia" w:ascii="宋体" w:hAnsi="宋体" w:eastAsia="宋体" w:cs="宋体"/>
                <w:color w:val="auto"/>
                <w:kern w:val="2"/>
                <w:sz w:val="21"/>
                <w:szCs w:val="21"/>
                <w:highlight w:val="none"/>
              </w:rPr>
            </w:pPr>
          </w:p>
        </w:tc>
        <w:tc>
          <w:tcPr>
            <w:tcW w:w="1110" w:type="dxa"/>
            <w:noWrap/>
            <w:vAlign w:val="center"/>
          </w:tcPr>
          <w:p>
            <w:pPr>
              <w:rPr>
                <w:rFonts w:hint="eastAsia" w:ascii="宋体" w:hAnsi="宋体" w:eastAsia="宋体" w:cs="宋体"/>
                <w:color w:val="auto"/>
                <w:szCs w:val="21"/>
                <w:highlight w:val="none"/>
              </w:rPr>
            </w:pPr>
          </w:p>
        </w:tc>
        <w:tc>
          <w:tcPr>
            <w:tcW w:w="1174" w:type="dxa"/>
            <w:noWrap/>
            <w:vAlign w:val="center"/>
          </w:tcPr>
          <w:p>
            <w:pPr>
              <w:rPr>
                <w:rFonts w:hint="eastAsia" w:ascii="宋体" w:hAnsi="宋体" w:eastAsia="宋体" w:cs="宋体"/>
                <w:color w:val="auto"/>
                <w:szCs w:val="21"/>
                <w:highlight w:val="none"/>
              </w:rPr>
            </w:pPr>
          </w:p>
        </w:tc>
      </w:tr>
    </w:tbl>
    <w:p>
      <w:pPr>
        <w:pStyle w:val="4"/>
        <w:rPr>
          <w:rFonts w:ascii="黑体" w:hAnsi="黑体" w:eastAsia="黑体" w:cs="黑体"/>
          <w:color w:val="auto"/>
          <w:szCs w:val="30"/>
          <w:highlight w:val="none"/>
        </w:rPr>
      </w:pPr>
      <w:r>
        <w:rPr>
          <w:rFonts w:hint="eastAsia" w:ascii="黑体" w:hAnsi="黑体" w:eastAsia="黑体" w:cs="黑体"/>
          <w:color w:val="auto"/>
          <w:szCs w:val="30"/>
          <w:highlight w:val="none"/>
        </w:rPr>
        <w:br w:type="page"/>
      </w:r>
      <w:bookmarkStart w:id="20" w:name="_Toc9336"/>
      <w:r>
        <w:rPr>
          <w:rFonts w:hint="eastAsia"/>
          <w:color w:val="auto"/>
          <w:highlight w:val="none"/>
        </w:rPr>
        <w:t>10.投标人认为需提供的其它文件及评分所需证明文件</w:t>
      </w:r>
      <w:bookmarkEnd w:id="20"/>
    </w:p>
    <w:p>
      <w:pPr>
        <w:pStyle w:val="5"/>
        <w:spacing w:line="377" w:lineRule="auto"/>
        <w:jc w:val="center"/>
        <w:rPr>
          <w:rFonts w:ascii="楷体" w:hAnsi="楷体" w:eastAsia="楷体" w:cs="楷体"/>
          <w:b w:val="0"/>
          <w:bCs w:val="0"/>
          <w:color w:val="auto"/>
          <w:sz w:val="21"/>
          <w:szCs w:val="21"/>
          <w:highlight w:val="none"/>
        </w:rPr>
      </w:pPr>
      <w:bookmarkStart w:id="21" w:name="_Toc14339"/>
      <w:r>
        <w:rPr>
          <w:rFonts w:hint="eastAsia" w:ascii="楷体" w:hAnsi="楷体" w:eastAsia="楷体" w:cs="楷体"/>
          <w:b w:val="0"/>
          <w:bCs w:val="0"/>
          <w:color w:val="auto"/>
          <w:sz w:val="21"/>
          <w:szCs w:val="21"/>
          <w:highlight w:val="none"/>
        </w:rPr>
        <w:t>（一）中小企业声明函（仅限小型企业、微型企业）</w:t>
      </w:r>
      <w:bookmarkEnd w:id="21"/>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本公司郑重声明，根据《政府采购促进中小企业发展管理办法》（财库〔2020〕46号）的规定，本公司为（请填写：中型、小型、微型）企业。即，本公司同时满足以下条件：</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2.本公司参加项目编号为的   (项目名称)   的采购活动，并提供（承诺人在□处打√）:□本企业制造的货物;□由本企业承担工程、提供服务;□提供其他企业（请填写：中型、小型、微型）制造的货物。本条所称货物是指单一产品采购项目中的货物，或者非单一产品采购项目中的核心产品（货物），不包括使用大型企业注册商标的货物。</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17"/>
        <w:spacing w:line="400" w:lineRule="exact"/>
        <w:rPr>
          <w:rFonts w:ascii="仿宋" w:hAnsi="仿宋" w:eastAsia="仿宋" w:cs="仿宋"/>
          <w:color w:val="auto"/>
          <w:szCs w:val="21"/>
          <w:highlight w:val="none"/>
        </w:rPr>
      </w:pPr>
    </w:p>
    <w:p>
      <w:pPr>
        <w:pStyle w:val="17"/>
        <w:spacing w:line="400" w:lineRule="exact"/>
        <w:rPr>
          <w:rFonts w:ascii="仿宋" w:hAnsi="仿宋" w:eastAsia="仿宋" w:cs="仿宋"/>
          <w:color w:val="auto"/>
          <w:szCs w:val="21"/>
          <w:highlight w:val="none"/>
        </w:rPr>
      </w:pPr>
    </w:p>
    <w:p>
      <w:pPr>
        <w:pStyle w:val="17"/>
        <w:spacing w:line="400" w:lineRule="exact"/>
        <w:rPr>
          <w:rFonts w:ascii="仿宋" w:hAnsi="仿宋" w:eastAsia="仿宋" w:cs="仿宋"/>
          <w:color w:val="auto"/>
          <w:szCs w:val="21"/>
          <w:highlight w:val="none"/>
        </w:rPr>
      </w:pPr>
    </w:p>
    <w:p>
      <w:pPr>
        <w:wordWrap w:val="0"/>
        <w:spacing w:line="400" w:lineRule="exact"/>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企业名称：             </w:t>
      </w:r>
    </w:p>
    <w:p>
      <w:pPr>
        <w:wordWrap w:val="0"/>
        <w:spacing w:line="400" w:lineRule="exact"/>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p>
    <w:p>
      <w:pPr>
        <w:spacing w:line="400" w:lineRule="exact"/>
        <w:ind w:firstLine="420" w:firstLineChars="200"/>
        <w:rPr>
          <w:rFonts w:ascii="仿宋" w:hAnsi="仿宋" w:eastAsia="仿宋" w:cs="仿宋"/>
          <w:color w:val="auto"/>
          <w:szCs w:val="21"/>
          <w:highlight w:val="none"/>
        </w:rPr>
      </w:pPr>
    </w:p>
    <w:p>
      <w:pPr>
        <w:spacing w:line="400" w:lineRule="exact"/>
        <w:jc w:val="center"/>
        <w:outlineLvl w:val="3"/>
        <w:rPr>
          <w:rFonts w:ascii="宋体" w:hAnsi="宋体"/>
          <w:b/>
          <w:bCs/>
          <w:color w:val="auto"/>
          <w:szCs w:val="21"/>
          <w:highlight w:val="none"/>
        </w:rPr>
      </w:pPr>
      <w:r>
        <w:rPr>
          <w:rFonts w:ascii="宋体" w:hAnsi="宋体"/>
          <w:color w:val="auto"/>
          <w:szCs w:val="21"/>
          <w:highlight w:val="none"/>
        </w:rPr>
        <w:br w:type="page"/>
      </w:r>
      <w:bookmarkStart w:id="22" w:name="_Toc11886"/>
      <w:r>
        <w:rPr>
          <w:rFonts w:hint="eastAsia" w:ascii="楷体" w:hAnsi="楷体" w:eastAsia="楷体" w:cs="楷体"/>
          <w:color w:val="auto"/>
          <w:szCs w:val="21"/>
          <w:highlight w:val="none"/>
        </w:rPr>
        <w:t>（二）残疾人福利性单位声明函（仅限残疾人福利性单位）</w:t>
      </w:r>
      <w:bookmarkEnd w:id="22"/>
    </w:p>
    <w:p>
      <w:pPr>
        <w:spacing w:line="400" w:lineRule="exact"/>
        <w:rPr>
          <w:rFonts w:ascii="宋体" w:hAnsi="宋体"/>
          <w:b/>
          <w:bCs/>
          <w:color w:val="auto"/>
          <w:szCs w:val="21"/>
          <w:highlight w:val="none"/>
        </w:rPr>
      </w:pP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中国残疾人联合会关于促进残疾人就业政府采购政策的通知》（财库〔2017〕141号）的规定，本单位为符合条件的残疾人福利性单位，且本单位参加项目编号为的   (项目名称)   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pPr>
        <w:pStyle w:val="1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投标人知悉《关于促进残疾人就业政府采购政策的通知》（财库〔2017〕141号）的规定，承诺提供的声明函内容是真实的，如提供声明函内容不实，则依法追究相关法律责任。</w:t>
      </w:r>
    </w:p>
    <w:p>
      <w:pPr>
        <w:pStyle w:val="17"/>
        <w:rPr>
          <w:rFonts w:ascii="仿宋" w:hAnsi="仿宋" w:eastAsia="仿宋" w:cs="仿宋"/>
          <w:color w:val="auto"/>
          <w:szCs w:val="21"/>
          <w:highlight w:val="none"/>
        </w:rPr>
      </w:pPr>
    </w:p>
    <w:p>
      <w:pPr>
        <w:pStyle w:val="17"/>
        <w:rPr>
          <w:rFonts w:ascii="仿宋" w:hAnsi="仿宋" w:eastAsia="仿宋" w:cs="仿宋"/>
          <w:color w:val="auto"/>
          <w:szCs w:val="21"/>
          <w:highlight w:val="none"/>
        </w:rPr>
      </w:pPr>
    </w:p>
    <w:p>
      <w:pPr>
        <w:spacing w:line="400" w:lineRule="exact"/>
        <w:ind w:firstLine="420" w:firstLineChars="200"/>
        <w:rPr>
          <w:rFonts w:ascii="仿宋" w:hAnsi="仿宋" w:eastAsia="仿宋" w:cs="仿宋"/>
          <w:color w:val="auto"/>
          <w:szCs w:val="21"/>
          <w:highlight w:val="none"/>
        </w:rPr>
      </w:pPr>
    </w:p>
    <w:p>
      <w:pPr>
        <w:spacing w:line="400" w:lineRule="exact"/>
        <w:ind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企业名称：                                                                       </w:t>
      </w:r>
      <w:bookmarkStart w:id="23" w:name="_Toc17274"/>
      <w:r>
        <w:rPr>
          <w:rFonts w:hint="eastAsia" w:ascii="仿宋" w:hAnsi="仿宋" w:eastAsia="仿宋" w:cs="仿宋"/>
          <w:color w:val="auto"/>
          <w:szCs w:val="21"/>
          <w:highlight w:val="none"/>
        </w:rPr>
        <w:t>日期：</w:t>
      </w:r>
      <w:bookmarkEnd w:id="23"/>
    </w:p>
    <w:p>
      <w:pPr>
        <w:spacing w:line="400" w:lineRule="exact"/>
        <w:ind w:firstLine="420" w:firstLineChars="200"/>
        <w:rPr>
          <w:rFonts w:ascii="仿宋" w:hAnsi="仿宋" w:eastAsia="仿宋" w:cs="仿宋"/>
          <w:color w:val="auto"/>
          <w:szCs w:val="21"/>
          <w:highlight w:val="none"/>
        </w:rPr>
      </w:pPr>
    </w:p>
    <w:p>
      <w:pPr>
        <w:spacing w:line="400" w:lineRule="exact"/>
        <w:ind w:right="317"/>
        <w:jc w:val="center"/>
        <w:outlineLvl w:val="3"/>
        <w:rPr>
          <w:rFonts w:ascii="楷体" w:hAnsi="楷体" w:eastAsia="楷体" w:cs="楷体"/>
          <w:color w:val="auto"/>
          <w:szCs w:val="21"/>
          <w:highlight w:val="none"/>
        </w:rPr>
      </w:pPr>
      <w:r>
        <w:rPr>
          <w:rFonts w:ascii="宋体" w:hAnsi="宋体"/>
          <w:color w:val="auto"/>
          <w:szCs w:val="21"/>
          <w:highlight w:val="none"/>
        </w:rPr>
        <w:br w:type="page"/>
      </w:r>
      <w:bookmarkStart w:id="24" w:name="_Toc14626"/>
      <w:r>
        <w:rPr>
          <w:rFonts w:hint="eastAsia" w:ascii="楷体" w:hAnsi="楷体" w:eastAsia="楷体" w:cs="楷体"/>
          <w:color w:val="auto"/>
          <w:szCs w:val="21"/>
          <w:highlight w:val="none"/>
        </w:rPr>
        <w:t>（三）监狱企业声明函（仅限监狱企业）</w:t>
      </w:r>
      <w:bookmarkEnd w:id="24"/>
    </w:p>
    <w:p>
      <w:pPr>
        <w:spacing w:line="400" w:lineRule="exact"/>
        <w:rPr>
          <w:rFonts w:ascii="仿宋" w:hAnsi="仿宋" w:eastAsia="仿宋" w:cs="仿宋"/>
          <w:b/>
          <w:bCs/>
          <w:color w:val="auto"/>
          <w:szCs w:val="21"/>
          <w:highlight w:val="none"/>
        </w:rPr>
      </w:pP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司法部关于政府采购支持监狱企业发展有关问题的通知》（财库〔2014〕68号）的规定，本单位为符合条件的监狱企业，且本单位参加项目编号为的   (项目名称)   的采购活动，并提供（承诺人在□处打√）:□本单位制造的货物;□由本单位承担工程、提供服务;□提供其他监狱企业制造的货物。本条所称货物是指单一产品采购项目中的货物，或者非单一产品采购项目中的核心产品（货物）。</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本单位对上述声明的真实性负责。若有虚假承诺，视同提供虚假资料，将依法承担相应法律责任。</w:t>
      </w:r>
    </w:p>
    <w:p>
      <w:pPr>
        <w:spacing w:line="4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附：省级以上监狱管理局、戒毒管理局（含新疆生产建设兵团）出具的属于监狱企业的证明文件。</w:t>
      </w:r>
    </w:p>
    <w:p>
      <w:pPr>
        <w:pStyle w:val="17"/>
        <w:rPr>
          <w:rFonts w:ascii="仿宋" w:hAnsi="仿宋" w:eastAsia="仿宋" w:cs="仿宋"/>
          <w:color w:val="auto"/>
          <w:szCs w:val="21"/>
          <w:highlight w:val="none"/>
        </w:rPr>
      </w:pPr>
    </w:p>
    <w:p>
      <w:pPr>
        <w:pStyle w:val="17"/>
        <w:rPr>
          <w:rFonts w:ascii="仿宋" w:hAnsi="仿宋" w:eastAsia="仿宋" w:cs="仿宋"/>
          <w:color w:val="auto"/>
          <w:szCs w:val="21"/>
          <w:highlight w:val="none"/>
        </w:rPr>
      </w:pPr>
    </w:p>
    <w:p>
      <w:pPr>
        <w:pStyle w:val="17"/>
        <w:rPr>
          <w:rFonts w:ascii="仿宋" w:hAnsi="仿宋" w:eastAsia="仿宋" w:cs="仿宋"/>
          <w:color w:val="auto"/>
          <w:szCs w:val="21"/>
          <w:highlight w:val="none"/>
        </w:rPr>
      </w:pPr>
    </w:p>
    <w:p>
      <w:pPr>
        <w:spacing w:line="400" w:lineRule="exact"/>
        <w:ind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企业名称：                                                                  </w:t>
      </w:r>
      <w:bookmarkStart w:id="25" w:name="_Toc8372"/>
      <w:r>
        <w:rPr>
          <w:rFonts w:hint="eastAsia" w:ascii="仿宋" w:hAnsi="仿宋" w:eastAsia="仿宋" w:cs="仿宋"/>
          <w:color w:val="auto"/>
          <w:szCs w:val="21"/>
          <w:highlight w:val="none"/>
        </w:rPr>
        <w:t>日期：</w:t>
      </w:r>
      <w:bookmarkEnd w:id="25"/>
    </w:p>
    <w:p>
      <w:pPr>
        <w:spacing w:line="400" w:lineRule="exact"/>
        <w:ind w:firstLine="420" w:firstLineChars="200"/>
        <w:rPr>
          <w:rFonts w:ascii="仿宋" w:hAnsi="仿宋" w:eastAsia="仿宋" w:cs="仿宋"/>
          <w:color w:val="auto"/>
          <w:szCs w:val="21"/>
          <w:highlight w:val="none"/>
        </w:rPr>
      </w:pPr>
    </w:p>
    <w:p>
      <w:pPr>
        <w:rPr>
          <w:rFonts w:ascii="黑体" w:hAnsi="黑体" w:eastAsia="黑体"/>
          <w:color w:val="auto"/>
          <w:sz w:val="24"/>
          <w:highlight w:val="none"/>
        </w:rPr>
      </w:pPr>
      <w:r>
        <w:rPr>
          <w:rFonts w:ascii="黑体" w:hAnsi="黑体" w:eastAsia="黑体"/>
          <w:color w:val="auto"/>
          <w:sz w:val="24"/>
          <w:highlight w:val="none"/>
        </w:rPr>
        <w:br w:type="page"/>
      </w:r>
    </w:p>
    <w:p>
      <w:pPr>
        <w:widowControl/>
        <w:spacing w:line="400" w:lineRule="exact"/>
        <w:jc w:val="center"/>
        <w:outlineLvl w:val="0"/>
        <w:rPr>
          <w:rFonts w:eastAsia="黑体"/>
          <w:b/>
          <w:bCs/>
          <w:color w:val="auto"/>
          <w:sz w:val="30"/>
          <w:highlight w:val="none"/>
        </w:rPr>
      </w:pPr>
      <w:r>
        <w:rPr>
          <w:rFonts w:hint="eastAsia" w:ascii="黑体" w:hAnsi="黑体" w:eastAsia="黑体" w:cs="黑体"/>
          <w:color w:val="auto"/>
          <w:sz w:val="30"/>
          <w:highlight w:val="none"/>
        </w:rPr>
        <w:t>四、其他</w:t>
      </w:r>
    </w:p>
    <w:p>
      <w:pPr>
        <w:pStyle w:val="8"/>
        <w:rPr>
          <w:color w:val="auto"/>
          <w:highlight w:val="none"/>
        </w:rPr>
      </w:pPr>
    </w:p>
    <w:p>
      <w:pPr>
        <w:pStyle w:val="8"/>
        <w:jc w:val="center"/>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《关于印发〈政府采购促进中小企业发展管理办法〉的通知》</w:t>
      </w:r>
    </w:p>
    <w:p>
      <w:pPr>
        <w:pStyle w:val="8"/>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财库〔2020〕46号</w:t>
      </w:r>
    </w:p>
    <w:p>
      <w:pPr>
        <w:pStyle w:val="8"/>
        <w:jc w:val="center"/>
        <w:rPr>
          <w:rFonts w:ascii="仿宋" w:hAnsi="仿宋" w:eastAsia="仿宋" w:cs="仿宋"/>
          <w:color w:val="auto"/>
          <w:szCs w:val="21"/>
          <w:highlight w:val="none"/>
        </w:rPr>
      </w:pPr>
    </w:p>
    <w:p>
      <w:pPr>
        <w:pStyle w:val="15"/>
        <w:spacing w:before="0" w:beforeAutospacing="0" w:after="0" w:afterAutospacing="0" w:line="27" w:lineRule="atLeast"/>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各中央预算单位办公厅（室），各省、自治区、直辖市、计划单列市财政厅（局）、工业和信息化主管部门，新疆生产建设兵团财政局、工业和信息化主管部门：</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附件：政府采购促进中小企业发展管理办法</w:t>
      </w:r>
    </w:p>
    <w:p>
      <w:pPr>
        <w:pStyle w:val="15"/>
        <w:spacing w:before="0" w:beforeAutospacing="0" w:after="0" w:afterAutospacing="0" w:line="27" w:lineRule="atLeast"/>
        <w:ind w:firstLine="420" w:firstLineChars="200"/>
        <w:jc w:val="righ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财政部</w:t>
      </w:r>
    </w:p>
    <w:p>
      <w:pPr>
        <w:pStyle w:val="15"/>
        <w:spacing w:before="0" w:beforeAutospacing="0" w:after="0" w:afterAutospacing="0" w:line="27" w:lineRule="atLeast"/>
        <w:ind w:firstLine="420" w:firstLineChars="200"/>
        <w:jc w:val="righ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工业和信息化部</w:t>
      </w:r>
    </w:p>
    <w:p>
      <w:pPr>
        <w:pStyle w:val="15"/>
        <w:spacing w:before="0" w:beforeAutospacing="0" w:after="0" w:afterAutospacing="0" w:line="27" w:lineRule="atLeast"/>
        <w:ind w:firstLine="420" w:firstLineChars="200"/>
        <w:jc w:val="righ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2020年12月18日</w:t>
      </w:r>
    </w:p>
    <w:p>
      <w:pPr>
        <w:pStyle w:val="15"/>
        <w:spacing w:before="0" w:beforeAutospacing="0" w:after="0" w:afterAutospacing="0" w:line="27" w:lineRule="atLeast"/>
        <w:ind w:firstLine="420" w:firstLineChars="200"/>
        <w:jc w:val="right"/>
        <w:rPr>
          <w:rFonts w:ascii="仿宋" w:hAnsi="仿宋" w:eastAsia="仿宋" w:cs="仿宋"/>
          <w:color w:val="auto"/>
          <w:kern w:val="2"/>
          <w:sz w:val="21"/>
          <w:szCs w:val="21"/>
          <w:highlight w:val="none"/>
        </w:rPr>
      </w:pP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 xml:space="preserve">第一条 为了发挥政府采购的政策功能，促进中小企业健康发展，根据《中华人民共和国政府采购法》、《中华人民共和国中小企业促进法》等有关法律法规，制定本办法。 </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第三条 采购人在政府采购活动中应当通过加强采购需求管理，落实预留采购份额、价格评审优惠、优先采购等措施，提高中小企业在政府采购中的份额，支持中小企业发展。</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第四条 在政府采购活动中，供应商提供的货物、工程或者服务符合下列情形的，享受本办法规定的中小企业扶持政策：</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（一）在货物采购项目中，货物由中小企业制造，即货物由中小企业生产且使用该中小企业商号或者注册商标；</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（二）在工程采购项目中，工程由中小企业承建，即工程施工单位为中小企业；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（三）在服务采购项目中，服务由中小企业承接，即提2供服务的人员为中小企业依照《中华人民共和国劳动合同法》订立劳动合同的从业人员。</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在货物采购项目中，供应商提供的货物既有中小企业制造货物，也有大型企业制造货物的，不享受本办法规定的中小企业扶持政策。</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以联合体形式参加政府采购活动，联合体各方均为中小企业的，联合体视同中小企业。其中，联合体各方均为小微企业的，联合体视同小微企业。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（一）法律法规和国家有关政策明确规定优先或者应当面向事业单位、社会组织等非企业主体采购的；</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（二）因确需使用不可替代的专利、专有技术，基础设施限制，或者提供特定公共服务等原因，只能从中小企业之外的供应商处采购的；</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（三）按照本办法规定预留采购份额无法确保充分供应、充分竞争，或者存在可能影响政府采购目标实现的情形；</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（四）框架协议采购项目；</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五）省级以上人民政府财政部门规定的其他情形。除上述情形外，其他均为适宜由中小企业提供的情形。第七条采购限额标准以上，200万元以下的货物和服务采购项目、400万元以下的工程采购项目，适宜由中小企业提供的，采购人应当专门面向中小企业采购。</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（一）将采购项目整体或者设置采购包专门面向中小企业采购；</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（二）要求供应商以联合体形式参加采购活动，且联合体中中小企业承担的部分达到一定比例；</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4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5九条有关规定重新组织采购活动。</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第十二条 采购项目涉及中小企业采购的，采购文件应当明确以下内容：</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（一）预留份额的采购项目或者采购包，明确该项目或相关采购包专门面向中小企业采购，以及相关标的及预算金额；</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（二）要求以联合体形式参加或者合同分包的，明确联合协议或者分包意向协议中中小企业合同金额应当达到的比例，并作为供应商资格条件；</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（三）非预留份额的采购项目或者采购包，明确有关价格扣除比例或者价格分加分比例；</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（四）规定依据本办法规定享受扶持政策获得政府采购合同的，小微企业不得将合同分包给大中型企业，中型企业不得将合同分包给大型企业；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（五）采购人认为具备相关条件的，明确对中小企业在资金支付期限、预付款比例等方面的优惠措施；</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（六）明确采购标的对应的中小企业划分标准所属行业；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七）法律法规和省级以上人民政府财政部门规定的其他事项。第十三条中标、成交供应商享受本办法规定的中小企6业扶持政策的，采购人、采购代理机构应当随中标、成交结果公开中标、成交供应商的《中小企业声明函》。适用招标投标法的政府采购工程建设项目，应当在公示中标候选人时公开中标候选人的《中小企业声明函》。</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中小企业主管部门应当在收到财政部门或者有关招标投标行政监督部门关于协助开展中小企业认定函后10个工作日内做出书面答复。</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第二十条 供应商按照本办法规定提供声明函内容不实的，属于提供虚假材料谋取中标、成交，依照《中华人民共和国政府采购法》等国家有关规定追究相应责任。</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第二十二条 对外援助项目、国家相关资格或者资质管理制度另有规定的项目，不适用本办法。</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第二十三条 关于视同中小企业的其他主体的政府采购扶持政策，由财政部会同有关部门另行规定。</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第二十四条 省级财政部门可以会同中小企业主管部门根据本办法的规定制定具体实施办法。</w:t>
      </w:r>
    </w:p>
    <w:p>
      <w:pPr>
        <w:pStyle w:val="15"/>
        <w:spacing w:before="0" w:beforeAutospacing="0" w:after="0" w:afterAutospacing="0" w:line="27" w:lineRule="atLeast"/>
        <w:ind w:firstLine="420" w:firstLineChars="200"/>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第二十五条 本办法自2021年1月1日起施行。《财政部工业和信息化部关于印发〈政府采购促进中小企业发展暂行办法〉的通知》（财库﹝2011﹞181号）同时废止。</w:t>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8"/>
        <w:rPr>
          <w:rFonts w:ascii="仿宋" w:hAnsi="仿宋" w:eastAsia="仿宋" w:cs="仿宋"/>
          <w:color w:val="auto"/>
          <w:szCs w:val="21"/>
          <w:highlight w:val="none"/>
        </w:rPr>
      </w:pPr>
    </w:p>
    <w:p>
      <w:pPr>
        <w:pStyle w:val="8"/>
        <w:jc w:val="center"/>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关于印发〈中小企业划型标准规定〉的通知</w:t>
      </w:r>
    </w:p>
    <w:p>
      <w:pPr>
        <w:pStyle w:val="8"/>
        <w:jc w:val="center"/>
        <w:rPr>
          <w:rFonts w:ascii="仿宋" w:hAnsi="仿宋" w:eastAsia="仿宋" w:cs="仿宋"/>
          <w:color w:val="auto"/>
          <w:sz w:val="24"/>
          <w:highlight w:val="none"/>
        </w:rPr>
      </w:pPr>
      <w:r>
        <w:rPr>
          <w:rFonts w:hint="eastAsia" w:ascii="仿宋" w:hAnsi="仿宋" w:eastAsia="仿宋" w:cs="仿宋"/>
          <w:color w:val="auto"/>
          <w:sz w:val="22"/>
          <w:szCs w:val="22"/>
          <w:highlight w:val="none"/>
        </w:rPr>
        <w:t>工信部联企〔2011〕300号</w:t>
      </w:r>
    </w:p>
    <w:p>
      <w:pPr>
        <w:pStyle w:val="8"/>
        <w:rPr>
          <w:rFonts w:ascii="仿宋" w:hAnsi="仿宋" w:eastAsia="仿宋" w:cs="仿宋"/>
          <w:color w:val="auto"/>
          <w:szCs w:val="21"/>
          <w:highlight w:val="none"/>
        </w:rPr>
      </w:pPr>
    </w:p>
    <w:p>
      <w:pPr>
        <w:pStyle w:val="8"/>
        <w:rPr>
          <w:rFonts w:ascii="仿宋" w:hAnsi="仿宋" w:eastAsia="仿宋" w:cs="仿宋"/>
          <w:color w:val="auto"/>
          <w:szCs w:val="21"/>
          <w:highlight w:val="none"/>
        </w:rPr>
      </w:pPr>
      <w:r>
        <w:rPr>
          <w:rFonts w:hint="eastAsia" w:ascii="仿宋" w:hAnsi="仿宋" w:eastAsia="仿宋" w:cs="仿宋"/>
          <w:color w:val="auto"/>
          <w:szCs w:val="21"/>
          <w:highlight w:val="none"/>
        </w:rPr>
        <w:t>各省、自治区、直辖市人民政府，国务院各部委、各直属机构及有关单位：</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8"/>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工业和信息化部</w:t>
      </w:r>
    </w:p>
    <w:p>
      <w:pPr>
        <w:pStyle w:val="8"/>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国家统计局</w:t>
      </w:r>
    </w:p>
    <w:p>
      <w:pPr>
        <w:pStyle w:val="8"/>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国家发展和改革委员会</w:t>
      </w:r>
    </w:p>
    <w:p>
      <w:pPr>
        <w:pStyle w:val="8"/>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财政部</w:t>
      </w:r>
    </w:p>
    <w:p>
      <w:pPr>
        <w:pStyle w:val="8"/>
        <w:ind w:firstLine="420" w:firstLineChars="200"/>
        <w:jc w:val="right"/>
        <w:rPr>
          <w:rFonts w:ascii="仿宋" w:hAnsi="仿宋" w:eastAsia="仿宋" w:cs="仿宋"/>
          <w:color w:val="auto"/>
          <w:szCs w:val="21"/>
          <w:highlight w:val="none"/>
        </w:rPr>
      </w:pPr>
      <w:r>
        <w:rPr>
          <w:rFonts w:hint="default" w:ascii="仿宋" w:hAnsi="仿宋" w:eastAsia="仿宋" w:cs="仿宋"/>
          <w:color w:val="auto"/>
          <w:szCs w:val="21"/>
          <w:highlight w:val="none"/>
        </w:rPr>
        <w:t>二</w:t>
      </w:r>
      <w:r>
        <w:rPr>
          <w:rFonts w:hint="eastAsia" w:ascii="仿宋" w:hAnsi="仿宋" w:eastAsia="仿宋" w:cs="仿宋"/>
          <w:color w:val="auto"/>
          <w:szCs w:val="21"/>
          <w:highlight w:val="none"/>
        </w:rPr>
        <w:t>○一一年六月十八日</w:t>
      </w:r>
    </w:p>
    <w:p>
      <w:pPr>
        <w:pStyle w:val="8"/>
        <w:ind w:firstLine="420" w:firstLineChars="200"/>
        <w:jc w:val="center"/>
        <w:rPr>
          <w:rFonts w:ascii="仿宋" w:hAnsi="仿宋" w:eastAsia="仿宋" w:cs="仿宋"/>
          <w:color w:val="auto"/>
          <w:szCs w:val="21"/>
          <w:highlight w:val="none"/>
        </w:rPr>
      </w:pPr>
    </w:p>
    <w:p>
      <w:pPr>
        <w:pStyle w:val="8"/>
        <w:ind w:firstLine="420" w:firstLineChars="20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中小企业划型标准规定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一、根据《中华人民共和国中小企业促进法》和《国务院关于进一步促进中小企业发展的若干意见》(国发〔2009〕36号)，制定本规定。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二、中小企业划分为中型、小型、微型三种类型，具体标准根据企业从业人员、营业收入、资产总额等指标，结合行业特点制定。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四、各行业划型标准为：</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五、企业类型的划分以统计部门的统计数据为依据。</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六、本规定适用于在中华人民共和国境内依法设立的各类所有制和各种组织形式的企业。个体工商户和本规定以外的行业，参照本规定进行划型。</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八、本规定由工业和信息化部、国家统计局会同有关部门根据《国民经济行业分类》修订情况和企业发展变化情况适时修订。</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九、本规定由工业和信息化部、国家统计局会同有关部门负责解释。</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十、本规定自发布之日起执行，原国家经贸委、原国家计委、财政部和国家统计局2003年颁布的《中小企业标准暂行规定》同时废止。</w:t>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8"/>
        <w:jc w:val="center"/>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国家统计局关于印发《统计上大中小微型企业划分办法（2017）》的通知</w:t>
      </w:r>
    </w:p>
    <w:p>
      <w:pPr>
        <w:pStyle w:val="8"/>
        <w:jc w:val="center"/>
        <w:rPr>
          <w:rFonts w:ascii="仿宋" w:hAnsi="仿宋" w:eastAsia="仿宋" w:cs="仿宋"/>
          <w:b/>
          <w:bCs/>
          <w:color w:val="auto"/>
          <w:sz w:val="24"/>
          <w:highlight w:val="none"/>
        </w:rPr>
      </w:pPr>
    </w:p>
    <w:p>
      <w:pPr>
        <w:pStyle w:val="8"/>
        <w:rPr>
          <w:rFonts w:ascii="仿宋" w:hAnsi="仿宋" w:eastAsia="仿宋" w:cs="仿宋"/>
          <w:color w:val="auto"/>
          <w:szCs w:val="21"/>
          <w:highlight w:val="none"/>
        </w:rPr>
      </w:pPr>
      <w:r>
        <w:rPr>
          <w:rFonts w:hint="eastAsia" w:ascii="仿宋" w:hAnsi="仿宋" w:eastAsia="仿宋" w:cs="仿宋"/>
          <w:color w:val="auto"/>
          <w:szCs w:val="21"/>
          <w:highlight w:val="none"/>
        </w:rPr>
        <w:t>各省、自治区、直辖市统计局，新疆生产建设兵团统计局，国务院各有关部门，国家统计局各调查总队：</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附件：《统计上大中小微型企业划分办法（2017）》修订说明</w:t>
      </w:r>
    </w:p>
    <w:p>
      <w:pPr>
        <w:pStyle w:val="8"/>
        <w:jc w:val="right"/>
        <w:rPr>
          <w:rFonts w:ascii="仿宋" w:hAnsi="仿宋" w:eastAsia="仿宋" w:cs="仿宋"/>
          <w:color w:val="auto"/>
          <w:szCs w:val="21"/>
          <w:highlight w:val="none"/>
        </w:rPr>
      </w:pPr>
    </w:p>
    <w:p>
      <w:pPr>
        <w:pStyle w:val="8"/>
        <w:jc w:val="right"/>
        <w:rPr>
          <w:rFonts w:ascii="仿宋" w:hAnsi="仿宋" w:eastAsia="仿宋" w:cs="仿宋"/>
          <w:color w:val="auto"/>
          <w:szCs w:val="21"/>
          <w:highlight w:val="none"/>
        </w:rPr>
      </w:pPr>
      <w:r>
        <w:rPr>
          <w:rFonts w:hint="eastAsia" w:ascii="仿宋" w:hAnsi="仿宋" w:eastAsia="仿宋" w:cs="仿宋"/>
          <w:color w:val="auto"/>
          <w:szCs w:val="21"/>
          <w:highlight w:val="none"/>
        </w:rPr>
        <w:t>国家统计局</w:t>
      </w:r>
    </w:p>
    <w:p>
      <w:pPr>
        <w:pStyle w:val="8"/>
        <w:jc w:val="right"/>
        <w:rPr>
          <w:rFonts w:ascii="仿宋" w:hAnsi="仿宋" w:eastAsia="仿宋" w:cs="仿宋"/>
          <w:color w:val="auto"/>
          <w:szCs w:val="21"/>
          <w:highlight w:val="none"/>
        </w:rPr>
      </w:pPr>
      <w:r>
        <w:rPr>
          <w:rFonts w:hint="eastAsia" w:ascii="仿宋" w:hAnsi="仿宋" w:eastAsia="仿宋" w:cs="仿宋"/>
          <w:color w:val="auto"/>
          <w:szCs w:val="21"/>
          <w:highlight w:val="none"/>
        </w:rPr>
        <w:t>2017年12月28日</w:t>
      </w:r>
    </w:p>
    <w:p>
      <w:pPr>
        <w:pStyle w:val="8"/>
        <w:jc w:val="center"/>
        <w:rPr>
          <w:rFonts w:ascii="仿宋" w:hAnsi="仿宋" w:eastAsia="仿宋" w:cs="仿宋"/>
          <w:color w:val="auto"/>
          <w:szCs w:val="21"/>
          <w:highlight w:val="none"/>
        </w:rPr>
      </w:pPr>
    </w:p>
    <w:p>
      <w:pPr>
        <w:pStyle w:val="8"/>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统计上大中小微型企业划分办法（2017）</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二、本办法适用对象为在中华人民共和国境内依法设立的各种组织形式的法人企业或单位。个体工商户参照本办法进行划分。</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五、企业划分由政府综合统计部门根据统计年报每年确定一次，定报统计原则上不进行调整。</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六、本办法自印发之日起执行，国家统计局2011年印发的《统计上大中小微型企业划分办法》（国统字〔2011〕75号）同时废止。</w:t>
      </w:r>
    </w:p>
    <w:p>
      <w:pPr>
        <w:widowControl/>
        <w:spacing w:line="6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附表</w:t>
      </w:r>
    </w:p>
    <w:p>
      <w:pPr>
        <w:widowControl/>
        <w:spacing w:line="330" w:lineRule="atLeast"/>
        <w:jc w:val="center"/>
        <w:outlineLvl w:val="1"/>
        <w:rPr>
          <w:rFonts w:ascii="仿宋" w:hAnsi="仿宋" w:eastAsia="仿宋" w:cs="仿宋"/>
          <w:color w:val="auto"/>
          <w:szCs w:val="21"/>
          <w:highlight w:val="none"/>
        </w:rPr>
      </w:pPr>
      <w:r>
        <w:rPr>
          <w:rFonts w:hint="eastAsia" w:ascii="仿宋" w:hAnsi="仿宋" w:eastAsia="仿宋" w:cs="仿宋"/>
          <w:color w:val="auto"/>
          <w:szCs w:val="21"/>
          <w:highlight w:val="none"/>
        </w:rPr>
        <w:t>统计上大中小微型企业划分标准</w:t>
      </w:r>
    </w:p>
    <w:tbl>
      <w:tblPr>
        <w:tblStyle w:val="18"/>
        <w:tblW w:w="8907" w:type="dxa"/>
        <w:jc w:val="center"/>
        <w:tblLayout w:type="fixed"/>
        <w:tblCellMar>
          <w:top w:w="0" w:type="dxa"/>
          <w:left w:w="108" w:type="dxa"/>
          <w:bottom w:w="0" w:type="dxa"/>
          <w:right w:w="108" w:type="dxa"/>
        </w:tblCellMar>
      </w:tblPr>
      <w:tblGrid>
        <w:gridCol w:w="1582"/>
        <w:gridCol w:w="1462"/>
        <w:gridCol w:w="838"/>
        <w:gridCol w:w="1087"/>
        <w:gridCol w:w="1563"/>
        <w:gridCol w:w="1425"/>
        <w:gridCol w:w="950"/>
      </w:tblGrid>
      <w:tr>
        <w:tblPrEx>
          <w:tblCellMar>
            <w:top w:w="0" w:type="dxa"/>
            <w:left w:w="108" w:type="dxa"/>
            <w:bottom w:w="0" w:type="dxa"/>
            <w:right w:w="108" w:type="dxa"/>
          </w:tblCellMar>
        </w:tblPrEx>
        <w:trPr>
          <w:trHeight w:val="622"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行业名称</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指标名称</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计量</w:t>
            </w:r>
            <w:r>
              <w:rPr>
                <w:rFonts w:hint="eastAsia" w:ascii="仿宋" w:hAnsi="仿宋" w:eastAsia="仿宋" w:cs="仿宋"/>
                <w:color w:val="auto"/>
                <w:sz w:val="15"/>
                <w:szCs w:val="15"/>
                <w:highlight w:val="none"/>
              </w:rPr>
              <w:br w:type="textWrapping"/>
            </w:r>
            <w:r>
              <w:rPr>
                <w:rFonts w:hint="eastAsia" w:ascii="仿宋" w:hAnsi="仿宋" w:eastAsia="仿宋" w:cs="仿宋"/>
                <w:color w:val="auto"/>
                <w:sz w:val="15"/>
                <w:szCs w:val="15"/>
                <w:highlight w:val="none"/>
              </w:rPr>
              <w:t>单位</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大型</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中型</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小型</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微型</w:t>
            </w:r>
          </w:p>
        </w:tc>
      </w:tr>
      <w:tr>
        <w:tblPrEx>
          <w:tblCellMar>
            <w:top w:w="0" w:type="dxa"/>
            <w:left w:w="108" w:type="dxa"/>
            <w:bottom w:w="0" w:type="dxa"/>
            <w:right w:w="108" w:type="dxa"/>
          </w:tblCellMar>
        </w:tblPrEx>
        <w:trPr>
          <w:trHeight w:val="397"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农、林、牧、渔业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500≤Y＜20000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50≤Y＜500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Y＜50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工业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Y≥40000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2000≤Y＜40000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300≤Y＜2000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Y＜300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建筑业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Y≥80000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6000≤Y＜80000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300≤Y＜6000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Y＜300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资产总额(Z)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Z≥80000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5000≤Z＜80000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300≤Z＜5000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Z＜300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批发业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20≤X＜200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5≤X＜20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X＜5</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Y≥40000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5000≤Y＜40000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1000≤Y＜5000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零售业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50≤X＜300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10≤X＜50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500≤Y＜20000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 w:leftChars="-1" w:hanging="1"/>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100≤Y＜500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交通运输业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200≤Y＜3000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Y＜200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仓储业*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100≤X＜200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20≤X＜100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1000≤Y＜30000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邮政业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20≤X＜300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Y≥30000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2000≤Y＜30000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住宿业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餐饮业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100≤Y＜2000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97"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信息传输业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X≥2000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100≤X＜2000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97"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1000≤Y＜100000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软件和信息技术服务业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1000≤Y＜10000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Y＜50</w:t>
            </w:r>
          </w:p>
        </w:tc>
      </w:tr>
      <w:tr>
        <w:tblPrEx>
          <w:tblCellMar>
            <w:top w:w="0" w:type="dxa"/>
            <w:left w:w="108" w:type="dxa"/>
            <w:bottom w:w="0" w:type="dxa"/>
            <w:right w:w="108" w:type="dxa"/>
          </w:tblCellMar>
        </w:tblPrEx>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房地产开发经营</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Y≥200000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1000≤Y＜200000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Y＜100</w:t>
            </w:r>
          </w:p>
        </w:tc>
      </w:tr>
      <w:tr>
        <w:tblPrEx>
          <w:tblCellMar>
            <w:top w:w="0" w:type="dxa"/>
            <w:left w:w="108" w:type="dxa"/>
            <w:bottom w:w="0" w:type="dxa"/>
            <w:right w:w="108" w:type="dxa"/>
          </w:tblCellMar>
        </w:tblPrEx>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资产总额(Z)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Z≥10000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5000≤Z＜10000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2000≤Z＜5000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Z＜2000</w:t>
            </w:r>
          </w:p>
        </w:tc>
      </w:tr>
      <w:tr>
        <w:tblPrEx>
          <w:tblCellMar>
            <w:top w:w="0" w:type="dxa"/>
            <w:left w:w="108" w:type="dxa"/>
            <w:bottom w:w="0" w:type="dxa"/>
            <w:right w:w="108" w:type="dxa"/>
          </w:tblCellMar>
        </w:tblPrEx>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物业管理</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300≤X＜1000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X＜100</w:t>
            </w:r>
          </w:p>
        </w:tc>
      </w:tr>
      <w:tr>
        <w:tblPrEx>
          <w:tblCellMar>
            <w:top w:w="0" w:type="dxa"/>
            <w:left w:w="108" w:type="dxa"/>
            <w:bottom w:w="0" w:type="dxa"/>
            <w:right w:w="108" w:type="dxa"/>
          </w:tblCellMar>
        </w:tblPrEx>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营业收入(Y)</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Y≥5000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1000≤Y＜5000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500≤Y＜1000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Y＜500</w:t>
            </w:r>
          </w:p>
        </w:tc>
      </w:tr>
      <w:tr>
        <w:tblPrEx>
          <w:tblCellMar>
            <w:top w:w="0" w:type="dxa"/>
            <w:left w:w="108" w:type="dxa"/>
            <w:bottom w:w="0" w:type="dxa"/>
            <w:right w:w="108" w:type="dxa"/>
          </w:tblCellMar>
        </w:tblPrEx>
        <w:trPr>
          <w:trHeight w:val="340" w:hRule="exact"/>
          <w:jc w:val="center"/>
        </w:trPr>
        <w:tc>
          <w:tcPr>
            <w:tcW w:w="158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租赁和商务服务业</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r>
        <w:tblPrEx>
          <w:tblCellMar>
            <w:top w:w="0" w:type="dxa"/>
            <w:left w:w="108" w:type="dxa"/>
            <w:bottom w:w="0" w:type="dxa"/>
            <w:right w:w="108" w:type="dxa"/>
          </w:tblCellMar>
        </w:tblPrEx>
        <w:trPr>
          <w:trHeight w:val="340" w:hRule="exact"/>
          <w:jc w:val="center"/>
        </w:trPr>
        <w:tc>
          <w:tcPr>
            <w:tcW w:w="158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 w:hAnsi="仿宋" w:eastAsia="仿宋" w:cs="仿宋"/>
                <w:color w:val="auto"/>
                <w:sz w:val="15"/>
                <w:szCs w:val="15"/>
                <w:highlight w:val="none"/>
              </w:rPr>
            </w:pP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资产总额(Z)</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万元</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Z≥120000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8000≤Z＜120000</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100≤Z＜8000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Z＜100</w:t>
            </w:r>
          </w:p>
        </w:tc>
      </w:tr>
      <w:tr>
        <w:tblPrEx>
          <w:tblCellMar>
            <w:top w:w="0" w:type="dxa"/>
            <w:left w:w="108" w:type="dxa"/>
            <w:bottom w:w="0" w:type="dxa"/>
            <w:right w:w="108" w:type="dxa"/>
          </w:tblCellMar>
        </w:tblPrEx>
        <w:trPr>
          <w:trHeight w:val="397" w:hRule="exac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exact"/>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其他未列明行业 *</w:t>
            </w:r>
          </w:p>
        </w:tc>
        <w:tc>
          <w:tcPr>
            <w:tcW w:w="14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从业人员(X)</w:t>
            </w:r>
          </w:p>
        </w:tc>
        <w:tc>
          <w:tcPr>
            <w:tcW w:w="8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人</w:t>
            </w:r>
          </w:p>
        </w:tc>
        <w:tc>
          <w:tcPr>
            <w:tcW w:w="10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X≥300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7" w:leftChars="-51" w:hanging="90" w:hangingChars="60"/>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100≤X＜300 </w:t>
            </w:r>
          </w:p>
        </w:tc>
        <w:tc>
          <w:tcPr>
            <w:tcW w:w="1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10≤X＜100</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X＜10</w:t>
            </w:r>
          </w:p>
        </w:tc>
      </w:tr>
    </w:tbl>
    <w:p>
      <w:pPr>
        <w:widowControl/>
        <w:spacing w:line="5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说明：</w:t>
      </w:r>
    </w:p>
    <w:p>
      <w:pPr>
        <w:widowControl/>
        <w:spacing w:line="5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1.大型、中型和小型企业须同时满足所列指标的下限，否则下划一档；微型企业只需满足所列指标中的一项即可。</w:t>
      </w:r>
    </w:p>
    <w:p>
      <w:pPr>
        <w:widowControl/>
        <w:spacing w:line="5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54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8"/>
        <w:jc w:val="center"/>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关于促进残疾人就业政府采购政策的通知</w:t>
      </w:r>
    </w:p>
    <w:p>
      <w:pPr>
        <w:pStyle w:val="8"/>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财库〔2017〕141号</w:t>
      </w:r>
    </w:p>
    <w:p>
      <w:pPr>
        <w:pStyle w:val="8"/>
        <w:jc w:val="center"/>
        <w:rPr>
          <w:rFonts w:ascii="仿宋" w:hAnsi="仿宋" w:eastAsia="仿宋" w:cs="仿宋"/>
          <w:color w:val="auto"/>
          <w:szCs w:val="21"/>
          <w:highlight w:val="none"/>
        </w:rPr>
      </w:pPr>
    </w:p>
    <w:p>
      <w:pPr>
        <w:pStyle w:val="8"/>
        <w:rPr>
          <w:rFonts w:ascii="仿宋" w:hAnsi="仿宋" w:eastAsia="仿宋" w:cs="仿宋"/>
          <w:color w:val="auto"/>
          <w:szCs w:val="21"/>
          <w:highlight w:val="none"/>
        </w:rPr>
      </w:pPr>
      <w:r>
        <w:rPr>
          <w:rFonts w:hint="eastAsia" w:ascii="仿宋" w:hAnsi="仿宋" w:eastAsia="仿宋" w:cs="仿宋"/>
          <w:color w:val="auto"/>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为了发挥政府采购促进残疾人就业的作用，进一步保障残疾人权益，依照《政府采购法》、《残疾人保障法》等法律法规及相关规定，现就促进残疾人就业政府采购政策通知如下：</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一、享受政府采购支持政策的残疾人福利性单位应当同时满足以下条件：</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（一）安置的残疾人占本单位在职职工人数的比例不低于25%（含25%），并且安置的残疾人人数不少于10人（含10人）；</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（二）依法与安置的每位残疾人签订了一年以上（含一年）的劳动合同或服务协议；</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（三）为安置的每位残疾人按月足额缴纳了基本养老保险、基本医疗保险、失业保险、工伤保险和生育保险等社会保险费；</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（四）通过银行等金融机构向安置的每位残疾人，按月支付了不低于单位所在区县适用的经省级人民政府批准的月最低工资标准的工资；</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（五）提供本单位制造的货物、承担的工程或者服务（以下简称产品），或者提供其他残疾人福利性单位制造的货物（不包括使用非残疾人福利性单位注册商标的货物）。</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中标、成交供应商为残疾人福利性单位的，采购人或者其委托的采购代理机构应当随中标、成交结果同时公告其《残疾人福利性单位声明函》，接受社会监督。</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供应商提供的《残疾人福利性单位声明函》与事实不符的，依照《政府采购法》第七十七条第一款的规定追究法律责任。</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四、采购人采购公开招标数额标准以上的货物或者服务，因落实促进残疾人就业政策的需要，依法履行有关报批程序后，可采用公开招标以外的采购方式。</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8"/>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七、本通知自2017年10月1日起执行。</w:t>
      </w:r>
    </w:p>
    <w:p>
      <w:pPr>
        <w:pStyle w:val="8"/>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财政部 民政部 中国残疾人联合会</w:t>
      </w:r>
    </w:p>
    <w:p>
      <w:pPr>
        <w:pStyle w:val="8"/>
        <w:ind w:firstLine="420" w:firstLineChars="200"/>
        <w:jc w:val="right"/>
        <w:rPr>
          <w:rFonts w:ascii="仿宋" w:hAnsi="仿宋" w:eastAsia="仿宋"/>
          <w:color w:val="auto"/>
          <w:sz w:val="24"/>
          <w:highlight w:val="none"/>
        </w:rPr>
      </w:pPr>
      <w:r>
        <w:rPr>
          <w:rFonts w:hint="eastAsia" w:ascii="仿宋" w:hAnsi="仿宋" w:eastAsia="仿宋" w:cs="仿宋"/>
          <w:color w:val="auto"/>
          <w:szCs w:val="21"/>
          <w:highlight w:val="none"/>
        </w:rPr>
        <w:t>2017年8月22日</w:t>
      </w:r>
    </w:p>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ling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pPr>
      <w:pStyle w:val="1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30</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11027"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焦守林2021102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1470"/>
        </w:tabs>
        <w:ind w:left="1470" w:hanging="420"/>
      </w:p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abstractNum w:abstractNumId="2">
    <w:nsid w:val="00000004"/>
    <w:multiLevelType w:val="multilevel"/>
    <w:tmpl w:val="00000004"/>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0053208E"/>
    <w:multiLevelType w:val="singleLevel"/>
    <w:tmpl w:val="0053208E"/>
    <w:lvl w:ilvl="0" w:tentative="0">
      <w:start w:val="2"/>
      <w:numFmt w:val="chineseCounting"/>
      <w:suff w:val="nothing"/>
      <w:lvlText w:val="%1、"/>
      <w:lvlJc w:val="left"/>
      <w:pPr>
        <w:ind w:left="-2"/>
      </w:pPr>
      <w:rPr>
        <w:rFonts w:hint="eastAsia"/>
      </w:rPr>
    </w:lvl>
  </w:abstractNum>
  <w:abstractNum w:abstractNumId="4">
    <w:nsid w:val="1C9E6DAA"/>
    <w:multiLevelType w:val="multilevel"/>
    <w:tmpl w:val="1C9E6DA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E37B1E"/>
    <w:multiLevelType w:val="multilevel"/>
    <w:tmpl w:val="5EE37B1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ECFD46"/>
    <w:multiLevelType w:val="multilevel"/>
    <w:tmpl w:val="66ECFD46"/>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A77FB8"/>
    <w:multiLevelType w:val="multilevel"/>
    <w:tmpl w:val="67A77FB8"/>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83731C"/>
    <w:multiLevelType w:val="multilevel"/>
    <w:tmpl w:val="7083731C"/>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CA9400"/>
    <w:multiLevelType w:val="multilevel"/>
    <w:tmpl w:val="7ACA9400"/>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9"/>
  </w:num>
  <w:num w:numId="4">
    <w:abstractNumId w:val="6"/>
  </w:num>
  <w:num w:numId="5">
    <w:abstractNumId w:val="7"/>
  </w:num>
  <w:num w:numId="6">
    <w:abstractNumId w:val="4"/>
  </w:num>
  <w:num w:numId="7">
    <w:abstractNumId w:val="8"/>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2E"/>
    <w:rsid w:val="0002117A"/>
    <w:rsid w:val="00083F55"/>
    <w:rsid w:val="00197A8B"/>
    <w:rsid w:val="001D3E4F"/>
    <w:rsid w:val="003C3404"/>
    <w:rsid w:val="00492B16"/>
    <w:rsid w:val="00500138"/>
    <w:rsid w:val="0061362E"/>
    <w:rsid w:val="006A412C"/>
    <w:rsid w:val="00784F12"/>
    <w:rsid w:val="00A072CC"/>
    <w:rsid w:val="00A16587"/>
    <w:rsid w:val="00AE724B"/>
    <w:rsid w:val="00AF6336"/>
    <w:rsid w:val="00BE4282"/>
    <w:rsid w:val="00BF79F9"/>
    <w:rsid w:val="00C77BD8"/>
    <w:rsid w:val="00D967CF"/>
    <w:rsid w:val="00ED1E2A"/>
    <w:rsid w:val="014F4893"/>
    <w:rsid w:val="016D1F9F"/>
    <w:rsid w:val="01FB0A7D"/>
    <w:rsid w:val="02213393"/>
    <w:rsid w:val="024C0DD3"/>
    <w:rsid w:val="027E4262"/>
    <w:rsid w:val="028F5B1A"/>
    <w:rsid w:val="029E0C73"/>
    <w:rsid w:val="02C07A98"/>
    <w:rsid w:val="02D506D5"/>
    <w:rsid w:val="03340C5B"/>
    <w:rsid w:val="038D51FF"/>
    <w:rsid w:val="03A8028B"/>
    <w:rsid w:val="03C52BEB"/>
    <w:rsid w:val="03D61291"/>
    <w:rsid w:val="03FF158D"/>
    <w:rsid w:val="041F6F22"/>
    <w:rsid w:val="04242261"/>
    <w:rsid w:val="04436FCF"/>
    <w:rsid w:val="04581CB1"/>
    <w:rsid w:val="04FA7DEE"/>
    <w:rsid w:val="055E63AA"/>
    <w:rsid w:val="05BB15EC"/>
    <w:rsid w:val="0654386F"/>
    <w:rsid w:val="06855A78"/>
    <w:rsid w:val="06B54E80"/>
    <w:rsid w:val="06EC44C5"/>
    <w:rsid w:val="071E6C1C"/>
    <w:rsid w:val="073F0F06"/>
    <w:rsid w:val="07612C2A"/>
    <w:rsid w:val="077A6D02"/>
    <w:rsid w:val="077C2868"/>
    <w:rsid w:val="07B216D8"/>
    <w:rsid w:val="08444A26"/>
    <w:rsid w:val="08667197"/>
    <w:rsid w:val="08DA2C0C"/>
    <w:rsid w:val="08E828C2"/>
    <w:rsid w:val="097430E9"/>
    <w:rsid w:val="09B259BF"/>
    <w:rsid w:val="09E3732D"/>
    <w:rsid w:val="0A0D52EB"/>
    <w:rsid w:val="0A4D33CC"/>
    <w:rsid w:val="0A6B5483"/>
    <w:rsid w:val="0A815C3F"/>
    <w:rsid w:val="0ABB6290"/>
    <w:rsid w:val="0AFB5144"/>
    <w:rsid w:val="0B085C25"/>
    <w:rsid w:val="0B382D45"/>
    <w:rsid w:val="0B9A33F2"/>
    <w:rsid w:val="0BA01B04"/>
    <w:rsid w:val="0BD25EA5"/>
    <w:rsid w:val="0BD9573F"/>
    <w:rsid w:val="0BDE2A9B"/>
    <w:rsid w:val="0C0B6FFE"/>
    <w:rsid w:val="0C656D19"/>
    <w:rsid w:val="0C6A725C"/>
    <w:rsid w:val="0C8C24F7"/>
    <w:rsid w:val="0CDC675D"/>
    <w:rsid w:val="0D0228B9"/>
    <w:rsid w:val="0D295F7F"/>
    <w:rsid w:val="0D396283"/>
    <w:rsid w:val="0D466F03"/>
    <w:rsid w:val="0D4C3C6E"/>
    <w:rsid w:val="0D815171"/>
    <w:rsid w:val="0E563898"/>
    <w:rsid w:val="0E7D5497"/>
    <w:rsid w:val="0E897EF3"/>
    <w:rsid w:val="0E990EFC"/>
    <w:rsid w:val="0EBF3AB2"/>
    <w:rsid w:val="0EF754FC"/>
    <w:rsid w:val="0F24488E"/>
    <w:rsid w:val="0F420B30"/>
    <w:rsid w:val="0F6230E9"/>
    <w:rsid w:val="0FA87E38"/>
    <w:rsid w:val="0FBD5E23"/>
    <w:rsid w:val="0FE76660"/>
    <w:rsid w:val="10393FA7"/>
    <w:rsid w:val="109C3E6E"/>
    <w:rsid w:val="10B45B09"/>
    <w:rsid w:val="10B473F8"/>
    <w:rsid w:val="10E37D5D"/>
    <w:rsid w:val="11927EB6"/>
    <w:rsid w:val="11B82BAD"/>
    <w:rsid w:val="11D52036"/>
    <w:rsid w:val="11DD55A3"/>
    <w:rsid w:val="12304909"/>
    <w:rsid w:val="127D3D9D"/>
    <w:rsid w:val="12A6008B"/>
    <w:rsid w:val="12DD31B7"/>
    <w:rsid w:val="13284107"/>
    <w:rsid w:val="13432BA9"/>
    <w:rsid w:val="136919B5"/>
    <w:rsid w:val="14116745"/>
    <w:rsid w:val="14170540"/>
    <w:rsid w:val="141A24A5"/>
    <w:rsid w:val="1433024D"/>
    <w:rsid w:val="143936D8"/>
    <w:rsid w:val="14E92127"/>
    <w:rsid w:val="157306F8"/>
    <w:rsid w:val="157D50D3"/>
    <w:rsid w:val="159D0643"/>
    <w:rsid w:val="15CE592F"/>
    <w:rsid w:val="15D078F9"/>
    <w:rsid w:val="15DB5E71"/>
    <w:rsid w:val="161730D0"/>
    <w:rsid w:val="16251467"/>
    <w:rsid w:val="16617EE1"/>
    <w:rsid w:val="169A3B28"/>
    <w:rsid w:val="16AF29CB"/>
    <w:rsid w:val="16C136E5"/>
    <w:rsid w:val="17B16D61"/>
    <w:rsid w:val="17BFB721"/>
    <w:rsid w:val="17D22650"/>
    <w:rsid w:val="17EE4865"/>
    <w:rsid w:val="17EE7B5B"/>
    <w:rsid w:val="18331E16"/>
    <w:rsid w:val="18766E31"/>
    <w:rsid w:val="187D7FCD"/>
    <w:rsid w:val="19147CCC"/>
    <w:rsid w:val="191A2F4D"/>
    <w:rsid w:val="195051F3"/>
    <w:rsid w:val="198E4510"/>
    <w:rsid w:val="19A52D2C"/>
    <w:rsid w:val="19C24883"/>
    <w:rsid w:val="19DD58FD"/>
    <w:rsid w:val="19ED1523"/>
    <w:rsid w:val="19F61541"/>
    <w:rsid w:val="19F907B0"/>
    <w:rsid w:val="1A0C2AC0"/>
    <w:rsid w:val="1A39024D"/>
    <w:rsid w:val="1A4C3BB7"/>
    <w:rsid w:val="1AA50C28"/>
    <w:rsid w:val="1AAA4C27"/>
    <w:rsid w:val="1AE856E5"/>
    <w:rsid w:val="1AF51F98"/>
    <w:rsid w:val="1BBF55A4"/>
    <w:rsid w:val="1BDC0890"/>
    <w:rsid w:val="1BEDFB42"/>
    <w:rsid w:val="1C4A0F3E"/>
    <w:rsid w:val="1CBC0B00"/>
    <w:rsid w:val="1CCA7558"/>
    <w:rsid w:val="1D242ABF"/>
    <w:rsid w:val="1DC259E5"/>
    <w:rsid w:val="1DEE53FC"/>
    <w:rsid w:val="1E1660C5"/>
    <w:rsid w:val="1E23090D"/>
    <w:rsid w:val="1E3645CA"/>
    <w:rsid w:val="1E404A3D"/>
    <w:rsid w:val="1EAA367D"/>
    <w:rsid w:val="1EAA389B"/>
    <w:rsid w:val="1EDA5344"/>
    <w:rsid w:val="1F325313"/>
    <w:rsid w:val="1FBDBBB1"/>
    <w:rsid w:val="1FBFDB44"/>
    <w:rsid w:val="1FDE395B"/>
    <w:rsid w:val="1FE97C04"/>
    <w:rsid w:val="1FF323A7"/>
    <w:rsid w:val="1FF7A4DF"/>
    <w:rsid w:val="1FFA69A1"/>
    <w:rsid w:val="20C94206"/>
    <w:rsid w:val="20C94B1F"/>
    <w:rsid w:val="20E3171E"/>
    <w:rsid w:val="20FA112E"/>
    <w:rsid w:val="2149445F"/>
    <w:rsid w:val="215A6EAA"/>
    <w:rsid w:val="21A10F1D"/>
    <w:rsid w:val="21D83B53"/>
    <w:rsid w:val="21EF30D4"/>
    <w:rsid w:val="221943D6"/>
    <w:rsid w:val="223B434C"/>
    <w:rsid w:val="22463A0B"/>
    <w:rsid w:val="23C91E2B"/>
    <w:rsid w:val="23D77116"/>
    <w:rsid w:val="23DF0229"/>
    <w:rsid w:val="23FE2018"/>
    <w:rsid w:val="24384AA0"/>
    <w:rsid w:val="246F673A"/>
    <w:rsid w:val="24EF0146"/>
    <w:rsid w:val="25583467"/>
    <w:rsid w:val="255F0FDF"/>
    <w:rsid w:val="256A0B7E"/>
    <w:rsid w:val="257004D4"/>
    <w:rsid w:val="258F2C18"/>
    <w:rsid w:val="26025181"/>
    <w:rsid w:val="265A6D6B"/>
    <w:rsid w:val="26A83C2A"/>
    <w:rsid w:val="2713401D"/>
    <w:rsid w:val="27165388"/>
    <w:rsid w:val="27300201"/>
    <w:rsid w:val="27300B13"/>
    <w:rsid w:val="27753A8B"/>
    <w:rsid w:val="27794F3A"/>
    <w:rsid w:val="2787675D"/>
    <w:rsid w:val="27901268"/>
    <w:rsid w:val="27B65663"/>
    <w:rsid w:val="285A011B"/>
    <w:rsid w:val="288C5F56"/>
    <w:rsid w:val="289738AB"/>
    <w:rsid w:val="289D5B3C"/>
    <w:rsid w:val="28AB6887"/>
    <w:rsid w:val="28F65471"/>
    <w:rsid w:val="29141832"/>
    <w:rsid w:val="291B0A33"/>
    <w:rsid w:val="292E4C0A"/>
    <w:rsid w:val="29C4731D"/>
    <w:rsid w:val="29CB1E21"/>
    <w:rsid w:val="29E25570"/>
    <w:rsid w:val="2A2E7CA5"/>
    <w:rsid w:val="2A3A4534"/>
    <w:rsid w:val="2A4E41E6"/>
    <w:rsid w:val="2A5C210B"/>
    <w:rsid w:val="2AE8528D"/>
    <w:rsid w:val="2B75374E"/>
    <w:rsid w:val="2B78302D"/>
    <w:rsid w:val="2B7E34FB"/>
    <w:rsid w:val="2BE27F2E"/>
    <w:rsid w:val="2C221DC8"/>
    <w:rsid w:val="2C2354F5"/>
    <w:rsid w:val="2C2607DA"/>
    <w:rsid w:val="2C5F50DB"/>
    <w:rsid w:val="2C923702"/>
    <w:rsid w:val="2CA9070C"/>
    <w:rsid w:val="2CB8708C"/>
    <w:rsid w:val="2CD246C1"/>
    <w:rsid w:val="2D0A05AC"/>
    <w:rsid w:val="2D5A588D"/>
    <w:rsid w:val="2DDF4D96"/>
    <w:rsid w:val="2DFFD296"/>
    <w:rsid w:val="2E644C2A"/>
    <w:rsid w:val="2E9A2D68"/>
    <w:rsid w:val="2ED12E29"/>
    <w:rsid w:val="2EFDADB6"/>
    <w:rsid w:val="2F751807"/>
    <w:rsid w:val="2FFF7D4E"/>
    <w:rsid w:val="30136BFF"/>
    <w:rsid w:val="3049057C"/>
    <w:rsid w:val="307153DD"/>
    <w:rsid w:val="308415B4"/>
    <w:rsid w:val="30B044A9"/>
    <w:rsid w:val="30D50B55"/>
    <w:rsid w:val="30D65154"/>
    <w:rsid w:val="313110CB"/>
    <w:rsid w:val="316C2B21"/>
    <w:rsid w:val="31DB5204"/>
    <w:rsid w:val="321951F0"/>
    <w:rsid w:val="3254477E"/>
    <w:rsid w:val="32807B59"/>
    <w:rsid w:val="328642F9"/>
    <w:rsid w:val="328A18AE"/>
    <w:rsid w:val="329F4483"/>
    <w:rsid w:val="32CF4387"/>
    <w:rsid w:val="32DF0130"/>
    <w:rsid w:val="331E5823"/>
    <w:rsid w:val="33277341"/>
    <w:rsid w:val="334008DE"/>
    <w:rsid w:val="334C55A8"/>
    <w:rsid w:val="338813BB"/>
    <w:rsid w:val="339D6FD9"/>
    <w:rsid w:val="346F11FD"/>
    <w:rsid w:val="349124F1"/>
    <w:rsid w:val="35327830"/>
    <w:rsid w:val="356D02DC"/>
    <w:rsid w:val="357E4873"/>
    <w:rsid w:val="35C22A28"/>
    <w:rsid w:val="35DE0515"/>
    <w:rsid w:val="363C5448"/>
    <w:rsid w:val="364A2017"/>
    <w:rsid w:val="36A45390"/>
    <w:rsid w:val="36AC0236"/>
    <w:rsid w:val="36D13079"/>
    <w:rsid w:val="36D6849B"/>
    <w:rsid w:val="36EE120F"/>
    <w:rsid w:val="373FD4C3"/>
    <w:rsid w:val="377F3D82"/>
    <w:rsid w:val="37A10C9D"/>
    <w:rsid w:val="37B270F2"/>
    <w:rsid w:val="37CB5D1A"/>
    <w:rsid w:val="37EF5466"/>
    <w:rsid w:val="37FE3DD8"/>
    <w:rsid w:val="38012A32"/>
    <w:rsid w:val="38036FA7"/>
    <w:rsid w:val="38247469"/>
    <w:rsid w:val="384333DF"/>
    <w:rsid w:val="3860327F"/>
    <w:rsid w:val="38A547BD"/>
    <w:rsid w:val="38D200D6"/>
    <w:rsid w:val="38F44DFD"/>
    <w:rsid w:val="390A4620"/>
    <w:rsid w:val="397D023A"/>
    <w:rsid w:val="399A68E9"/>
    <w:rsid w:val="3A57675B"/>
    <w:rsid w:val="3A940645"/>
    <w:rsid w:val="3AB0785A"/>
    <w:rsid w:val="3ACD67FA"/>
    <w:rsid w:val="3B3C7F06"/>
    <w:rsid w:val="3B7F10B6"/>
    <w:rsid w:val="3BFB9D3C"/>
    <w:rsid w:val="3C461E13"/>
    <w:rsid w:val="3C506122"/>
    <w:rsid w:val="3C876E07"/>
    <w:rsid w:val="3CDF0F72"/>
    <w:rsid w:val="3DE6022C"/>
    <w:rsid w:val="3DF7EC7B"/>
    <w:rsid w:val="3DFF3FDF"/>
    <w:rsid w:val="3E0D0E3B"/>
    <w:rsid w:val="3E6A5D94"/>
    <w:rsid w:val="3E93015F"/>
    <w:rsid w:val="3EA4263F"/>
    <w:rsid w:val="3EBE8B23"/>
    <w:rsid w:val="3EBF5375"/>
    <w:rsid w:val="3EC379CE"/>
    <w:rsid w:val="3ED43706"/>
    <w:rsid w:val="3ED7451A"/>
    <w:rsid w:val="3EEA4CD8"/>
    <w:rsid w:val="3EFD2E73"/>
    <w:rsid w:val="3F260485"/>
    <w:rsid w:val="3F370980"/>
    <w:rsid w:val="3F5C47C8"/>
    <w:rsid w:val="3F6DF201"/>
    <w:rsid w:val="3FB7AAF0"/>
    <w:rsid w:val="3FBACD75"/>
    <w:rsid w:val="3FBAD585"/>
    <w:rsid w:val="3FD414E4"/>
    <w:rsid w:val="3FE784F5"/>
    <w:rsid w:val="3FEF86A3"/>
    <w:rsid w:val="3FFE115C"/>
    <w:rsid w:val="40222BA1"/>
    <w:rsid w:val="40755528"/>
    <w:rsid w:val="40BC08F6"/>
    <w:rsid w:val="40E74FD9"/>
    <w:rsid w:val="41093E27"/>
    <w:rsid w:val="41214BFD"/>
    <w:rsid w:val="414C7E23"/>
    <w:rsid w:val="416B76F2"/>
    <w:rsid w:val="41801FEB"/>
    <w:rsid w:val="41814C8B"/>
    <w:rsid w:val="419E475E"/>
    <w:rsid w:val="41EF1DAF"/>
    <w:rsid w:val="42357B14"/>
    <w:rsid w:val="4244497B"/>
    <w:rsid w:val="425666CF"/>
    <w:rsid w:val="4259518B"/>
    <w:rsid w:val="42840532"/>
    <w:rsid w:val="429D6279"/>
    <w:rsid w:val="42A532EF"/>
    <w:rsid w:val="42EC3ADD"/>
    <w:rsid w:val="43162C09"/>
    <w:rsid w:val="432A376E"/>
    <w:rsid w:val="432B8CDB"/>
    <w:rsid w:val="435A714C"/>
    <w:rsid w:val="43AB202B"/>
    <w:rsid w:val="43BE1E29"/>
    <w:rsid w:val="43F839F3"/>
    <w:rsid w:val="43FF0043"/>
    <w:rsid w:val="443254E9"/>
    <w:rsid w:val="44586B88"/>
    <w:rsid w:val="44643FAF"/>
    <w:rsid w:val="449A358A"/>
    <w:rsid w:val="449B3412"/>
    <w:rsid w:val="44A94EB9"/>
    <w:rsid w:val="44D53D34"/>
    <w:rsid w:val="450A2E46"/>
    <w:rsid w:val="45B13405"/>
    <w:rsid w:val="45BC0F40"/>
    <w:rsid w:val="45D64208"/>
    <w:rsid w:val="46481ED1"/>
    <w:rsid w:val="46A46FDD"/>
    <w:rsid w:val="46D94CA8"/>
    <w:rsid w:val="46E47AB2"/>
    <w:rsid w:val="46EE5581"/>
    <w:rsid w:val="46FD5298"/>
    <w:rsid w:val="472762F9"/>
    <w:rsid w:val="4741374E"/>
    <w:rsid w:val="474A6C5C"/>
    <w:rsid w:val="478D12E9"/>
    <w:rsid w:val="47AF5477"/>
    <w:rsid w:val="47F6581A"/>
    <w:rsid w:val="48526D83"/>
    <w:rsid w:val="48656565"/>
    <w:rsid w:val="486A5737"/>
    <w:rsid w:val="486B280B"/>
    <w:rsid w:val="489F7D09"/>
    <w:rsid w:val="48A96454"/>
    <w:rsid w:val="492359B6"/>
    <w:rsid w:val="499E6DEB"/>
    <w:rsid w:val="49AB128F"/>
    <w:rsid w:val="49BA62B4"/>
    <w:rsid w:val="49CB0591"/>
    <w:rsid w:val="49E013F3"/>
    <w:rsid w:val="4A295877"/>
    <w:rsid w:val="4A341E8D"/>
    <w:rsid w:val="4AA735E3"/>
    <w:rsid w:val="4AD95927"/>
    <w:rsid w:val="4AE342E1"/>
    <w:rsid w:val="4AEF6430"/>
    <w:rsid w:val="4B0454EC"/>
    <w:rsid w:val="4B051EA3"/>
    <w:rsid w:val="4BED5E07"/>
    <w:rsid w:val="4BF51703"/>
    <w:rsid w:val="4C172E84"/>
    <w:rsid w:val="4C433636"/>
    <w:rsid w:val="4C8E133C"/>
    <w:rsid w:val="4C941AD9"/>
    <w:rsid w:val="4CA712DB"/>
    <w:rsid w:val="4CA763E2"/>
    <w:rsid w:val="4CA94424"/>
    <w:rsid w:val="4CC41673"/>
    <w:rsid w:val="4CDC23F4"/>
    <w:rsid w:val="4D0E24D9"/>
    <w:rsid w:val="4D4373FC"/>
    <w:rsid w:val="4DFA0CB0"/>
    <w:rsid w:val="4DFF38CB"/>
    <w:rsid w:val="4E60417D"/>
    <w:rsid w:val="4E723950"/>
    <w:rsid w:val="4E837457"/>
    <w:rsid w:val="4EBE017B"/>
    <w:rsid w:val="4EBF35DF"/>
    <w:rsid w:val="4EDB2CCF"/>
    <w:rsid w:val="4EE17063"/>
    <w:rsid w:val="4F0757CA"/>
    <w:rsid w:val="4F077D6A"/>
    <w:rsid w:val="4F082F58"/>
    <w:rsid w:val="4F372004"/>
    <w:rsid w:val="4F583EE0"/>
    <w:rsid w:val="4F607F4E"/>
    <w:rsid w:val="4F786330"/>
    <w:rsid w:val="4F7E4972"/>
    <w:rsid w:val="4F7FC6CB"/>
    <w:rsid w:val="4F851297"/>
    <w:rsid w:val="4FEBC7A6"/>
    <w:rsid w:val="50AF5738"/>
    <w:rsid w:val="511E390E"/>
    <w:rsid w:val="516F12B8"/>
    <w:rsid w:val="51AB0E4A"/>
    <w:rsid w:val="51D36E52"/>
    <w:rsid w:val="51E80C01"/>
    <w:rsid w:val="52491D7C"/>
    <w:rsid w:val="5271782F"/>
    <w:rsid w:val="528B1852"/>
    <w:rsid w:val="52B32EA9"/>
    <w:rsid w:val="52F9F725"/>
    <w:rsid w:val="53BC2C8F"/>
    <w:rsid w:val="53CE3330"/>
    <w:rsid w:val="53FD50E4"/>
    <w:rsid w:val="546155E5"/>
    <w:rsid w:val="546B750E"/>
    <w:rsid w:val="54865BB3"/>
    <w:rsid w:val="54B4641A"/>
    <w:rsid w:val="54BC3FF5"/>
    <w:rsid w:val="54D928FE"/>
    <w:rsid w:val="54EA6D77"/>
    <w:rsid w:val="54FC355F"/>
    <w:rsid w:val="555D1931"/>
    <w:rsid w:val="5573069D"/>
    <w:rsid w:val="55824B01"/>
    <w:rsid w:val="55A0038E"/>
    <w:rsid w:val="55BD9421"/>
    <w:rsid w:val="55BDE164"/>
    <w:rsid w:val="55FEE694"/>
    <w:rsid w:val="55FF6C46"/>
    <w:rsid w:val="56535401"/>
    <w:rsid w:val="56605315"/>
    <w:rsid w:val="566E0308"/>
    <w:rsid w:val="567B712A"/>
    <w:rsid w:val="56834202"/>
    <w:rsid w:val="56BDCD8E"/>
    <w:rsid w:val="56D007FF"/>
    <w:rsid w:val="56FF5510"/>
    <w:rsid w:val="573D5DDF"/>
    <w:rsid w:val="573E7E5F"/>
    <w:rsid w:val="577F57A1"/>
    <w:rsid w:val="577F62E4"/>
    <w:rsid w:val="57813D81"/>
    <w:rsid w:val="57821298"/>
    <w:rsid w:val="57920B1F"/>
    <w:rsid w:val="57C90F92"/>
    <w:rsid w:val="57CE1A27"/>
    <w:rsid w:val="57FB18AC"/>
    <w:rsid w:val="580D6A3E"/>
    <w:rsid w:val="5818420C"/>
    <w:rsid w:val="582E773D"/>
    <w:rsid w:val="58B2120A"/>
    <w:rsid w:val="58B5691B"/>
    <w:rsid w:val="58D33D16"/>
    <w:rsid w:val="595947D3"/>
    <w:rsid w:val="5966544B"/>
    <w:rsid w:val="596811C3"/>
    <w:rsid w:val="599F07C2"/>
    <w:rsid w:val="59DD395F"/>
    <w:rsid w:val="5A3C0367"/>
    <w:rsid w:val="5A592336"/>
    <w:rsid w:val="5AA7741D"/>
    <w:rsid w:val="5ADD5517"/>
    <w:rsid w:val="5B0867BA"/>
    <w:rsid w:val="5B3839DA"/>
    <w:rsid w:val="5B5A4B3C"/>
    <w:rsid w:val="5B733C78"/>
    <w:rsid w:val="5BF71FDC"/>
    <w:rsid w:val="5BFE34BB"/>
    <w:rsid w:val="5C4339D4"/>
    <w:rsid w:val="5C5362F6"/>
    <w:rsid w:val="5C575FF6"/>
    <w:rsid w:val="5C741C2D"/>
    <w:rsid w:val="5C8070A0"/>
    <w:rsid w:val="5C9750B9"/>
    <w:rsid w:val="5C9902F3"/>
    <w:rsid w:val="5CF299D7"/>
    <w:rsid w:val="5CFFA552"/>
    <w:rsid w:val="5D012179"/>
    <w:rsid w:val="5D3E67BD"/>
    <w:rsid w:val="5D477107"/>
    <w:rsid w:val="5D641C21"/>
    <w:rsid w:val="5D812854"/>
    <w:rsid w:val="5D92788E"/>
    <w:rsid w:val="5D94276E"/>
    <w:rsid w:val="5D9B5280"/>
    <w:rsid w:val="5DC66402"/>
    <w:rsid w:val="5DDC62C0"/>
    <w:rsid w:val="5DEB25F7"/>
    <w:rsid w:val="5E173944"/>
    <w:rsid w:val="5E3D019D"/>
    <w:rsid w:val="5E7E6D93"/>
    <w:rsid w:val="5EF1D1CE"/>
    <w:rsid w:val="5EFB2FA0"/>
    <w:rsid w:val="5EFE4814"/>
    <w:rsid w:val="5EFFE3ED"/>
    <w:rsid w:val="5F14476E"/>
    <w:rsid w:val="5F1FF861"/>
    <w:rsid w:val="5F7CB9D4"/>
    <w:rsid w:val="5F80687E"/>
    <w:rsid w:val="5FBB6519"/>
    <w:rsid w:val="5FF3846C"/>
    <w:rsid w:val="5FF77CB1"/>
    <w:rsid w:val="5FFF3CBA"/>
    <w:rsid w:val="603E7C8E"/>
    <w:rsid w:val="60C0251B"/>
    <w:rsid w:val="60C350A6"/>
    <w:rsid w:val="60F0548C"/>
    <w:rsid w:val="612207E3"/>
    <w:rsid w:val="61B96721"/>
    <w:rsid w:val="61D54F1C"/>
    <w:rsid w:val="6210020D"/>
    <w:rsid w:val="624C066F"/>
    <w:rsid w:val="62592A9E"/>
    <w:rsid w:val="6299063F"/>
    <w:rsid w:val="62ED0906"/>
    <w:rsid w:val="635C3B47"/>
    <w:rsid w:val="635D341B"/>
    <w:rsid w:val="638F2377"/>
    <w:rsid w:val="63907978"/>
    <w:rsid w:val="63AFB3C0"/>
    <w:rsid w:val="63D790F4"/>
    <w:rsid w:val="63DEB3E4"/>
    <w:rsid w:val="63DF6526"/>
    <w:rsid w:val="63E43B3C"/>
    <w:rsid w:val="63EF49BB"/>
    <w:rsid w:val="63F47D68"/>
    <w:rsid w:val="641C3BD2"/>
    <w:rsid w:val="64296092"/>
    <w:rsid w:val="643540D7"/>
    <w:rsid w:val="64C038DB"/>
    <w:rsid w:val="64E01092"/>
    <w:rsid w:val="64F561AB"/>
    <w:rsid w:val="650C50F9"/>
    <w:rsid w:val="65110036"/>
    <w:rsid w:val="655F347A"/>
    <w:rsid w:val="656F75E4"/>
    <w:rsid w:val="658341EE"/>
    <w:rsid w:val="658A333F"/>
    <w:rsid w:val="65BF65D9"/>
    <w:rsid w:val="66034AB0"/>
    <w:rsid w:val="662E45E4"/>
    <w:rsid w:val="665B207F"/>
    <w:rsid w:val="666E41AE"/>
    <w:rsid w:val="6688006D"/>
    <w:rsid w:val="66B7149A"/>
    <w:rsid w:val="66CB68A6"/>
    <w:rsid w:val="66F83B86"/>
    <w:rsid w:val="67012E1D"/>
    <w:rsid w:val="6725298F"/>
    <w:rsid w:val="6736ADF6"/>
    <w:rsid w:val="673B21B7"/>
    <w:rsid w:val="67461315"/>
    <w:rsid w:val="67EFAEDE"/>
    <w:rsid w:val="68047FAF"/>
    <w:rsid w:val="68104F00"/>
    <w:rsid w:val="68173152"/>
    <w:rsid w:val="683C78EA"/>
    <w:rsid w:val="68474C00"/>
    <w:rsid w:val="68C26189"/>
    <w:rsid w:val="68D7301A"/>
    <w:rsid w:val="68E947E2"/>
    <w:rsid w:val="69102761"/>
    <w:rsid w:val="692944BE"/>
    <w:rsid w:val="694E3F32"/>
    <w:rsid w:val="69B13883"/>
    <w:rsid w:val="69BBE687"/>
    <w:rsid w:val="69BFF170"/>
    <w:rsid w:val="6A64132A"/>
    <w:rsid w:val="6AD5327A"/>
    <w:rsid w:val="6AF721D9"/>
    <w:rsid w:val="6AFB087B"/>
    <w:rsid w:val="6B296DF7"/>
    <w:rsid w:val="6B7F984B"/>
    <w:rsid w:val="6B811C71"/>
    <w:rsid w:val="6BCA663A"/>
    <w:rsid w:val="6BFFDA17"/>
    <w:rsid w:val="6C3B41E0"/>
    <w:rsid w:val="6CDB1F80"/>
    <w:rsid w:val="6D7777CF"/>
    <w:rsid w:val="6D943EDD"/>
    <w:rsid w:val="6DDED61F"/>
    <w:rsid w:val="6DDF8E62"/>
    <w:rsid w:val="6E67B106"/>
    <w:rsid w:val="6E7679CB"/>
    <w:rsid w:val="6E7853A2"/>
    <w:rsid w:val="6ECF78C3"/>
    <w:rsid w:val="6EFDB8DD"/>
    <w:rsid w:val="6F1A6664"/>
    <w:rsid w:val="6F371386"/>
    <w:rsid w:val="6F75F0CE"/>
    <w:rsid w:val="6F9E1043"/>
    <w:rsid w:val="6F9F21C1"/>
    <w:rsid w:val="6F9F9521"/>
    <w:rsid w:val="6FB83F2E"/>
    <w:rsid w:val="6FDEAEFB"/>
    <w:rsid w:val="6FE31D11"/>
    <w:rsid w:val="6FFF8EFF"/>
    <w:rsid w:val="70247B90"/>
    <w:rsid w:val="70EC5DDE"/>
    <w:rsid w:val="715D03BC"/>
    <w:rsid w:val="717526C2"/>
    <w:rsid w:val="717540BD"/>
    <w:rsid w:val="71B32269"/>
    <w:rsid w:val="71FE401B"/>
    <w:rsid w:val="72020C31"/>
    <w:rsid w:val="726447C6"/>
    <w:rsid w:val="728C7879"/>
    <w:rsid w:val="72BBF9FD"/>
    <w:rsid w:val="72C277D4"/>
    <w:rsid w:val="72DE0BAC"/>
    <w:rsid w:val="72E9E27C"/>
    <w:rsid w:val="72ED47BB"/>
    <w:rsid w:val="72F617D5"/>
    <w:rsid w:val="72FB7B91"/>
    <w:rsid w:val="72FFC561"/>
    <w:rsid w:val="73343682"/>
    <w:rsid w:val="73669697"/>
    <w:rsid w:val="73E5F4AD"/>
    <w:rsid w:val="73FBE990"/>
    <w:rsid w:val="74126B30"/>
    <w:rsid w:val="74687698"/>
    <w:rsid w:val="749F33DE"/>
    <w:rsid w:val="74DD0A5E"/>
    <w:rsid w:val="74E05C5A"/>
    <w:rsid w:val="74FA0ACC"/>
    <w:rsid w:val="756474CC"/>
    <w:rsid w:val="756FE0F9"/>
    <w:rsid w:val="758F68DC"/>
    <w:rsid w:val="7599B9D8"/>
    <w:rsid w:val="759C21C0"/>
    <w:rsid w:val="75C3A5DF"/>
    <w:rsid w:val="75F037C2"/>
    <w:rsid w:val="75F354A4"/>
    <w:rsid w:val="75F5ABF7"/>
    <w:rsid w:val="75F70DAB"/>
    <w:rsid w:val="76037E52"/>
    <w:rsid w:val="76826BE7"/>
    <w:rsid w:val="769F2AF2"/>
    <w:rsid w:val="76CF2AF2"/>
    <w:rsid w:val="76DFC4B3"/>
    <w:rsid w:val="76FFC284"/>
    <w:rsid w:val="7721155C"/>
    <w:rsid w:val="77771F45"/>
    <w:rsid w:val="777D449E"/>
    <w:rsid w:val="77AE0291"/>
    <w:rsid w:val="77C7E059"/>
    <w:rsid w:val="77F7AA8F"/>
    <w:rsid w:val="77FD137C"/>
    <w:rsid w:val="77FD42A6"/>
    <w:rsid w:val="77FF5E32"/>
    <w:rsid w:val="77FF778D"/>
    <w:rsid w:val="781259E0"/>
    <w:rsid w:val="7816761B"/>
    <w:rsid w:val="783855D6"/>
    <w:rsid w:val="784E32F5"/>
    <w:rsid w:val="787B230E"/>
    <w:rsid w:val="78DE03D3"/>
    <w:rsid w:val="79360AD0"/>
    <w:rsid w:val="795707B4"/>
    <w:rsid w:val="795A422D"/>
    <w:rsid w:val="79852F7D"/>
    <w:rsid w:val="79CA7BAD"/>
    <w:rsid w:val="79DD1CC0"/>
    <w:rsid w:val="79E15D7A"/>
    <w:rsid w:val="79EC5DAB"/>
    <w:rsid w:val="7A666C01"/>
    <w:rsid w:val="7AB632C6"/>
    <w:rsid w:val="7ACF47A6"/>
    <w:rsid w:val="7AFF25EA"/>
    <w:rsid w:val="7B004C75"/>
    <w:rsid w:val="7B6C6499"/>
    <w:rsid w:val="7B824D57"/>
    <w:rsid w:val="7B896DCA"/>
    <w:rsid w:val="7BAC2D3A"/>
    <w:rsid w:val="7BCC02A3"/>
    <w:rsid w:val="7BD736F5"/>
    <w:rsid w:val="7BDF62A6"/>
    <w:rsid w:val="7BE500D4"/>
    <w:rsid w:val="7BEB8F77"/>
    <w:rsid w:val="7BFA51CC"/>
    <w:rsid w:val="7BFB7D06"/>
    <w:rsid w:val="7BFDB241"/>
    <w:rsid w:val="7C186486"/>
    <w:rsid w:val="7C39F652"/>
    <w:rsid w:val="7C5FD754"/>
    <w:rsid w:val="7C8B372D"/>
    <w:rsid w:val="7CAA54CB"/>
    <w:rsid w:val="7CAF9FAC"/>
    <w:rsid w:val="7CBF980E"/>
    <w:rsid w:val="7CD25201"/>
    <w:rsid w:val="7CEC7892"/>
    <w:rsid w:val="7CFDF27D"/>
    <w:rsid w:val="7D39D43A"/>
    <w:rsid w:val="7D4D5E56"/>
    <w:rsid w:val="7D5FA330"/>
    <w:rsid w:val="7D6B56DD"/>
    <w:rsid w:val="7D6C2781"/>
    <w:rsid w:val="7DAF29E2"/>
    <w:rsid w:val="7DBFEDF3"/>
    <w:rsid w:val="7DCC2E72"/>
    <w:rsid w:val="7DDF665D"/>
    <w:rsid w:val="7DE269A8"/>
    <w:rsid w:val="7DE52A90"/>
    <w:rsid w:val="7DFBC0C8"/>
    <w:rsid w:val="7DFDC066"/>
    <w:rsid w:val="7DFF0A4A"/>
    <w:rsid w:val="7E3D4FEC"/>
    <w:rsid w:val="7E63CF1B"/>
    <w:rsid w:val="7E6B2CC8"/>
    <w:rsid w:val="7EAF4116"/>
    <w:rsid w:val="7EC32874"/>
    <w:rsid w:val="7ECF447C"/>
    <w:rsid w:val="7EEC26EB"/>
    <w:rsid w:val="7EFB90E7"/>
    <w:rsid w:val="7EFECE5D"/>
    <w:rsid w:val="7F173126"/>
    <w:rsid w:val="7F3752CD"/>
    <w:rsid w:val="7F41406B"/>
    <w:rsid w:val="7F533765"/>
    <w:rsid w:val="7F558FC6"/>
    <w:rsid w:val="7F732E3F"/>
    <w:rsid w:val="7F77FF55"/>
    <w:rsid w:val="7F7AB6B6"/>
    <w:rsid w:val="7F8A0C4A"/>
    <w:rsid w:val="7F9013E5"/>
    <w:rsid w:val="7F90631E"/>
    <w:rsid w:val="7FB7EA91"/>
    <w:rsid w:val="7FBE830D"/>
    <w:rsid w:val="7FDF84DF"/>
    <w:rsid w:val="7FDFBBAA"/>
    <w:rsid w:val="7FDFD3E5"/>
    <w:rsid w:val="7FE581DF"/>
    <w:rsid w:val="7FEDFD40"/>
    <w:rsid w:val="7FEEC2D3"/>
    <w:rsid w:val="7FF39E20"/>
    <w:rsid w:val="7FF51E7C"/>
    <w:rsid w:val="7FF6DB1D"/>
    <w:rsid w:val="7FF73C7B"/>
    <w:rsid w:val="7FF7C100"/>
    <w:rsid w:val="7FFAECDB"/>
    <w:rsid w:val="7FFC1271"/>
    <w:rsid w:val="7FFC97DF"/>
    <w:rsid w:val="7FFE3709"/>
    <w:rsid w:val="7FFF1EA4"/>
    <w:rsid w:val="7FFFAC40"/>
    <w:rsid w:val="7FFFF502"/>
    <w:rsid w:val="86FFDDD7"/>
    <w:rsid w:val="897E160C"/>
    <w:rsid w:val="8F5F6FC8"/>
    <w:rsid w:val="8F7FC2EF"/>
    <w:rsid w:val="8FEAD6D2"/>
    <w:rsid w:val="8FEDCB94"/>
    <w:rsid w:val="8FFFF7E4"/>
    <w:rsid w:val="97E5AC63"/>
    <w:rsid w:val="9A779459"/>
    <w:rsid w:val="9AAFD75D"/>
    <w:rsid w:val="9DFB5F1E"/>
    <w:rsid w:val="ACFD3786"/>
    <w:rsid w:val="AF5FDADB"/>
    <w:rsid w:val="AF725C9E"/>
    <w:rsid w:val="AFF2D6DF"/>
    <w:rsid w:val="B37787EA"/>
    <w:rsid w:val="B5D51603"/>
    <w:rsid w:val="B7BB9610"/>
    <w:rsid w:val="BAB36900"/>
    <w:rsid w:val="BABD4D3B"/>
    <w:rsid w:val="BAFFAFC9"/>
    <w:rsid w:val="BB7F56DB"/>
    <w:rsid w:val="BBAF3A66"/>
    <w:rsid w:val="BBBF51C2"/>
    <w:rsid w:val="BBCF703E"/>
    <w:rsid w:val="BCEE50D3"/>
    <w:rsid w:val="BDDD4911"/>
    <w:rsid w:val="BEA70616"/>
    <w:rsid w:val="BEB62DE1"/>
    <w:rsid w:val="BEBF7551"/>
    <w:rsid w:val="BECD85A5"/>
    <w:rsid w:val="BEEF8EBF"/>
    <w:rsid w:val="BEFBB2BF"/>
    <w:rsid w:val="BF651E32"/>
    <w:rsid w:val="BF7A9F70"/>
    <w:rsid w:val="BF7F91AF"/>
    <w:rsid w:val="BF91AA24"/>
    <w:rsid w:val="BFAA9451"/>
    <w:rsid w:val="BFB56496"/>
    <w:rsid w:val="BFBBFA90"/>
    <w:rsid w:val="BFEBF5FC"/>
    <w:rsid w:val="BFEF63F5"/>
    <w:rsid w:val="BFF68A61"/>
    <w:rsid w:val="BFFF456A"/>
    <w:rsid w:val="BFFF7EF1"/>
    <w:rsid w:val="BFFFEE2D"/>
    <w:rsid w:val="BFFFFA60"/>
    <w:rsid w:val="C4D913C1"/>
    <w:rsid w:val="C4FB54B8"/>
    <w:rsid w:val="C7BB0B2A"/>
    <w:rsid w:val="CD9A301F"/>
    <w:rsid w:val="CDBF0B68"/>
    <w:rsid w:val="CEFD5F8C"/>
    <w:rsid w:val="CFEF0FF6"/>
    <w:rsid w:val="CFFF3E1D"/>
    <w:rsid w:val="CFFF8874"/>
    <w:rsid w:val="D1DFF40F"/>
    <w:rsid w:val="D2FC4C9B"/>
    <w:rsid w:val="D2FDE9A0"/>
    <w:rsid w:val="D3FF62F2"/>
    <w:rsid w:val="D4DBB772"/>
    <w:rsid w:val="D6FEF9C4"/>
    <w:rsid w:val="D6FF1176"/>
    <w:rsid w:val="D6FF8C35"/>
    <w:rsid w:val="D7CF0937"/>
    <w:rsid w:val="D8348326"/>
    <w:rsid w:val="D9EEC61D"/>
    <w:rsid w:val="DCFB96CE"/>
    <w:rsid w:val="DD6F0808"/>
    <w:rsid w:val="DECFED56"/>
    <w:rsid w:val="DF4AE777"/>
    <w:rsid w:val="DF8F9BF6"/>
    <w:rsid w:val="DFAF5CEF"/>
    <w:rsid w:val="DFDFC835"/>
    <w:rsid w:val="DFFFA124"/>
    <w:rsid w:val="E5BAC831"/>
    <w:rsid w:val="E5FF5AE5"/>
    <w:rsid w:val="E75F9526"/>
    <w:rsid w:val="E7EDF3CF"/>
    <w:rsid w:val="EBDAC6C0"/>
    <w:rsid w:val="EBEB0B40"/>
    <w:rsid w:val="ED7B4259"/>
    <w:rsid w:val="ED8B1876"/>
    <w:rsid w:val="EDDF90B0"/>
    <w:rsid w:val="EE6BD7F0"/>
    <w:rsid w:val="EEB7C2A2"/>
    <w:rsid w:val="EED344DD"/>
    <w:rsid w:val="EEFFE5D4"/>
    <w:rsid w:val="EEFFF7B9"/>
    <w:rsid w:val="EF77025E"/>
    <w:rsid w:val="EF7FC746"/>
    <w:rsid w:val="EFAA1373"/>
    <w:rsid w:val="EFB97AE8"/>
    <w:rsid w:val="EFDF76DD"/>
    <w:rsid w:val="EFE5D656"/>
    <w:rsid w:val="EFEA8642"/>
    <w:rsid w:val="EFFA89E7"/>
    <w:rsid w:val="F17F259F"/>
    <w:rsid w:val="F2F161DA"/>
    <w:rsid w:val="F37BC409"/>
    <w:rsid w:val="F3CFC11F"/>
    <w:rsid w:val="F3F33EB4"/>
    <w:rsid w:val="F3FF3656"/>
    <w:rsid w:val="F3FF6E13"/>
    <w:rsid w:val="F3FFE492"/>
    <w:rsid w:val="F56E63D4"/>
    <w:rsid w:val="F5DF645B"/>
    <w:rsid w:val="F5FFF52F"/>
    <w:rsid w:val="F6DF1206"/>
    <w:rsid w:val="F6E7114C"/>
    <w:rsid w:val="F6FE6273"/>
    <w:rsid w:val="F7DD9215"/>
    <w:rsid w:val="F7F39D6D"/>
    <w:rsid w:val="F7FF1299"/>
    <w:rsid w:val="F7FF79C2"/>
    <w:rsid w:val="F7FFD261"/>
    <w:rsid w:val="F91F34E3"/>
    <w:rsid w:val="F95F2E27"/>
    <w:rsid w:val="F9DF79CC"/>
    <w:rsid w:val="F9E786B9"/>
    <w:rsid w:val="FAFF1629"/>
    <w:rsid w:val="FB5EE8E1"/>
    <w:rsid w:val="FB66016E"/>
    <w:rsid w:val="FB74295E"/>
    <w:rsid w:val="FB773117"/>
    <w:rsid w:val="FB7BBDF4"/>
    <w:rsid w:val="FB7D81E8"/>
    <w:rsid w:val="FB7E5A11"/>
    <w:rsid w:val="FBCD2ACF"/>
    <w:rsid w:val="FBE52CD4"/>
    <w:rsid w:val="FBFD68DE"/>
    <w:rsid w:val="FBFFCA04"/>
    <w:rsid w:val="FC5D71B0"/>
    <w:rsid w:val="FCDFB68D"/>
    <w:rsid w:val="FCF75531"/>
    <w:rsid w:val="FCFEF7FA"/>
    <w:rsid w:val="FCFF03EB"/>
    <w:rsid w:val="FD4F5E8D"/>
    <w:rsid w:val="FDC393A1"/>
    <w:rsid w:val="FDEDBD73"/>
    <w:rsid w:val="FDFD66E8"/>
    <w:rsid w:val="FE75FDB1"/>
    <w:rsid w:val="FE781BF1"/>
    <w:rsid w:val="FEB5E9BD"/>
    <w:rsid w:val="FEDB5BDA"/>
    <w:rsid w:val="FEEF26C6"/>
    <w:rsid w:val="FEFA7621"/>
    <w:rsid w:val="FEFECBA6"/>
    <w:rsid w:val="FF170258"/>
    <w:rsid w:val="FF3E4569"/>
    <w:rsid w:val="FF6BE8FE"/>
    <w:rsid w:val="FF77C9CA"/>
    <w:rsid w:val="FF9B0590"/>
    <w:rsid w:val="FFB7EBC1"/>
    <w:rsid w:val="FFBB1491"/>
    <w:rsid w:val="FFBE57CF"/>
    <w:rsid w:val="FFBFFF5C"/>
    <w:rsid w:val="FFDDC8A5"/>
    <w:rsid w:val="FFE5601B"/>
    <w:rsid w:val="FFF0F51B"/>
    <w:rsid w:val="FFF559B8"/>
    <w:rsid w:val="FFF55EC6"/>
    <w:rsid w:val="FFF90069"/>
    <w:rsid w:val="FFFD5492"/>
    <w:rsid w:val="FFFD902C"/>
    <w:rsid w:val="FFFEA76D"/>
    <w:rsid w:val="FFFEC7F1"/>
    <w:rsid w:val="FFFED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5"/>
    <w:qFormat/>
    <w:uiPriority w:val="0"/>
    <w:pPr>
      <w:spacing w:line="360" w:lineRule="auto"/>
      <w:jc w:val="center"/>
      <w:outlineLvl w:val="1"/>
    </w:pPr>
    <w:rPr>
      <w:rFonts w:ascii="黑体" w:hAnsi="宋体" w:eastAsia="黑体"/>
      <w:sz w:val="28"/>
      <w:szCs w:val="21"/>
    </w:rPr>
  </w:style>
  <w:style w:type="paragraph" w:styleId="4">
    <w:name w:val="heading 3"/>
    <w:basedOn w:val="1"/>
    <w:next w:val="1"/>
    <w:link w:val="2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26"/>
    <w:qFormat/>
    <w:uiPriority w:val="9"/>
    <w:pPr>
      <w:keepNext/>
      <w:keepLines/>
      <w:spacing w:before="280" w:after="290" w:line="376" w:lineRule="auto"/>
      <w:outlineLvl w:val="3"/>
    </w:pPr>
    <w:rPr>
      <w:rFonts w:ascii="等线 Light" w:hAnsi="等线 Light" w:eastAsia="等线 Light"/>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2"/>
    <w:qFormat/>
    <w:uiPriority w:val="99"/>
    <w:rPr>
      <w:sz w:val="18"/>
      <w:szCs w:val="18"/>
    </w:rPr>
  </w:style>
  <w:style w:type="paragraph" w:styleId="6">
    <w:name w:val="Normal Indent"/>
    <w:basedOn w:val="1"/>
    <w:link w:val="27"/>
    <w:qFormat/>
    <w:uiPriority w:val="0"/>
    <w:pPr>
      <w:ind w:firstLine="420" w:firstLineChars="200"/>
    </w:pPr>
    <w:rPr>
      <w:rFonts w:ascii="等线" w:hAnsi="等线"/>
      <w:kern w:val="0"/>
      <w:sz w:val="20"/>
    </w:rPr>
  </w:style>
  <w:style w:type="paragraph" w:styleId="7">
    <w:name w:val="Document Map"/>
    <w:basedOn w:val="1"/>
    <w:link w:val="28"/>
    <w:qFormat/>
    <w:uiPriority w:val="99"/>
    <w:rPr>
      <w:rFonts w:ascii="宋体"/>
      <w:sz w:val="18"/>
      <w:szCs w:val="18"/>
    </w:rPr>
  </w:style>
  <w:style w:type="paragraph" w:styleId="8">
    <w:name w:val="annotation text"/>
    <w:basedOn w:val="1"/>
    <w:link w:val="29"/>
    <w:qFormat/>
    <w:uiPriority w:val="99"/>
    <w:pPr>
      <w:jc w:val="left"/>
    </w:pPr>
  </w:style>
  <w:style w:type="paragraph" w:styleId="9">
    <w:name w:val="Body Text"/>
    <w:basedOn w:val="1"/>
    <w:next w:val="1"/>
    <w:link w:val="45"/>
    <w:qFormat/>
    <w:uiPriority w:val="0"/>
    <w:pPr>
      <w:spacing w:after="120"/>
    </w:pPr>
  </w:style>
  <w:style w:type="paragraph" w:styleId="10">
    <w:name w:val="Body Text Indent"/>
    <w:basedOn w:val="1"/>
    <w:link w:val="30"/>
    <w:qFormat/>
    <w:uiPriority w:val="99"/>
    <w:pPr>
      <w:spacing w:after="120"/>
      <w:ind w:left="420" w:leftChars="2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link w:val="31"/>
    <w:qFormat/>
    <w:uiPriority w:val="99"/>
    <w:rPr>
      <w:rFonts w:ascii="宋体" w:hAnsi="Courier New" w:eastAsia="等线"/>
      <w:kern w:val="0"/>
      <w:sz w:val="20"/>
      <w:szCs w:val="20"/>
    </w:rPr>
  </w:style>
  <w:style w:type="paragraph" w:styleId="13">
    <w:name w:val="footer"/>
    <w:basedOn w:val="1"/>
    <w:link w:val="33"/>
    <w:qFormat/>
    <w:uiPriority w:val="99"/>
    <w:pPr>
      <w:tabs>
        <w:tab w:val="center" w:pos="4153"/>
        <w:tab w:val="right" w:pos="8306"/>
      </w:tabs>
      <w:snapToGrid w:val="0"/>
      <w:jc w:val="left"/>
    </w:pPr>
    <w:rPr>
      <w:rFonts w:ascii="等线" w:hAnsi="等线" w:eastAsia="等线"/>
      <w:kern w:val="0"/>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35"/>
    <w:qFormat/>
    <w:uiPriority w:val="99"/>
    <w:rPr>
      <w:b/>
      <w:bCs/>
    </w:rPr>
  </w:style>
  <w:style w:type="paragraph" w:styleId="17">
    <w:name w:val="Body Text First Indent 2"/>
    <w:basedOn w:val="10"/>
    <w:link w:val="36"/>
    <w:qFormat/>
    <w:uiPriority w:val="0"/>
    <w:pPr>
      <w:spacing w:after="0" w:line="500" w:lineRule="exact"/>
      <w:ind w:left="0" w:leftChars="0" w:firstLine="420"/>
    </w:pPr>
    <w:rPr>
      <w:rFonts w:ascii="仿宋_GB2312" w:hAnsi="等线" w:eastAsia="仿宋_GB2312"/>
      <w:kern w:val="0"/>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qFormat/>
    <w:uiPriority w:val="99"/>
    <w:rPr>
      <w:sz w:val="21"/>
      <w:szCs w:val="21"/>
    </w:rPr>
  </w:style>
  <w:style w:type="character" w:customStyle="1" w:styleId="24">
    <w:name w:val="标题 3 字符"/>
    <w:link w:val="4"/>
    <w:qFormat/>
    <w:uiPriority w:val="0"/>
    <w:rPr>
      <w:rFonts w:ascii="Times New Roman" w:hAnsi="Times New Roman" w:eastAsia="宋体" w:cs="Times New Roman"/>
      <w:b/>
      <w:bCs/>
      <w:sz w:val="32"/>
      <w:szCs w:val="32"/>
    </w:rPr>
  </w:style>
  <w:style w:type="character" w:customStyle="1" w:styleId="25">
    <w:name w:val="标题 2 字符"/>
    <w:link w:val="3"/>
    <w:qFormat/>
    <w:uiPriority w:val="0"/>
    <w:rPr>
      <w:rFonts w:ascii="黑体" w:hAnsi="宋体" w:eastAsia="黑体" w:cs="Arial"/>
      <w:sz w:val="28"/>
      <w:szCs w:val="21"/>
    </w:rPr>
  </w:style>
  <w:style w:type="character" w:customStyle="1" w:styleId="26">
    <w:name w:val="标题 4 字符"/>
    <w:link w:val="5"/>
    <w:qFormat/>
    <w:uiPriority w:val="9"/>
    <w:rPr>
      <w:rFonts w:ascii="等线 Light" w:hAnsi="等线 Light" w:eastAsia="等线 Light" w:cs="Kalinga"/>
      <w:b/>
      <w:bCs/>
      <w:sz w:val="28"/>
      <w:szCs w:val="28"/>
    </w:rPr>
  </w:style>
  <w:style w:type="character" w:customStyle="1" w:styleId="27">
    <w:name w:val="正文缩进 字符"/>
    <w:link w:val="6"/>
    <w:qFormat/>
    <w:uiPriority w:val="0"/>
    <w:rPr>
      <w:rFonts w:eastAsia="宋体"/>
      <w:szCs w:val="24"/>
    </w:rPr>
  </w:style>
  <w:style w:type="character" w:customStyle="1" w:styleId="28">
    <w:name w:val="文档结构图 字符"/>
    <w:link w:val="7"/>
    <w:qFormat/>
    <w:uiPriority w:val="99"/>
    <w:rPr>
      <w:rFonts w:ascii="宋体" w:hAnsi="Times New Roman" w:eastAsia="宋体" w:cs="Times New Roman"/>
      <w:kern w:val="2"/>
      <w:sz w:val="18"/>
      <w:szCs w:val="18"/>
    </w:rPr>
  </w:style>
  <w:style w:type="character" w:customStyle="1" w:styleId="29">
    <w:name w:val="批注文字 字符"/>
    <w:link w:val="8"/>
    <w:qFormat/>
    <w:uiPriority w:val="99"/>
    <w:rPr>
      <w:rFonts w:ascii="Times New Roman" w:hAnsi="Times New Roman" w:eastAsia="宋体" w:cs="Times New Roman"/>
      <w:kern w:val="2"/>
      <w:sz w:val="21"/>
      <w:szCs w:val="24"/>
    </w:rPr>
  </w:style>
  <w:style w:type="character" w:customStyle="1" w:styleId="30">
    <w:name w:val="正文文本缩进 字符"/>
    <w:link w:val="10"/>
    <w:qFormat/>
    <w:uiPriority w:val="99"/>
    <w:rPr>
      <w:rFonts w:ascii="Times New Roman" w:hAnsi="Times New Roman" w:eastAsia="宋体" w:cs="Times New Roman"/>
      <w:kern w:val="2"/>
      <w:sz w:val="21"/>
      <w:szCs w:val="24"/>
    </w:rPr>
  </w:style>
  <w:style w:type="character" w:customStyle="1" w:styleId="31">
    <w:name w:val="纯文本 字符1"/>
    <w:link w:val="12"/>
    <w:qFormat/>
    <w:uiPriority w:val="99"/>
    <w:rPr>
      <w:rFonts w:ascii="宋体" w:hAnsi="Courier New"/>
    </w:rPr>
  </w:style>
  <w:style w:type="character" w:customStyle="1" w:styleId="32">
    <w:name w:val="批注框文本 字符"/>
    <w:link w:val="2"/>
    <w:qFormat/>
    <w:uiPriority w:val="99"/>
    <w:rPr>
      <w:rFonts w:ascii="Times New Roman" w:hAnsi="Times New Roman" w:eastAsia="宋体" w:cs="Times New Roman"/>
      <w:kern w:val="2"/>
      <w:sz w:val="18"/>
      <w:szCs w:val="18"/>
    </w:rPr>
  </w:style>
  <w:style w:type="character" w:customStyle="1" w:styleId="33">
    <w:name w:val="页脚 字符"/>
    <w:link w:val="13"/>
    <w:qFormat/>
    <w:uiPriority w:val="99"/>
    <w:rPr>
      <w:sz w:val="18"/>
      <w:szCs w:val="18"/>
    </w:rPr>
  </w:style>
  <w:style w:type="character" w:customStyle="1" w:styleId="34">
    <w:name w:val="页眉 字符"/>
    <w:link w:val="14"/>
    <w:qFormat/>
    <w:uiPriority w:val="99"/>
    <w:rPr>
      <w:sz w:val="18"/>
      <w:szCs w:val="18"/>
    </w:rPr>
  </w:style>
  <w:style w:type="character" w:customStyle="1" w:styleId="35">
    <w:name w:val="批注主题 字符"/>
    <w:link w:val="16"/>
    <w:qFormat/>
    <w:uiPriority w:val="99"/>
    <w:rPr>
      <w:rFonts w:ascii="Times New Roman" w:hAnsi="Times New Roman" w:eastAsia="宋体" w:cs="Times New Roman"/>
      <w:b/>
      <w:bCs/>
      <w:kern w:val="2"/>
      <w:sz w:val="21"/>
      <w:szCs w:val="24"/>
    </w:rPr>
  </w:style>
  <w:style w:type="character" w:customStyle="1" w:styleId="36">
    <w:name w:val="正文文本首行缩进 2 字符"/>
    <w:link w:val="17"/>
    <w:qFormat/>
    <w:uiPriority w:val="0"/>
    <w:rPr>
      <w:rFonts w:ascii="仿宋_GB2312" w:eastAsia="仿宋_GB2312" w:cs="仿宋_GB2312"/>
      <w:sz w:val="32"/>
      <w:szCs w:val="32"/>
    </w:rPr>
  </w:style>
  <w:style w:type="character" w:customStyle="1" w:styleId="37">
    <w:name w:val="纯文本 字符"/>
    <w:qFormat/>
    <w:uiPriority w:val="99"/>
    <w:rPr>
      <w:rFonts w:ascii="等线" w:hAnsi="Courier New" w:cs="Courier New"/>
      <w:szCs w:val="24"/>
    </w:rPr>
  </w:style>
  <w:style w:type="character" w:customStyle="1" w:styleId="38">
    <w:name w:val="批注文字 Char"/>
    <w:qFormat/>
    <w:uiPriority w:val="99"/>
    <w:rPr>
      <w:rFonts w:ascii="Times New Roman" w:hAnsi="Times New Roman"/>
      <w:kern w:val="2"/>
      <w:sz w:val="21"/>
      <w:szCs w:val="24"/>
    </w:rPr>
  </w:style>
  <w:style w:type="paragraph" w:customStyle="1" w:styleId="39">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40">
    <w:name w:val="Char"/>
    <w:basedOn w:val="1"/>
    <w:qFormat/>
    <w:uiPriority w:val="0"/>
    <w:pPr>
      <w:widowControl/>
      <w:spacing w:after="160" w:line="240" w:lineRule="exact"/>
      <w:jc w:val="left"/>
    </w:pPr>
  </w:style>
  <w:style w:type="paragraph" w:customStyle="1" w:styleId="41">
    <w:name w:val="USE 1"/>
    <w:basedOn w:val="1"/>
    <w:qFormat/>
    <w:uiPriority w:val="0"/>
    <w:pPr>
      <w:spacing w:line="200" w:lineRule="atLeast"/>
      <w:jc w:val="left"/>
    </w:pPr>
    <w:rPr>
      <w:rFonts w:ascii="宋体" w:hAnsi="宋体"/>
      <w:b/>
      <w:sz w:val="24"/>
      <w:szCs w:val="28"/>
    </w:rPr>
  </w:style>
  <w:style w:type="character" w:customStyle="1" w:styleId="42">
    <w:name w:val="z-窗体顶端 Char"/>
    <w:link w:val="43"/>
    <w:qFormat/>
    <w:uiPriority w:val="0"/>
    <w:rPr>
      <w:rFonts w:ascii="宋体"/>
      <w:b/>
      <w:bCs/>
      <w:sz w:val="28"/>
    </w:rPr>
  </w:style>
  <w:style w:type="paragraph" w:customStyle="1" w:styleId="43">
    <w:name w:val="z-窗体顶端1"/>
    <w:basedOn w:val="1"/>
    <w:next w:val="1"/>
    <w:link w:val="42"/>
    <w:qFormat/>
    <w:uiPriority w:val="0"/>
    <w:pPr>
      <w:widowControl/>
      <w:spacing w:line="360" w:lineRule="auto"/>
      <w:jc w:val="center"/>
    </w:pPr>
    <w:rPr>
      <w:rFonts w:ascii="宋体" w:hAnsi="等线" w:eastAsia="等线"/>
      <w:b/>
      <w:bCs/>
      <w:kern w:val="0"/>
      <w:sz w:val="28"/>
      <w:szCs w:val="20"/>
    </w:rPr>
  </w:style>
  <w:style w:type="paragraph" w:customStyle="1" w:styleId="44">
    <w:name w:val="（）列表模式"/>
    <w:basedOn w:val="1"/>
    <w:qFormat/>
    <w:uiPriority w:val="0"/>
    <w:pPr>
      <w:tabs>
        <w:tab w:val="left" w:pos="960"/>
        <w:tab w:val="left" w:pos="1470"/>
      </w:tabs>
      <w:spacing w:line="360" w:lineRule="auto"/>
      <w:ind w:left="1470" w:hanging="420"/>
    </w:pPr>
    <w:rPr>
      <w:sz w:val="24"/>
      <w:szCs w:val="20"/>
    </w:rPr>
  </w:style>
  <w:style w:type="character" w:customStyle="1" w:styleId="45">
    <w:name w:val="正文文本 字符"/>
    <w:basedOn w:val="20"/>
    <w:link w:val="9"/>
    <w:qFormat/>
    <w:uiPriority w:val="0"/>
    <w:rPr>
      <w:kern w:val="2"/>
      <w:sz w:val="21"/>
      <w:szCs w:val="24"/>
    </w:rPr>
  </w:style>
  <w:style w:type="character" w:customStyle="1" w:styleId="46">
    <w:name w:val="Hyperlink.0"/>
    <w:qFormat/>
    <w:uiPriority w:val="0"/>
    <w:rPr>
      <w:rFonts w:hint="eastAsia" w:ascii="宋体" w:hAnsi="宋体" w:eastAsia="宋体" w:cs="宋体"/>
      <w:lang w:val="en-US" w:eastAsia="zh-TW"/>
    </w:rPr>
  </w:style>
  <w:style w:type="paragraph" w:customStyle="1" w:styleId="47">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6337</Words>
  <Characters>36127</Characters>
  <Lines>301</Lines>
  <Paragraphs>84</Paragraphs>
  <TotalTime>8</TotalTime>
  <ScaleCrop>false</ScaleCrop>
  <LinksUpToDate>false</LinksUpToDate>
  <CharactersWithSpaces>42380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2021-11-03T19:46:00Z</dcterms:created>
  <dc:creator>j sl</dc:creator>
  <cp:lastModifiedBy>Yang 矒</cp:lastModifiedBy>
  <cp:lastPrinted>2022-03-05T08:43:00Z</cp:lastPrinted>
  <dcterms:modified xsi:type="dcterms:W3CDTF">2022-03-16T07:20:51Z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561C8817DA244505B4977FC941877DFA</vt:lpwstr>
  </property>
</Properties>
</file>