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32"/>
        </w:rPr>
        <w:t>深圳前海深港现代服务业合作区外资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32"/>
        </w:rPr>
        <w:t>奖励办法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》起草说明</w:t>
      </w:r>
    </w:p>
    <w:p>
      <w:pPr>
        <w:pStyle w:val="12"/>
        <w:spacing w:line="560" w:lineRule="exact"/>
        <w:ind w:firstLine="640"/>
        <w:rPr>
          <w:rFonts w:hint="default" w:ascii="仿宋_GB2312" w:hAnsi="仿宋" w:eastAsia="仿宋_GB2312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切实</w:t>
      </w:r>
      <w:r>
        <w:rPr>
          <w:rFonts w:hint="eastAsia" w:ascii="仿宋_GB2312" w:eastAsia="仿宋_GB2312"/>
          <w:sz w:val="32"/>
          <w:szCs w:val="32"/>
        </w:rPr>
        <w:t>落实《全面深化前海深港现代服务业合作区改革开放方案》</w:t>
      </w: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中发〔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2021</w:t>
      </w:r>
      <w:r>
        <w:rPr>
          <w:rStyle w:val="17"/>
          <w:rFonts w:hint="default" w:ascii="华文仿宋" w:hAnsi="华文仿宋" w:eastAsia="华文仿宋" w:cstheme="minorBidi"/>
          <w:color w:val="000000"/>
          <w:kern w:val="0"/>
          <w:sz w:val="32"/>
          <w:szCs w:val="32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22</w:t>
      </w:r>
      <w:r>
        <w:rPr>
          <w:rFonts w:ascii="仿宋_GB2312" w:hAnsi="仿宋" w:eastAsia="仿宋_GB2312"/>
          <w:sz w:val="32"/>
          <w:szCs w:val="32"/>
        </w:rPr>
        <w:t>号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ascii="仿宋_GB2312" w:hAnsi="仿宋" w:eastAsia="仿宋_GB2312"/>
          <w:sz w:val="32"/>
          <w:szCs w:val="32"/>
        </w:rPr>
        <w:t>（以下简称《前海方案》）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加快打造粤港澳大湾区全面深化改革创新试验平台，建设高水平对外开放门户枢纽，进一步促进外资稳存量、扩增量、提质量，</w:t>
      </w:r>
      <w:r>
        <w:rPr>
          <w:rFonts w:hint="default" w:ascii="仿宋_GB2312" w:eastAsia="仿宋_GB2312"/>
          <w:sz w:val="32"/>
          <w:szCs w:val="32"/>
        </w:rPr>
        <w:t>我局</w:t>
      </w:r>
      <w:r>
        <w:rPr>
          <w:rFonts w:ascii="仿宋_GB2312" w:eastAsia="仿宋_GB2312"/>
          <w:sz w:val="32"/>
          <w:szCs w:val="32"/>
        </w:rPr>
        <w:t>起草《</w:t>
      </w:r>
      <w:r>
        <w:rPr>
          <w:rFonts w:hint="eastAsia" w:ascii="仿宋_GB2312" w:eastAsia="仿宋_GB2312"/>
          <w:sz w:val="32"/>
          <w:szCs w:val="32"/>
        </w:rPr>
        <w:t>深圳前海深港现代服务业合作区</w:t>
      </w:r>
      <w:r>
        <w:rPr>
          <w:rFonts w:ascii="仿宋_GB2312" w:eastAsia="仿宋_GB2312"/>
          <w:sz w:val="32"/>
          <w:szCs w:val="32"/>
        </w:rPr>
        <w:t>外资</w:t>
      </w:r>
      <w:r>
        <w:rPr>
          <w:rFonts w:hint="eastAsia" w:ascii="仿宋_GB2312" w:eastAsia="仿宋_GB2312"/>
          <w:sz w:val="32"/>
          <w:szCs w:val="32"/>
        </w:rPr>
        <w:t>奖励办法</w:t>
      </w:r>
      <w:r>
        <w:rPr>
          <w:rFonts w:ascii="仿宋_GB2312" w:eastAsia="仿宋_GB2312"/>
          <w:sz w:val="32"/>
          <w:szCs w:val="32"/>
        </w:rPr>
        <w:t>》（</w:t>
      </w:r>
      <w:r>
        <w:rPr>
          <w:rFonts w:ascii="仿宋_GB2312" w:hAnsi="仿宋" w:eastAsia="仿宋_GB2312"/>
          <w:sz w:val="32"/>
          <w:szCs w:val="32"/>
        </w:rPr>
        <w:t>以下简称《外资</w:t>
      </w:r>
      <w:r>
        <w:rPr>
          <w:rFonts w:hint="default" w:ascii="仿宋_GB2312" w:hAnsi="仿宋" w:eastAsia="仿宋_GB2312"/>
          <w:sz w:val="32"/>
          <w:szCs w:val="32"/>
        </w:rPr>
        <w:t>奖励办法</w:t>
      </w:r>
      <w:r>
        <w:rPr>
          <w:rFonts w:ascii="仿宋_GB2312" w:hAnsi="仿宋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）。</w:t>
      </w:r>
      <w:r>
        <w:rPr>
          <w:rFonts w:ascii="仿宋_GB2312" w:hAnsi="仿宋" w:eastAsia="仿宋_GB2312"/>
          <w:sz w:val="32"/>
          <w:szCs w:val="32"/>
        </w:rPr>
        <w:t>现就相关情况说明如下：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ESI黑体-GB2312" w:hAnsi="CESI黑体-GB2312" w:eastAsia="CESI黑体-GB2312" w:cs="CESI黑体-GB2312"/>
          <w:color w:val="00000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  <w:t xml:space="preserve">    一、</w:t>
      </w:r>
      <w:r>
        <w:rPr>
          <w:rFonts w:ascii="CESI黑体-GB2312" w:hAnsi="CESI黑体-GB2312" w:eastAsia="CESI黑体-GB2312" w:cs="CESI黑体-GB2312"/>
          <w:color w:val="000000"/>
          <w:kern w:val="0"/>
          <w:sz w:val="32"/>
          <w:szCs w:val="32"/>
        </w:rPr>
        <w:t>修订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  <w:t>背景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《外资奖励办法》在《深圳前海深港现代服务业合作区招商引资奖励暂行办法》（深前海规〔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2020〕6</w:t>
      </w:r>
      <w:r>
        <w:rPr>
          <w:rFonts w:ascii="仿宋_GB2312" w:eastAsia="仿宋_GB2312"/>
          <w:sz w:val="32"/>
          <w:szCs w:val="32"/>
        </w:rPr>
        <w:t>号，以下简称原《暂行办法》）基础上进行修订。《暂行办法》于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2020</w:t>
      </w:r>
      <w:r>
        <w:rPr>
          <w:rFonts w:ascii="仿宋_GB2312" w:eastAsia="仿宋_GB2312"/>
          <w:sz w:val="32"/>
          <w:szCs w:val="32"/>
        </w:rPr>
        <w:t>年初启动制定工，旨在</w:t>
      </w:r>
      <w:r>
        <w:rPr>
          <w:rFonts w:ascii="仿宋_GB2312" w:eastAsia="仿宋_GB2312"/>
          <w:sz w:val="32"/>
          <w:szCs w:val="32"/>
        </w:rPr>
        <w:t>进一步强化外资企业市场信心。</w:t>
      </w:r>
      <w:r>
        <w:rPr>
          <w:rFonts w:ascii="仿宋_GB2312" w:eastAsia="仿宋_GB2312"/>
          <w:sz w:val="32"/>
          <w:szCs w:val="32"/>
        </w:rPr>
        <w:t>《暂行办法》于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ascii="仿宋_GB2312" w:eastAsia="仿宋_GB2312"/>
          <w:sz w:val="32"/>
          <w:szCs w:val="32"/>
        </w:rPr>
        <w:t>日正式生效，有效期三年，目前已到期。修订背景如下：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扩区后政策适用性。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前海方案》发布后，按照统筹推进“物理扩区”和“政策扩区”的原则，我局推进除企业所得税优惠外的各类支持政策覆盖“扩区”后的全部区域。《暂行办法》中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相关条款执行范围需要重新认定。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）与新产业政策体系衔接。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前海方案》发布后，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我局陆续出台专业服务业、商贸物流业、科技创新行业、金融业、法律服务业等专项政策，新政策体系基本构建完成。《暂行办法》并非专项政策，其中的“经营支持”“产业引进”奖励依据上市公司、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国家高新技术企业、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持牌金融机构、直接经济贡献等多个维度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，将企业分档（从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A至AAAA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），依据不同分档给予企业和招商合作机构不同奖励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“运营支持”、“搬迁支持”、“团队激励支持”等奖励类型与专项政策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存在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重复奖励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问题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10"/>
        <w:ind w:left="0" w:leftChars="0" w:firstLine="642" w:firstLineChars="200"/>
        <w:rPr>
          <w:rFonts w:hint="default" w:ascii="仿宋_GB2312" w:hAnsi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与市外资新政策衔接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-SA"/>
        </w:rPr>
        <w:t>市</w:t>
      </w: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eastAsia="zh-CN" w:bidi="ar-SA"/>
        </w:rPr>
        <w:t>商务局于今年起制定促进外资发展的相关措施（指《深圳市促进外资稳规模优结构提质量若干措施》（征求意见稿）），</w:t>
      </w: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eastAsia="zh-CN" w:bidi="ar-SA"/>
        </w:rPr>
        <w:t>目前正在推进出台，前海需对接市外资政策，</w:t>
      </w: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eastAsia="zh-CN" w:bidi="ar-SA"/>
        </w:rPr>
        <w:t>确保支持思路、范围、额度等内容衔接顺畅。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</w:pPr>
      <w:r>
        <w:rPr>
          <w:rFonts w:ascii="CESI黑体-GB2312" w:hAnsi="CESI黑体-GB2312" w:eastAsia="CESI黑体-GB2312" w:cs="CESI黑体-GB2312"/>
          <w:color w:val="000000"/>
          <w:kern w:val="0"/>
          <w:sz w:val="32"/>
          <w:szCs w:val="32"/>
        </w:rPr>
        <w:t>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拟删除《暂行办法》中“经营支持”、“产业引进”两部分政策内容，保留并优化外资奖励。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（一）稳存量、引增量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Style w:val="17"/>
          <w:rFonts w:hint="eastAsia" w:ascii="华文仿宋" w:hAnsi="华文仿宋" w:eastAsia="华文仿宋"/>
          <w:sz w:val="32"/>
          <w:szCs w:val="32"/>
        </w:rPr>
        <w:t>据市场反馈，《暂行办法》的外资奖励政策确实对吸引外资流入起到了鼓励引导作用，因此本次政策修订保留了外资奖励条款，并对</w:t>
      </w:r>
      <w:r>
        <w:rPr>
          <w:rStyle w:val="17"/>
          <w:rFonts w:hint="default" w:ascii="华文仿宋" w:hAnsi="华文仿宋" w:eastAsia="华文仿宋"/>
          <w:sz w:val="32"/>
          <w:szCs w:val="32"/>
        </w:rPr>
        <w:t>入资金额高</w:t>
      </w:r>
      <w:r>
        <w:rPr>
          <w:rStyle w:val="17"/>
          <w:rFonts w:hint="eastAsia" w:ascii="华文仿宋" w:hAnsi="华文仿宋" w:eastAsia="华文仿宋"/>
          <w:sz w:val="32"/>
          <w:szCs w:val="32"/>
        </w:rPr>
        <w:t>的企业适当提高奖励比例。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Style w:val="17"/>
          <w:rFonts w:hint="default" w:ascii="华文仿宋" w:hAnsi="华文仿宋" w:eastAsia="华文仿宋" w:cstheme="minorBidi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免申即享，优服务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Style w:val="17"/>
          <w:rFonts w:hint="default" w:ascii="华文仿宋" w:hAnsi="华文仿宋" w:eastAsia="华文仿宋" w:cstheme="minorBidi"/>
          <w:sz w:val="32"/>
          <w:szCs w:val="32"/>
        </w:rPr>
        <w:t>我市多个区已对多个奖励开展免审即享服务。为更好支持企业聚焦业务发展，外资奖励政策拟按免审即享的模式进行优化。每年申报中均存在企业漏报现象，申报和请款材料的准备也给企业带来一定负担。免审即享后，拟按照清单化管理，通过平台发送通知、企业确认信息，处室审核拨付的方式发放奖励，真正实现“最大政策效应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ESI黑体-GB2312" w:hAnsi="CESI黑体-GB2312" w:eastAsia="CESI黑体-GB2312" w:cs="CESI黑体-GB2312"/>
          <w:color w:val="000000"/>
          <w:kern w:val="0"/>
          <w:sz w:val="32"/>
          <w:szCs w:val="32"/>
        </w:rPr>
      </w:pPr>
      <w:r>
        <w:rPr>
          <w:rFonts w:ascii="CESI黑体-GB2312" w:hAnsi="CESI黑体-GB2312" w:eastAsia="CESI黑体-GB2312" w:cs="CESI黑体-GB2312"/>
          <w:color w:val="000000"/>
          <w:kern w:val="0"/>
          <w:sz w:val="32"/>
          <w:szCs w:val="32"/>
        </w:rPr>
        <w:t>三、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ascii="仿宋_GB2312" w:hAnsi="仿宋" w:eastAsia="仿宋_GB2312"/>
          <w:sz w:val="32"/>
          <w:szCs w:val="32"/>
        </w:rPr>
        <w:t>外资奖励办法》</w:t>
      </w:r>
      <w:r>
        <w:rPr>
          <w:rFonts w:hint="eastAsia" w:ascii="仿宋_GB2312" w:hAnsi="仿宋" w:eastAsia="仿宋_GB2312"/>
          <w:sz w:val="32"/>
          <w:szCs w:val="32"/>
        </w:rPr>
        <w:t>共</w:t>
      </w:r>
      <w:bookmarkStart w:id="0" w:name="_GoBack"/>
      <w:r>
        <w:rPr>
          <w:rFonts w:ascii="仿宋_GB2312" w:hAnsi="仿宋" w:eastAsia="仿宋_GB2312"/>
          <w:sz w:val="32"/>
          <w:szCs w:val="32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章</w:t>
      </w:r>
      <w:r>
        <w:rPr>
          <w:rFonts w:ascii="仿宋_GB2312" w:hAnsi="仿宋" w:eastAsia="仿宋_GB2312"/>
          <w:sz w:val="32"/>
          <w:szCs w:val="32"/>
        </w:rPr>
        <w:t>十四</w:t>
      </w:r>
      <w:r>
        <w:rPr>
          <w:rFonts w:hint="eastAsia" w:ascii="仿宋_GB2312" w:hAnsi="仿宋" w:eastAsia="仿宋_GB2312"/>
          <w:sz w:val="32"/>
          <w:szCs w:val="32"/>
        </w:rPr>
        <w:t>条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适用范围覆</w:t>
      </w:r>
      <w:bookmarkEnd w:id="0"/>
      <w:r>
        <w:rPr>
          <w:rFonts w:hint="eastAsia" w:ascii="仿宋_GB2312" w:hAnsi="仿宋" w:eastAsia="仿宋_GB2312"/>
          <w:sz w:val="32"/>
          <w:szCs w:val="32"/>
        </w:rPr>
        <w:t>盖整个前海合作区，有效期</w:t>
      </w:r>
      <w:r>
        <w:rPr>
          <w:rFonts w:ascii="仿宋_GB2312" w:hAnsi="仿宋" w:eastAsia="仿宋_GB2312"/>
          <w:sz w:val="32"/>
          <w:szCs w:val="32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年。</w:t>
      </w:r>
      <w:r>
        <w:rPr>
          <w:rFonts w:hint="default" w:ascii="仿宋_GB2312" w:hAnsi="仿宋" w:eastAsia="仿宋_GB2312"/>
          <w:sz w:val="32"/>
          <w:szCs w:val="32"/>
        </w:rPr>
        <w:t>修订参考市商务局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《深圳市</w:t>
      </w:r>
      <w:r>
        <w:rPr>
          <w:rFonts w:hint="default" w:ascii="仿宋_GB2312" w:hAnsi="仿宋" w:eastAsia="仿宋_GB2312" w:cs="Times New Roman"/>
          <w:sz w:val="32"/>
          <w:szCs w:val="32"/>
          <w:lang w:eastAsia="zh-CN"/>
        </w:rPr>
        <w:t>促进外资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稳规模优结构</w:t>
      </w:r>
      <w:r>
        <w:rPr>
          <w:rFonts w:hint="default" w:ascii="仿宋_GB2312" w:hAnsi="仿宋" w:eastAsia="仿宋_GB2312" w:cs="Times New Roman"/>
          <w:sz w:val="32"/>
          <w:szCs w:val="32"/>
          <w:lang w:eastAsia="zh-CN"/>
        </w:rPr>
        <w:t>提质量若干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措施（征求意见稿）</w:t>
      </w:r>
      <w:r>
        <w:rPr>
          <w:rFonts w:hint="default" w:ascii="仿宋_GB2312" w:hAnsi="仿宋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仿宋_GB2312" w:hAnsi="仿宋" w:eastAsia="仿宋_GB2312"/>
          <w:sz w:val="32"/>
          <w:szCs w:val="32"/>
        </w:rPr>
        <w:t>核心内容如下：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（一）奖励标的情况。</w:t>
      </w:r>
      <w:r>
        <w:rPr>
          <w:rFonts w:hint="default" w:ascii="仿宋_GB2312" w:hAnsi="仿宋" w:eastAsia="仿宋_GB2312" w:cs="Times New Roman"/>
          <w:sz w:val="32"/>
          <w:szCs w:val="32"/>
          <w:lang w:eastAsia="zh-CN"/>
        </w:rPr>
        <w:t>奖励口径</w:t>
      </w:r>
      <w:r>
        <w:rPr>
          <w:rFonts w:hint="default" w:ascii="仿宋_GB2312" w:hAnsi="仿宋" w:eastAsia="仿宋_GB2312"/>
          <w:sz w:val="32"/>
          <w:szCs w:val="32"/>
        </w:rPr>
        <w:t>为实际使用外资且在上年度实现纳统的部分；不再对“新设”和“增资”分别设档，奖励统一以“新增”为基础，与市商务局口径保持一致。</w:t>
      </w:r>
    </w:p>
    <w:p>
      <w:pPr>
        <w:spacing w:line="560" w:lineRule="exact"/>
        <w:ind w:firstLine="642" w:firstLineChars="200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（二）奖励金额情况。</w:t>
      </w:r>
      <w:r>
        <w:rPr>
          <w:rFonts w:hint="default" w:ascii="仿宋_GB2312" w:hAnsi="仿宋" w:eastAsia="仿宋_GB2312"/>
          <w:sz w:val="32"/>
          <w:szCs w:val="32"/>
        </w:rPr>
        <w:t>根据所属产业和新增实际使用外资金额分类、分档进行奖励。参考全国主要省市奖励标准及前海外资实际情况，产业按“现代金融业”和“非金融业”划分，新增外资金额以500万美元、3000万美元设档。</w:t>
      </w:r>
      <w:r>
        <w:rPr>
          <w:rFonts w:hint="eastAsia" w:ascii="仿宋_GB2312" w:hAnsi="仿宋" w:eastAsia="仿宋_GB2312"/>
          <w:sz w:val="32"/>
          <w:szCs w:val="32"/>
        </w:rPr>
        <w:t>现代金融业新增500万美元</w:t>
      </w:r>
      <w:r>
        <w:rPr>
          <w:rFonts w:hint="default" w:ascii="仿宋_GB2312" w:hAnsi="仿宋" w:eastAsia="仿宋_GB2312"/>
          <w:sz w:val="32"/>
          <w:szCs w:val="32"/>
        </w:rPr>
        <w:t>（含）</w:t>
      </w:r>
      <w:r>
        <w:rPr>
          <w:rFonts w:hint="eastAsia" w:ascii="仿宋_GB2312" w:hAnsi="仿宋" w:eastAsia="仿宋_GB2312"/>
          <w:sz w:val="32"/>
          <w:szCs w:val="32"/>
        </w:rPr>
        <w:t>以上，按其年度实际使用外资金额的1%予以奖励</w:t>
      </w:r>
      <w:r>
        <w:rPr>
          <w:rFonts w:hint="default" w:ascii="仿宋_GB2312" w:hAnsi="仿宋" w:eastAsia="仿宋_GB2312"/>
          <w:sz w:val="32"/>
          <w:szCs w:val="32"/>
        </w:rPr>
        <w:t>。非金融业</w:t>
      </w:r>
      <w:r>
        <w:rPr>
          <w:rFonts w:hint="eastAsia" w:ascii="仿宋_GB2312" w:hAnsi="仿宋" w:eastAsia="仿宋_GB2312"/>
          <w:sz w:val="32"/>
          <w:szCs w:val="32"/>
        </w:rPr>
        <w:t>新增500万美元</w:t>
      </w:r>
      <w:r>
        <w:rPr>
          <w:rFonts w:hint="default" w:ascii="仿宋_GB2312" w:hAnsi="仿宋" w:eastAsia="仿宋_GB2312"/>
          <w:sz w:val="32"/>
          <w:szCs w:val="32"/>
        </w:rPr>
        <w:t>（含）</w:t>
      </w:r>
      <w:r>
        <w:rPr>
          <w:rFonts w:hint="eastAsia" w:ascii="仿宋_GB2312" w:hAnsi="仿宋" w:eastAsia="仿宋_GB2312"/>
          <w:sz w:val="32"/>
          <w:szCs w:val="32"/>
        </w:rPr>
        <w:t>以上，按其年度实际使用外资金额的1%予以奖励；新增不少于3000万美元</w:t>
      </w:r>
      <w:r>
        <w:rPr>
          <w:rFonts w:hint="default" w:ascii="仿宋_GB2312" w:hAnsi="仿宋" w:eastAsia="仿宋_GB2312"/>
          <w:sz w:val="32"/>
          <w:szCs w:val="32"/>
        </w:rPr>
        <w:t>（含）</w:t>
      </w:r>
      <w:r>
        <w:rPr>
          <w:rFonts w:hint="eastAsia" w:ascii="仿宋_GB2312" w:hAnsi="仿宋" w:eastAsia="仿宋_GB2312"/>
          <w:sz w:val="32"/>
          <w:szCs w:val="32"/>
        </w:rPr>
        <w:t>以上，按其年度实际使用外资金额的1</w:t>
      </w:r>
      <w:r>
        <w:rPr>
          <w:rFonts w:hint="default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default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予以奖励。单个企业每年享受的外资奖励金额最高不超过3000万元人民币。</w:t>
      </w:r>
    </w:p>
    <w:p>
      <w:pPr>
        <w:ind w:firstLine="642" w:firstLineChars="200"/>
        <w:rPr>
          <w:rFonts w:hint="default" w:ascii="仿宋_GB2312" w:hAnsi="仿宋" w:eastAsia="仿宋_GB2312"/>
          <w:b w:val="0"/>
          <w:bCs w:val="0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（三）新增特色条款。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eastAsia="zh-CN" w:bidi="ar-SA"/>
        </w:rPr>
        <w:t>为加大对外资企业鼓励力度，新增住房支持条款，将</w:t>
      </w:r>
      <w:r>
        <w:rPr>
          <w:rFonts w:ascii="仿宋_GB2312" w:hAnsi="仿宋" w:eastAsia="仿宋_GB2312"/>
          <w:sz w:val="32"/>
          <w:szCs w:val="32"/>
        </w:rPr>
        <w:t>根据外资企业年度实际使用外资情况，在前海年度人才住房配租方案中予以优先保障。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gFjg5wEAAMcDAAAOAAAAZHJz&#10;L2Uyb0RvYy54bWytU82O0zAQviPxDpbvNGkRqypqulqoFiEhQFp4ANdxGku2xxq7TcoDwBtw4sKd&#10;5+pz7NhJu2i57GEvyXh+vpnv83h1PVjDDgqDBlfz+azkTDkJjXa7mn/7evtqyVmIwjXCgFM1P6rA&#10;r9cvX6x6X6kFdGAahYxAXKh6X/MuRl8VRZCdsiLMwCtHwRbQikhH3BUNip7QrSkWZXlV9ICNR5Aq&#10;BPJuxiCfEPEpgNC2WqoNyL1VLo6oqIyIRCl02ge+ztO2rZLxc9sGFZmpOTGN+UtNyN6mb7FeiWqH&#10;wndaTiOIp4zwiJMV2lHTC9RGRMH2qP+DsloiBGjjTIItRiJZEWIxLx9pc9cJrzIXkjr4i+jh+WDl&#10;p8MXZLqhTeDMCUsXfvr18/T77+nPDzZP8vQ+VJR15ykvDm9hSKmTP5AzsR5atOlPfBjFSdzjRVw1&#10;RCZT0XKxXJYUkhQ7HwineCj3GOJ7BZYlo+ZIt5dFFYePIY6p55TUzcGtNob8ojKO9TW/ev2mzAWX&#10;CIEbRz0SiXHYZMVhO0wMttAciRi9B2rYAX7nrKdtqLmj5efMfHAkdlqcs4FnY3s2hJNUWPPI2Wi+&#10;i+OC7T3qXUe48zxU8Df7SCNnJmmMsfc0Hd1v1mLaxbRA/55z1sP7W9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BCAWOD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t>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E5B6D"/>
    <w:multiLevelType w:val="singleLevel"/>
    <w:tmpl w:val="D78E5B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00100774"/>
    <w:rsid w:val="00190D84"/>
    <w:rsid w:val="001F7B37"/>
    <w:rsid w:val="002A7680"/>
    <w:rsid w:val="002B2D3C"/>
    <w:rsid w:val="00336487"/>
    <w:rsid w:val="00421FE0"/>
    <w:rsid w:val="005A38D3"/>
    <w:rsid w:val="00655BE0"/>
    <w:rsid w:val="006D2C7E"/>
    <w:rsid w:val="006D2D9A"/>
    <w:rsid w:val="00716372"/>
    <w:rsid w:val="007932CE"/>
    <w:rsid w:val="008A1AAD"/>
    <w:rsid w:val="00A12958"/>
    <w:rsid w:val="00AA0A31"/>
    <w:rsid w:val="00AB2DFB"/>
    <w:rsid w:val="00B2613B"/>
    <w:rsid w:val="00B47FCF"/>
    <w:rsid w:val="00B53B12"/>
    <w:rsid w:val="00C54DB1"/>
    <w:rsid w:val="00CE6DC8"/>
    <w:rsid w:val="00D11621"/>
    <w:rsid w:val="00DF3657"/>
    <w:rsid w:val="00F47BD4"/>
    <w:rsid w:val="00F97FDE"/>
    <w:rsid w:val="0DEE7270"/>
    <w:rsid w:val="13FECCB0"/>
    <w:rsid w:val="1BDF9632"/>
    <w:rsid w:val="1F73F583"/>
    <w:rsid w:val="25625144"/>
    <w:rsid w:val="29F8CC66"/>
    <w:rsid w:val="2B4FC898"/>
    <w:rsid w:val="2DEE15A1"/>
    <w:rsid w:val="2EA58522"/>
    <w:rsid w:val="2EFF9122"/>
    <w:rsid w:val="33FED5EC"/>
    <w:rsid w:val="37FFBCC6"/>
    <w:rsid w:val="397F203E"/>
    <w:rsid w:val="39F521AE"/>
    <w:rsid w:val="3B3F1437"/>
    <w:rsid w:val="3B9DDBE2"/>
    <w:rsid w:val="3BAD0FFA"/>
    <w:rsid w:val="3D497623"/>
    <w:rsid w:val="3D6D182F"/>
    <w:rsid w:val="3F689177"/>
    <w:rsid w:val="3F7F3FD4"/>
    <w:rsid w:val="3FEF0C61"/>
    <w:rsid w:val="497FA051"/>
    <w:rsid w:val="4A1947CF"/>
    <w:rsid w:val="4AEBAC59"/>
    <w:rsid w:val="537F1AC4"/>
    <w:rsid w:val="55EF6C4B"/>
    <w:rsid w:val="56EFAB7F"/>
    <w:rsid w:val="57B927CA"/>
    <w:rsid w:val="57FE3FDA"/>
    <w:rsid w:val="592D39EF"/>
    <w:rsid w:val="599EAEA6"/>
    <w:rsid w:val="5BF562B3"/>
    <w:rsid w:val="5BF609CB"/>
    <w:rsid w:val="5CEC9FB2"/>
    <w:rsid w:val="5D77EECF"/>
    <w:rsid w:val="5DF6F589"/>
    <w:rsid w:val="5EDB4C21"/>
    <w:rsid w:val="5EEF1C9D"/>
    <w:rsid w:val="5F6E3334"/>
    <w:rsid w:val="5FD1B9DB"/>
    <w:rsid w:val="5FF75A65"/>
    <w:rsid w:val="5FFB8DE1"/>
    <w:rsid w:val="5FFF46EB"/>
    <w:rsid w:val="67B19793"/>
    <w:rsid w:val="6A9F4F65"/>
    <w:rsid w:val="6AAD8E1A"/>
    <w:rsid w:val="6D3FAF69"/>
    <w:rsid w:val="6D9E866C"/>
    <w:rsid w:val="6DF3195D"/>
    <w:rsid w:val="6E3B2697"/>
    <w:rsid w:val="6E63379B"/>
    <w:rsid w:val="6F7B9D54"/>
    <w:rsid w:val="6F9F85B3"/>
    <w:rsid w:val="6FBEA545"/>
    <w:rsid w:val="6FDD0A23"/>
    <w:rsid w:val="6FF76228"/>
    <w:rsid w:val="6FF9A49F"/>
    <w:rsid w:val="70A06496"/>
    <w:rsid w:val="72FEB1D9"/>
    <w:rsid w:val="73CF8B10"/>
    <w:rsid w:val="74246A38"/>
    <w:rsid w:val="759F6D3B"/>
    <w:rsid w:val="76338BEA"/>
    <w:rsid w:val="763B074F"/>
    <w:rsid w:val="76AE4CBB"/>
    <w:rsid w:val="76EFABC4"/>
    <w:rsid w:val="77BF43B6"/>
    <w:rsid w:val="77BFB617"/>
    <w:rsid w:val="77EFB7F8"/>
    <w:rsid w:val="77FEBBFA"/>
    <w:rsid w:val="7AEF65EF"/>
    <w:rsid w:val="7AF57393"/>
    <w:rsid w:val="7AF73AEA"/>
    <w:rsid w:val="7B270BF8"/>
    <w:rsid w:val="7BD79BDA"/>
    <w:rsid w:val="7BE71A99"/>
    <w:rsid w:val="7BFE43B5"/>
    <w:rsid w:val="7C27B4CB"/>
    <w:rsid w:val="7C775A26"/>
    <w:rsid w:val="7C8FF8D1"/>
    <w:rsid w:val="7CDBA5F5"/>
    <w:rsid w:val="7D1E750F"/>
    <w:rsid w:val="7D7ADB01"/>
    <w:rsid w:val="7DBD9875"/>
    <w:rsid w:val="7DCDA199"/>
    <w:rsid w:val="7DDEE2FA"/>
    <w:rsid w:val="7DEB2C7D"/>
    <w:rsid w:val="7DFF67CF"/>
    <w:rsid w:val="7DFFDF74"/>
    <w:rsid w:val="7E77E165"/>
    <w:rsid w:val="7E7FC781"/>
    <w:rsid w:val="7E9F3CC0"/>
    <w:rsid w:val="7E9FCEF8"/>
    <w:rsid w:val="7EA3CD63"/>
    <w:rsid w:val="7EDAEA74"/>
    <w:rsid w:val="7EF7DE53"/>
    <w:rsid w:val="7EF864BF"/>
    <w:rsid w:val="7EFE3CF3"/>
    <w:rsid w:val="7EFFB0F8"/>
    <w:rsid w:val="7F292EF8"/>
    <w:rsid w:val="7F6796C2"/>
    <w:rsid w:val="7F6B4151"/>
    <w:rsid w:val="7F6EBDCC"/>
    <w:rsid w:val="7FB3F927"/>
    <w:rsid w:val="7FBB211E"/>
    <w:rsid w:val="7FBF8BCD"/>
    <w:rsid w:val="7FD7E4FC"/>
    <w:rsid w:val="7FEF29D1"/>
    <w:rsid w:val="7FEF7C44"/>
    <w:rsid w:val="7FEFB3D1"/>
    <w:rsid w:val="7FF653CE"/>
    <w:rsid w:val="7FFD5ECB"/>
    <w:rsid w:val="7FFEA565"/>
    <w:rsid w:val="7FFF7998"/>
    <w:rsid w:val="7FFFC4A7"/>
    <w:rsid w:val="7FFFDE82"/>
    <w:rsid w:val="7FFFF975"/>
    <w:rsid w:val="8B3BED85"/>
    <w:rsid w:val="97BF18BA"/>
    <w:rsid w:val="9DEED121"/>
    <w:rsid w:val="9ECE93C7"/>
    <w:rsid w:val="A91F9508"/>
    <w:rsid w:val="AFCF8C47"/>
    <w:rsid w:val="AFEBCFC3"/>
    <w:rsid w:val="B4FF790E"/>
    <w:rsid w:val="B5E65D47"/>
    <w:rsid w:val="B65FC86A"/>
    <w:rsid w:val="B7BA8EA2"/>
    <w:rsid w:val="B7F784D7"/>
    <w:rsid w:val="BBAFA54F"/>
    <w:rsid w:val="BF191C9D"/>
    <w:rsid w:val="BF671569"/>
    <w:rsid w:val="C47F1440"/>
    <w:rsid w:val="CD7D607E"/>
    <w:rsid w:val="CFFDE8A0"/>
    <w:rsid w:val="D3F799B8"/>
    <w:rsid w:val="D55F37B1"/>
    <w:rsid w:val="D5FDFCE3"/>
    <w:rsid w:val="D7FEB155"/>
    <w:rsid w:val="DBE7BCF6"/>
    <w:rsid w:val="DF6E57B8"/>
    <w:rsid w:val="DF7C60BC"/>
    <w:rsid w:val="DFD31771"/>
    <w:rsid w:val="DFDFFE07"/>
    <w:rsid w:val="DFF64E02"/>
    <w:rsid w:val="DFFC9889"/>
    <w:rsid w:val="DFFF5799"/>
    <w:rsid w:val="E1FFA5E1"/>
    <w:rsid w:val="E2A99E31"/>
    <w:rsid w:val="E76E6A2D"/>
    <w:rsid w:val="E7FF4E31"/>
    <w:rsid w:val="EBDB2A2F"/>
    <w:rsid w:val="ED7E0CBD"/>
    <w:rsid w:val="EEB173BB"/>
    <w:rsid w:val="EEBD9CA8"/>
    <w:rsid w:val="EF778578"/>
    <w:rsid w:val="EF7914FE"/>
    <w:rsid w:val="EF7F706E"/>
    <w:rsid w:val="EF7FE559"/>
    <w:rsid w:val="EF9F4642"/>
    <w:rsid w:val="EFDFB962"/>
    <w:rsid w:val="EFE753A6"/>
    <w:rsid w:val="EFEFCF77"/>
    <w:rsid w:val="EFFD2413"/>
    <w:rsid w:val="F3F32C5E"/>
    <w:rsid w:val="F4B7065A"/>
    <w:rsid w:val="F57F5143"/>
    <w:rsid w:val="F5ED226B"/>
    <w:rsid w:val="F5FD273B"/>
    <w:rsid w:val="F5FD62B8"/>
    <w:rsid w:val="F62F3DC0"/>
    <w:rsid w:val="F77B46A0"/>
    <w:rsid w:val="F77FB75A"/>
    <w:rsid w:val="F7FABDD7"/>
    <w:rsid w:val="F7FDE09A"/>
    <w:rsid w:val="F7FF5A79"/>
    <w:rsid w:val="F8EDE2C1"/>
    <w:rsid w:val="F97F7D04"/>
    <w:rsid w:val="F9D766BF"/>
    <w:rsid w:val="F9FF2E0A"/>
    <w:rsid w:val="FA5DC580"/>
    <w:rsid w:val="FBDD97B7"/>
    <w:rsid w:val="FBF18467"/>
    <w:rsid w:val="FBFE0A80"/>
    <w:rsid w:val="FCDD3804"/>
    <w:rsid w:val="FCF75CC0"/>
    <w:rsid w:val="FCFF9589"/>
    <w:rsid w:val="FD655809"/>
    <w:rsid w:val="FD7D9188"/>
    <w:rsid w:val="FDE7F53D"/>
    <w:rsid w:val="FDECC35D"/>
    <w:rsid w:val="FDF33446"/>
    <w:rsid w:val="FDF76E04"/>
    <w:rsid w:val="FDFA0437"/>
    <w:rsid w:val="FE6D296B"/>
    <w:rsid w:val="FE7A0261"/>
    <w:rsid w:val="FE7F0FCF"/>
    <w:rsid w:val="FEC7B276"/>
    <w:rsid w:val="FECD8BD2"/>
    <w:rsid w:val="FEFFE665"/>
    <w:rsid w:val="FF2AA0C2"/>
    <w:rsid w:val="FF73C098"/>
    <w:rsid w:val="FF7D523F"/>
    <w:rsid w:val="FFA748B5"/>
    <w:rsid w:val="FFB7A2B8"/>
    <w:rsid w:val="FFBD5C60"/>
    <w:rsid w:val="FFCAB775"/>
    <w:rsid w:val="FFCF3035"/>
    <w:rsid w:val="FFD70F60"/>
    <w:rsid w:val="FFF6CC3F"/>
    <w:rsid w:val="FFF74BAE"/>
    <w:rsid w:val="FFFC7820"/>
    <w:rsid w:val="FFFD46B7"/>
    <w:rsid w:val="FFFF9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customStyle="1" w:styleId="10">
    <w:name w:val="BodyText"/>
    <w:basedOn w:val="1"/>
    <w:next w:val="11"/>
    <w:qFormat/>
    <w:uiPriority w:val="0"/>
    <w:pPr>
      <w:spacing w:after="120" w:line="560" w:lineRule="exact"/>
      <w:ind w:firstLine="880"/>
    </w:pPr>
    <w:rPr>
      <w:rFonts w:eastAsia="仿宋_GB2312"/>
      <w:sz w:val="32"/>
    </w:rPr>
  </w:style>
  <w:style w:type="paragraph" w:customStyle="1" w:styleId="11">
    <w:name w:val="TOC5"/>
    <w:basedOn w:val="1"/>
    <w:next w:val="1"/>
    <w:qFormat/>
    <w:uiPriority w:val="0"/>
    <w:pPr>
      <w:ind w:left="1680"/>
    </w:pPr>
  </w:style>
  <w:style w:type="paragraph" w:customStyle="1" w:styleId="12">
    <w:name w:val="列出段落1"/>
    <w:basedOn w:val="1"/>
    <w:unhideWhenUsed/>
    <w:qFormat/>
    <w:uiPriority w:val="34"/>
    <w:pPr>
      <w:ind w:firstLine="420" w:firstLineChars="200"/>
    </w:pPr>
    <w:rPr>
      <w:rFonts w:hint="eastAsia" w:ascii="等线" w:hAnsi="等线" w:eastAsia="等线"/>
    </w:rPr>
  </w:style>
  <w:style w:type="paragraph" w:customStyle="1" w:styleId="13">
    <w:name w:val="updatec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updatecss1"/>
    <w:basedOn w:val="8"/>
    <w:qFormat/>
    <w:uiPriority w:val="0"/>
  </w:style>
  <w:style w:type="character" w:customStyle="1" w:styleId="15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1951</Characters>
  <Lines>16</Lines>
  <Paragraphs>4</Paragraphs>
  <TotalTime>1</TotalTime>
  <ScaleCrop>false</ScaleCrop>
  <LinksUpToDate>false</LinksUpToDate>
  <CharactersWithSpaces>2289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2022-05-28T13:31:00Z</dcterms:created>
  <dc:creator>d</dc:creator>
  <cp:lastModifiedBy>马雨龙</cp:lastModifiedBy>
  <cp:lastPrinted>2023-11-16T10:10:00Z</cp:lastPrinted>
  <dcterms:modified xsi:type="dcterms:W3CDTF">2023-12-20T11:54:18Z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ribbonExt">
    <vt:lpwstr>{"WPSExtOfficeTab":{"OnGetEnabled":false,"OnGetVisible":false}}</vt:lpwstr>
  </property>
</Properties>
</file>