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2023年第一批面向香港人才常态化配租</w:t>
      </w:r>
    </w:p>
    <w:p>
      <w:pPr>
        <w:jc w:val="center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审核通过企业名单</w:t>
      </w:r>
    </w:p>
    <w:bookmarkEnd w:id="0"/>
    <w:tbl>
      <w:tblPr>
        <w:tblStyle w:val="3"/>
        <w:tblpPr w:leftFromText="180" w:rightFromText="180" w:vertAnchor="text" w:horzAnchor="page" w:tblpX="900" w:tblpY="617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4143"/>
        <w:gridCol w:w="776"/>
        <w:gridCol w:w="774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89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企业信息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本次申请套数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VI专业服务业企业（文化创意服务业）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为弄文化创意（深圳）有限公司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V信息服务业企业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奇流科技（深圳）有限公司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2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2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F1901"/>
    <w:rsid w:val="7C1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2023-01-18T09:39:00Z</dcterms:created>
  <dc:creator>xiewdong</dc:creator>
  <cp:lastModifiedBy>xiewdong</cp:lastModifiedBy>
  <dcterms:modified xsi:type="dcterms:W3CDTF">2023-01-18T09:40:04Z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2052-11.8.2.11480</vt:lpwstr>
  </property>
  <property fmtid="{D5CDD505-2E9C-101B-9397-08002B2CF9AE}" pid="3" name="ICV">
    <vt:lpwstr>E867B88E3EDB4C4EAE6EF0E9B941FC89</vt:lpwstr>
  </property>
</Properties>
</file>