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sz w:val="32"/>
          <w:szCs w:val="32"/>
        </w:rPr>
      </w:pPr>
      <w:bookmarkStart w:id="0" w:name="RANGE!A1:C19"/>
      <w:r>
        <w:rPr>
          <w:rFonts w:hint="eastAsia" w:ascii="仿宋_GB2312" w:eastAsia="仿宋_GB2312"/>
          <w:b/>
          <w:bCs/>
          <w:sz w:val="32"/>
          <w:szCs w:val="32"/>
        </w:rPr>
        <w:t>附件：</w:t>
      </w:r>
    </w:p>
    <w:p>
      <w:pPr>
        <w:jc w:val="center"/>
        <w:rPr>
          <w:rFonts w:ascii="仿宋_GB2312" w:eastAsia="仿宋_GB2312"/>
          <w:b/>
          <w:bCs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bookmarkStart w:id="1" w:name="_GoBack"/>
      <w:r>
        <w:rPr>
          <w:rFonts w:ascii="仿宋_GB2312" w:eastAsia="仿宋_GB2312"/>
          <w:b/>
          <w:bCs/>
          <w:sz w:val="32"/>
          <w:szCs w:val="32"/>
        </w:rPr>
        <w:t>第六批总部企业认定汇总表</w:t>
      </w:r>
      <w:bookmarkEnd w:id="1"/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633"/>
        <w:gridCol w:w="29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59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4633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申报单位</w:t>
            </w:r>
          </w:p>
        </w:tc>
        <w:tc>
          <w:tcPr>
            <w:tcW w:w="2930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/>
                <w:b/>
                <w:bCs/>
                <w:sz w:val="32"/>
                <w:szCs w:val="32"/>
              </w:rPr>
              <w:t>总部类型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腾讯音乐娱乐科技（深圳）有限公司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综合型企业总部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腾讯音乐娱乐（深圳）有限公司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综合型企业总部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深圳前海周大福珠宝金行有限公司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综合型企业总部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新华养老保险股份有限公司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金融企业总部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深圳市丰巢科技有限公司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独角兽企业总部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卫盈联信息技术（深圳）有限公司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港资企业综合型总部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深圳前海全棉时代电子商务有限公司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创维集团有限公司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深圳前海达飞金融服务有限公司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深圳恒大材料设备有限公司</w:t>
            </w:r>
          </w:p>
        </w:tc>
        <w:tc>
          <w:tcPr>
            <w:tcW w:w="2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中原金控（深圳）商业保理有限公司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深圳市前海华建股权投资有限公司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渤海汇金证券资产管理有限公司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深圳市前海雪球零售科技有限责任公司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深圳安时达电子服务有限公司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深圳市红塔资产管理有限公司</w:t>
            </w:r>
          </w:p>
        </w:tc>
        <w:tc>
          <w:tcPr>
            <w:tcW w:w="29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/>
                <w:sz w:val="24"/>
                <w:szCs w:val="32"/>
              </w:rPr>
              <w:t>其他功能型企业总部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95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4633" w:type="dxa"/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北银丰业资产管理有限公司</w:t>
            </w:r>
          </w:p>
        </w:tc>
        <w:tc>
          <w:tcPr>
            <w:tcW w:w="293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hint="eastAsia" w:ascii="仿宋_GB2312" w:eastAsia="仿宋_GB2312"/>
                <w:sz w:val="24"/>
                <w:szCs w:val="32"/>
              </w:rPr>
              <w:t>其他功能型企业总部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72C3D"/>
    <w:rsid w:val="373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2020-05-20T02:04:00Z</dcterms:created>
  <dc:creator>Rachel</dc:creator>
  <cp:lastModifiedBy>Rachel</cp:lastModifiedBy>
  <dcterms:modified xsi:type="dcterms:W3CDTF">2020-05-20T02:05:06Z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